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FC60BA">
      <w:pPr>
        <w:rPr>
          <w:rFonts w:hint="eastAsia" w:ascii="仿宋_GB2312" w:hAnsi="仿宋_GB2312" w:eastAsia="仿宋_GB2312" w:cs="仿宋_GB2312"/>
          <w:sz w:val="36"/>
          <w:szCs w:val="36"/>
        </w:rPr>
      </w:pPr>
    </w:p>
    <w:p w14:paraId="0A17A554">
      <w:pPr>
        <w:rPr>
          <w:rFonts w:hint="eastAsia" w:ascii="仿宋_GB2312" w:hAnsi="仿宋_GB2312" w:eastAsia="仿宋_GB2312" w:cs="仿宋_GB2312"/>
          <w:sz w:val="36"/>
          <w:szCs w:val="36"/>
        </w:rPr>
      </w:pPr>
    </w:p>
    <w:p w14:paraId="482E39B8">
      <w:pPr>
        <w:rPr>
          <w:rFonts w:hint="eastAsia" w:ascii="仿宋_GB2312" w:hAnsi="仿宋_GB2312" w:eastAsia="仿宋_GB2312" w:cs="仿宋_GB2312"/>
          <w:sz w:val="36"/>
          <w:szCs w:val="36"/>
        </w:rPr>
      </w:pPr>
    </w:p>
    <w:p w14:paraId="30691625">
      <w:pPr>
        <w:rPr>
          <w:rFonts w:hint="eastAsia" w:ascii="仿宋_GB2312" w:hAnsi="仿宋_GB2312" w:eastAsia="仿宋_GB2312" w:cs="仿宋_GB2312"/>
          <w:sz w:val="36"/>
          <w:szCs w:val="36"/>
        </w:rPr>
      </w:pPr>
    </w:p>
    <w:p w14:paraId="4A835C29">
      <w:pPr>
        <w:rPr>
          <w:rFonts w:hint="eastAsia" w:ascii="仿宋_GB2312" w:hAnsi="仿宋_GB2312" w:eastAsia="仿宋_GB2312" w:cs="仿宋_GB2312"/>
          <w:sz w:val="36"/>
          <w:szCs w:val="36"/>
        </w:rPr>
      </w:pPr>
    </w:p>
    <w:p w14:paraId="2C737F1E">
      <w:pPr>
        <w:adjustRightInd w:val="0"/>
        <w:snapToGrid w:val="0"/>
        <w:jc w:val="center"/>
        <w:outlineLvl w:val="0"/>
        <w:rPr>
          <w:rFonts w:ascii="方正小标宋_GBK" w:eastAsia="方正小标宋_GBK"/>
          <w:bCs/>
          <w:sz w:val="72"/>
          <w:szCs w:val="72"/>
        </w:rPr>
      </w:pPr>
      <w:bookmarkStart w:id="0" w:name="_Toc209949138"/>
      <w:r>
        <w:rPr>
          <w:rFonts w:hint="eastAsia" w:ascii="方正小标宋_GBK" w:eastAsia="方正小标宋_GBK"/>
          <w:bCs/>
          <w:sz w:val="72"/>
          <w:szCs w:val="72"/>
        </w:rPr>
        <w:t>建设项目环境影响报告表</w:t>
      </w:r>
      <w:bookmarkEnd w:id="0"/>
    </w:p>
    <w:p w14:paraId="65E05CCA">
      <w:pPr>
        <w:adjustRightInd w:val="0"/>
        <w:snapToGrid w:val="0"/>
        <w:spacing w:before="192" w:beforeLines="80"/>
        <w:jc w:val="center"/>
        <w:rPr>
          <w:rFonts w:ascii="楷体_GB2312" w:eastAsia="楷体_GB2312"/>
          <w:bCs/>
          <w:sz w:val="48"/>
          <w:szCs w:val="48"/>
        </w:rPr>
      </w:pPr>
      <w:r>
        <w:rPr>
          <w:rFonts w:hint="eastAsia" w:ascii="楷体_GB2312" w:eastAsia="楷体_GB2312"/>
          <w:bCs/>
          <w:sz w:val="48"/>
          <w:szCs w:val="48"/>
        </w:rPr>
        <w:t>（污染影响类）</w:t>
      </w:r>
    </w:p>
    <w:p w14:paraId="6B54A8BE">
      <w:pPr>
        <w:adjustRightInd w:val="0"/>
        <w:snapToGrid w:val="0"/>
        <w:spacing w:line="288" w:lineRule="auto"/>
        <w:jc w:val="center"/>
        <w:outlineLvl w:val="0"/>
        <w:rPr>
          <w:rFonts w:hint="eastAsia" w:ascii="华文仿宋" w:hAnsi="华文仿宋" w:eastAsia="华文仿宋" w:cs="华文仿宋"/>
          <w:kern w:val="44"/>
          <w:sz w:val="44"/>
          <w:szCs w:val="44"/>
        </w:rPr>
      </w:pPr>
    </w:p>
    <w:p w14:paraId="29DA686D">
      <w:pPr>
        <w:jc w:val="center"/>
        <w:rPr>
          <w:rFonts w:eastAsia="仿宋"/>
          <w:sz w:val="52"/>
          <w:szCs w:val="52"/>
        </w:rPr>
      </w:pPr>
    </w:p>
    <w:p w14:paraId="3AE4EA8D">
      <w:pPr>
        <w:ind w:firstLine="1040"/>
        <w:rPr>
          <w:rFonts w:eastAsia="仿宋"/>
          <w:sz w:val="44"/>
          <w:szCs w:val="44"/>
        </w:rPr>
      </w:pPr>
    </w:p>
    <w:p w14:paraId="7B06EB9A">
      <w:pPr>
        <w:ind w:firstLine="1040"/>
        <w:rPr>
          <w:rFonts w:eastAsia="仿宋"/>
          <w:sz w:val="44"/>
          <w:szCs w:val="44"/>
        </w:rPr>
      </w:pPr>
    </w:p>
    <w:p w14:paraId="53895E9E">
      <w:pPr>
        <w:ind w:firstLine="1040"/>
        <w:rPr>
          <w:rFonts w:eastAsia="仿宋"/>
          <w:sz w:val="44"/>
          <w:szCs w:val="44"/>
        </w:rPr>
      </w:pPr>
    </w:p>
    <w:p w14:paraId="57FFADFC">
      <w:pPr>
        <w:ind w:firstLine="1040"/>
        <w:rPr>
          <w:rFonts w:eastAsia="仿宋"/>
          <w:sz w:val="44"/>
          <w:szCs w:val="44"/>
        </w:rPr>
      </w:pPr>
    </w:p>
    <w:p w14:paraId="06C28D8B">
      <w:pPr>
        <w:adjustRightInd w:val="0"/>
        <w:snapToGrid w:val="0"/>
        <w:spacing w:line="288" w:lineRule="auto"/>
        <w:ind w:firstLine="1040"/>
        <w:rPr>
          <w:rFonts w:ascii="仿宋_GB2312" w:eastAsia="仿宋_GB2312"/>
          <w:sz w:val="36"/>
          <w:szCs w:val="36"/>
          <w:u w:val="single"/>
        </w:rPr>
      </w:pPr>
      <w:r>
        <w:rPr>
          <w:rFonts w:hint="eastAsia" w:ascii="仿宋_GB2312" w:eastAsia="仿宋_GB2312"/>
          <w:sz w:val="36"/>
          <w:szCs w:val="36"/>
        </w:rPr>
        <w:t xml:space="preserve">项目名称： </w:t>
      </w:r>
      <w:r>
        <w:rPr>
          <w:rFonts w:hint="eastAsia" w:ascii="仿宋_GB2312" w:eastAsia="仿宋_GB2312"/>
          <w:sz w:val="36"/>
          <w:szCs w:val="36"/>
          <w:u w:val="single"/>
        </w:rPr>
        <w:t xml:space="preserve">惠州市耀坤环保科技有限公司改扩建项目 </w:t>
      </w:r>
    </w:p>
    <w:p w14:paraId="70BCBDAC">
      <w:pPr>
        <w:adjustRightInd w:val="0"/>
        <w:snapToGrid w:val="0"/>
        <w:spacing w:line="288" w:lineRule="auto"/>
        <w:ind w:firstLine="1040"/>
        <w:rPr>
          <w:rFonts w:ascii="仿宋_GB2312" w:eastAsia="仿宋_GB2312"/>
          <w:sz w:val="36"/>
          <w:szCs w:val="36"/>
          <w:u w:val="single"/>
        </w:rPr>
      </w:pPr>
      <w:r>
        <w:rPr>
          <w:rFonts w:hint="eastAsia" w:ascii="仿宋_GB2312" w:eastAsia="仿宋_GB2312"/>
          <w:sz w:val="36"/>
          <w:szCs w:val="36"/>
        </w:rPr>
        <w:t>建设单位（盖章）：</w:t>
      </w:r>
      <w:r>
        <w:rPr>
          <w:rFonts w:hint="eastAsia" w:ascii="仿宋_GB2312" w:eastAsia="仿宋_GB2312"/>
          <w:sz w:val="36"/>
          <w:szCs w:val="36"/>
          <w:u w:val="single"/>
        </w:rPr>
        <w:t xml:space="preserve"> 惠州</w:t>
      </w:r>
      <w:r>
        <w:rPr>
          <w:rFonts w:hint="eastAsia" w:ascii="仿宋_GB2312" w:eastAsia="仿宋_GB2312"/>
          <w:sz w:val="36"/>
          <w:szCs w:val="36"/>
          <w:u w:val="single"/>
          <w:lang w:val="en-US" w:eastAsia="zh-CN"/>
        </w:rPr>
        <w:t>市耀坤</w:t>
      </w:r>
      <w:r>
        <w:rPr>
          <w:rFonts w:hint="eastAsia" w:ascii="仿宋_GB2312" w:eastAsia="仿宋_GB2312"/>
          <w:sz w:val="36"/>
          <w:szCs w:val="36"/>
          <w:u w:val="single"/>
        </w:rPr>
        <w:t xml:space="preserve">环保科技有限公司  </w:t>
      </w:r>
    </w:p>
    <w:p w14:paraId="13C567D2">
      <w:pPr>
        <w:adjustRightInd w:val="0"/>
        <w:snapToGrid w:val="0"/>
        <w:spacing w:line="288" w:lineRule="auto"/>
        <w:ind w:firstLine="1040"/>
        <w:rPr>
          <w:rFonts w:ascii="仿宋_GB2312" w:eastAsia="仿宋_GB2312"/>
          <w:sz w:val="36"/>
          <w:szCs w:val="36"/>
          <w:u w:val="single"/>
        </w:rPr>
      </w:pPr>
      <w:r>
        <w:rPr>
          <w:rFonts w:hint="eastAsia" w:ascii="仿宋_GB2312" w:eastAsia="仿宋_GB2312"/>
          <w:sz w:val="36"/>
          <w:szCs w:val="36"/>
        </w:rPr>
        <w:t>编制日期：</w:t>
      </w:r>
      <w:r>
        <w:rPr>
          <w:rFonts w:hint="eastAsia" w:ascii="仿宋_GB2312" w:eastAsia="仿宋_GB2312"/>
          <w:sz w:val="36"/>
          <w:szCs w:val="36"/>
          <w:u w:val="single"/>
        </w:rPr>
        <w:t xml:space="preserve"> </w:t>
      </w:r>
      <w:r>
        <w:rPr>
          <w:rFonts w:ascii="仿宋_GB2312" w:eastAsia="仿宋_GB2312"/>
          <w:sz w:val="36"/>
          <w:szCs w:val="36"/>
          <w:u w:val="single"/>
        </w:rPr>
        <w:t xml:space="preserve">    </w:t>
      </w:r>
      <w:r>
        <w:rPr>
          <w:rFonts w:hint="eastAsia" w:ascii="仿宋_GB2312" w:eastAsia="仿宋_GB2312"/>
          <w:sz w:val="36"/>
          <w:szCs w:val="36"/>
          <w:u w:val="single"/>
        </w:rPr>
        <w:t xml:space="preserve"> </w:t>
      </w:r>
      <w:r>
        <w:rPr>
          <w:rFonts w:ascii="仿宋_GB2312" w:eastAsia="仿宋_GB2312"/>
          <w:sz w:val="36"/>
          <w:szCs w:val="36"/>
          <w:u w:val="single"/>
        </w:rPr>
        <w:t xml:space="preserve">   </w:t>
      </w:r>
      <w:r>
        <w:rPr>
          <w:rFonts w:hint="eastAsia" w:ascii="仿宋_GB2312" w:eastAsia="仿宋_GB2312"/>
          <w:sz w:val="36"/>
          <w:szCs w:val="36"/>
          <w:u w:val="single"/>
        </w:rPr>
        <w:t>2025年9月</w:t>
      </w:r>
      <w:r>
        <w:rPr>
          <w:rFonts w:ascii="仿宋_GB2312" w:eastAsia="仿宋_GB2312"/>
          <w:sz w:val="36"/>
          <w:szCs w:val="36"/>
          <w:u w:val="single"/>
        </w:rPr>
        <w:t xml:space="preserve">               </w:t>
      </w:r>
      <w:r>
        <w:rPr>
          <w:rFonts w:hint="eastAsia" w:ascii="仿宋_GB2312" w:eastAsia="仿宋_GB2312"/>
          <w:sz w:val="36"/>
          <w:szCs w:val="36"/>
          <w:u w:val="single"/>
        </w:rPr>
        <w:t xml:space="preserve"> </w:t>
      </w:r>
    </w:p>
    <w:p w14:paraId="4899D887">
      <w:pPr>
        <w:adjustRightInd w:val="0"/>
        <w:snapToGrid w:val="0"/>
        <w:spacing w:line="288" w:lineRule="auto"/>
        <w:ind w:firstLine="1040"/>
        <w:rPr>
          <w:rFonts w:ascii="仿宋_GB2312" w:eastAsia="仿宋_GB2312"/>
          <w:sz w:val="36"/>
          <w:szCs w:val="36"/>
        </w:rPr>
      </w:pPr>
      <w:bookmarkStart w:id="1" w:name="_Hlk57884087"/>
    </w:p>
    <w:p w14:paraId="5114980C">
      <w:pPr>
        <w:adjustRightInd w:val="0"/>
        <w:snapToGrid w:val="0"/>
        <w:spacing w:line="288" w:lineRule="auto"/>
        <w:ind w:firstLine="1040"/>
        <w:rPr>
          <w:rFonts w:ascii="仿宋_GB2312" w:eastAsia="仿宋_GB2312"/>
          <w:sz w:val="36"/>
          <w:szCs w:val="36"/>
        </w:rPr>
      </w:pPr>
    </w:p>
    <w:p w14:paraId="1E19D882">
      <w:pPr>
        <w:adjustRightInd w:val="0"/>
        <w:snapToGrid w:val="0"/>
        <w:spacing w:line="288" w:lineRule="auto"/>
        <w:ind w:firstLine="1040"/>
        <w:rPr>
          <w:rFonts w:ascii="仿宋_GB2312" w:eastAsia="仿宋_GB2312"/>
          <w:sz w:val="36"/>
          <w:szCs w:val="36"/>
        </w:rPr>
      </w:pPr>
    </w:p>
    <w:bookmarkEnd w:id="1"/>
    <w:p w14:paraId="6093A607">
      <w:pPr>
        <w:adjustRightInd w:val="0"/>
        <w:snapToGrid w:val="0"/>
        <w:spacing w:line="288" w:lineRule="auto"/>
        <w:jc w:val="center"/>
        <w:rPr>
          <w:rFonts w:ascii="楷体_GB2312" w:eastAsia="楷体_GB2312"/>
          <w:sz w:val="36"/>
          <w:szCs w:val="36"/>
        </w:rPr>
      </w:pPr>
      <w:r>
        <w:rPr>
          <w:rFonts w:hint="eastAsia" w:ascii="楷体_GB2312" w:eastAsia="楷体_GB2312"/>
          <w:sz w:val="36"/>
          <w:szCs w:val="36"/>
        </w:rPr>
        <w:t>中华人民共和国生态环境部制</w:t>
      </w:r>
    </w:p>
    <w:p w14:paraId="1B553A3B">
      <w:pPr>
        <w:adjustRightInd w:val="0"/>
        <w:snapToGrid w:val="0"/>
        <w:spacing w:line="288" w:lineRule="auto"/>
        <w:ind w:firstLine="1040"/>
        <w:rPr>
          <w:rFonts w:ascii="仿宋_GB2312" w:eastAsia="仿宋_GB2312"/>
          <w:sz w:val="36"/>
          <w:szCs w:val="36"/>
        </w:rPr>
        <w:sectPr>
          <w:footerReference r:id="rId6" w:type="first"/>
          <w:footerReference r:id="rId4" w:type="default"/>
          <w:headerReference r:id="rId3" w:type="even"/>
          <w:footerReference r:id="rId5" w:type="even"/>
          <w:pgSz w:w="11906" w:h="16838"/>
          <w:pgMar w:top="1418" w:right="1134" w:bottom="1418" w:left="1418" w:header="851" w:footer="1077" w:gutter="0"/>
          <w:pgNumType w:fmt="decimal" w:start="3"/>
          <w:cols w:space="720" w:num="1"/>
          <w:docGrid w:linePitch="312" w:charSpace="0"/>
        </w:sectPr>
      </w:pPr>
    </w:p>
    <w:p w14:paraId="2FA79B30">
      <w:pPr>
        <w:pStyle w:val="32"/>
        <w:spacing w:before="0" w:beforeAutospacing="0" w:after="0" w:afterAutospacing="0"/>
        <w:jc w:val="center"/>
        <w:outlineLvl w:val="0"/>
        <w:rPr>
          <w:rFonts w:hint="eastAsia" w:ascii="黑体" w:hAnsi="黑体" w:eastAsia="黑体"/>
          <w:snapToGrid w:val="0"/>
          <w:sz w:val="30"/>
          <w:szCs w:val="30"/>
        </w:rPr>
      </w:pPr>
      <w:bookmarkStart w:id="2" w:name="_Toc209949139"/>
      <w:r>
        <w:rPr>
          <w:rFonts w:hint="eastAsia" w:ascii="黑体" w:hAnsi="黑体" w:eastAsia="黑体"/>
          <w:snapToGrid w:val="0"/>
          <w:sz w:val="30"/>
          <w:szCs w:val="30"/>
        </w:rPr>
        <w:t>一、建设项目基本情况</w:t>
      </w:r>
      <w:bookmarkEnd w:id="2"/>
    </w:p>
    <w:tbl>
      <w:tblPr>
        <w:tblStyle w:val="35"/>
        <w:tblpPr w:leftFromText="180" w:rightFromText="180" w:vertAnchor="text" w:tblpXSpec="center" w:tblpY="1"/>
        <w:tblOverlap w:val="never"/>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40"/>
        <w:gridCol w:w="2071"/>
        <w:gridCol w:w="2317"/>
        <w:gridCol w:w="3152"/>
      </w:tblGrid>
      <w:tr w14:paraId="0FA140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2" w:hRule="atLeast"/>
        </w:trPr>
        <w:tc>
          <w:tcPr>
            <w:tcW w:w="981" w:type="pct"/>
            <w:tcMar>
              <w:top w:w="16" w:type="dxa"/>
              <w:left w:w="16" w:type="dxa"/>
              <w:right w:w="16" w:type="dxa"/>
            </w:tcMar>
            <w:vAlign w:val="center"/>
          </w:tcPr>
          <w:p w14:paraId="7807818D">
            <w:pPr>
              <w:adjustRightInd w:val="0"/>
              <w:snapToGrid w:val="0"/>
              <w:jc w:val="center"/>
              <w:rPr>
                <w:sz w:val="24"/>
              </w:rPr>
            </w:pPr>
            <w:r>
              <w:rPr>
                <w:sz w:val="24"/>
              </w:rPr>
              <w:t>建设项目名称</w:t>
            </w:r>
          </w:p>
        </w:tc>
        <w:tc>
          <w:tcPr>
            <w:tcW w:w="4019" w:type="pct"/>
            <w:gridSpan w:val="3"/>
            <w:vAlign w:val="center"/>
          </w:tcPr>
          <w:p w14:paraId="530205B1">
            <w:pPr>
              <w:adjustRightInd w:val="0"/>
              <w:snapToGrid w:val="0"/>
              <w:jc w:val="center"/>
              <w:rPr>
                <w:sz w:val="24"/>
              </w:rPr>
            </w:pPr>
            <w:r>
              <w:rPr>
                <w:rFonts w:hint="eastAsia"/>
                <w:sz w:val="24"/>
              </w:rPr>
              <w:t>惠州市耀坤环保科技有限公司改扩建项目</w:t>
            </w:r>
          </w:p>
        </w:tc>
      </w:tr>
      <w:tr w14:paraId="71647B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981" w:type="pct"/>
            <w:tcMar>
              <w:top w:w="16" w:type="dxa"/>
              <w:left w:w="16" w:type="dxa"/>
              <w:right w:w="16" w:type="dxa"/>
            </w:tcMar>
            <w:vAlign w:val="center"/>
          </w:tcPr>
          <w:p w14:paraId="383CE8DA">
            <w:pPr>
              <w:adjustRightInd w:val="0"/>
              <w:snapToGrid w:val="0"/>
              <w:jc w:val="center"/>
              <w:rPr>
                <w:sz w:val="24"/>
              </w:rPr>
            </w:pPr>
            <w:r>
              <w:rPr>
                <w:sz w:val="24"/>
              </w:rPr>
              <w:t>项目代码</w:t>
            </w:r>
          </w:p>
        </w:tc>
        <w:tc>
          <w:tcPr>
            <w:tcW w:w="4019" w:type="pct"/>
            <w:gridSpan w:val="3"/>
            <w:vAlign w:val="center"/>
          </w:tcPr>
          <w:p w14:paraId="13BDBF67">
            <w:pPr>
              <w:adjustRightInd w:val="0"/>
              <w:snapToGrid w:val="0"/>
              <w:jc w:val="center"/>
              <w:rPr>
                <w:rFonts w:hint="default" w:eastAsia="宋体"/>
                <w:sz w:val="24"/>
                <w:lang w:val="en-US" w:eastAsia="zh-CN"/>
              </w:rPr>
            </w:pPr>
            <w:r>
              <w:rPr>
                <w:rFonts w:hint="eastAsia"/>
                <w:sz w:val="24"/>
                <w:lang w:val="en-US" w:eastAsia="zh-CN"/>
              </w:rPr>
              <w:t>****</w:t>
            </w:r>
          </w:p>
        </w:tc>
      </w:tr>
      <w:tr w14:paraId="042C12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981" w:type="pct"/>
            <w:tcMar>
              <w:top w:w="16" w:type="dxa"/>
              <w:left w:w="16" w:type="dxa"/>
              <w:right w:w="16" w:type="dxa"/>
            </w:tcMar>
            <w:vAlign w:val="center"/>
          </w:tcPr>
          <w:p w14:paraId="36E1E5D7">
            <w:pPr>
              <w:adjustRightInd w:val="0"/>
              <w:snapToGrid w:val="0"/>
              <w:jc w:val="center"/>
              <w:rPr>
                <w:sz w:val="24"/>
              </w:rPr>
            </w:pPr>
            <w:r>
              <w:rPr>
                <w:sz w:val="24"/>
              </w:rPr>
              <w:t>建设单位联系人</w:t>
            </w:r>
          </w:p>
        </w:tc>
        <w:tc>
          <w:tcPr>
            <w:tcW w:w="1104" w:type="pct"/>
            <w:vAlign w:val="center"/>
          </w:tcPr>
          <w:p w14:paraId="133B3FF3">
            <w:pPr>
              <w:adjustRightInd w:val="0"/>
              <w:snapToGrid w:val="0"/>
              <w:jc w:val="center"/>
              <w:rPr>
                <w:rFonts w:hint="default" w:eastAsia="宋体"/>
                <w:sz w:val="24"/>
                <w:lang w:val="en-US" w:eastAsia="zh-CN"/>
              </w:rPr>
            </w:pPr>
            <w:r>
              <w:rPr>
                <w:rFonts w:hint="eastAsia"/>
                <w:sz w:val="24"/>
                <w:lang w:val="en-US" w:eastAsia="zh-CN"/>
              </w:rPr>
              <w:t>***</w:t>
            </w:r>
          </w:p>
        </w:tc>
        <w:tc>
          <w:tcPr>
            <w:tcW w:w="1235" w:type="pct"/>
            <w:vAlign w:val="center"/>
          </w:tcPr>
          <w:p w14:paraId="631114C2">
            <w:pPr>
              <w:adjustRightInd w:val="0"/>
              <w:snapToGrid w:val="0"/>
              <w:jc w:val="center"/>
              <w:rPr>
                <w:sz w:val="24"/>
              </w:rPr>
            </w:pPr>
            <w:r>
              <w:rPr>
                <w:sz w:val="24"/>
              </w:rPr>
              <w:t>联系方式</w:t>
            </w:r>
          </w:p>
        </w:tc>
        <w:tc>
          <w:tcPr>
            <w:tcW w:w="1679" w:type="pct"/>
            <w:vAlign w:val="center"/>
          </w:tcPr>
          <w:p w14:paraId="21563B42">
            <w:pPr>
              <w:adjustRightInd w:val="0"/>
              <w:snapToGrid w:val="0"/>
              <w:jc w:val="center"/>
              <w:rPr>
                <w:rFonts w:hint="default" w:eastAsia="宋体"/>
                <w:sz w:val="24"/>
                <w:lang w:val="en-US" w:eastAsia="zh-CN"/>
              </w:rPr>
            </w:pPr>
            <w:r>
              <w:rPr>
                <w:rFonts w:hint="eastAsia"/>
                <w:sz w:val="24"/>
                <w:lang w:val="en-US" w:eastAsia="zh-CN"/>
              </w:rPr>
              <w:t>***</w:t>
            </w:r>
          </w:p>
        </w:tc>
      </w:tr>
      <w:tr w14:paraId="177D2B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981" w:type="pct"/>
            <w:tcMar>
              <w:top w:w="16" w:type="dxa"/>
              <w:left w:w="16" w:type="dxa"/>
              <w:right w:w="16" w:type="dxa"/>
            </w:tcMar>
            <w:vAlign w:val="center"/>
          </w:tcPr>
          <w:p w14:paraId="29C3AD83">
            <w:pPr>
              <w:adjustRightInd w:val="0"/>
              <w:snapToGrid w:val="0"/>
              <w:jc w:val="center"/>
              <w:rPr>
                <w:sz w:val="24"/>
              </w:rPr>
            </w:pPr>
            <w:r>
              <w:rPr>
                <w:sz w:val="24"/>
              </w:rPr>
              <w:t>建设地点</w:t>
            </w:r>
          </w:p>
        </w:tc>
        <w:tc>
          <w:tcPr>
            <w:tcW w:w="4019" w:type="pct"/>
            <w:gridSpan w:val="3"/>
            <w:vAlign w:val="center"/>
          </w:tcPr>
          <w:p w14:paraId="52E432C9">
            <w:pPr>
              <w:adjustRightInd w:val="0"/>
              <w:snapToGrid w:val="0"/>
              <w:jc w:val="center"/>
              <w:rPr>
                <w:sz w:val="24"/>
              </w:rPr>
            </w:pPr>
            <w:r>
              <w:rPr>
                <w:sz w:val="24"/>
              </w:rPr>
              <w:t>惠州市博罗县湖镇镇水心围村委会水心围小组</w:t>
            </w:r>
          </w:p>
        </w:tc>
      </w:tr>
      <w:tr w14:paraId="1F5BC1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981" w:type="pct"/>
            <w:tcMar>
              <w:top w:w="16" w:type="dxa"/>
              <w:left w:w="16" w:type="dxa"/>
              <w:right w:w="16" w:type="dxa"/>
            </w:tcMar>
            <w:vAlign w:val="center"/>
          </w:tcPr>
          <w:p w14:paraId="38025456">
            <w:pPr>
              <w:adjustRightInd w:val="0"/>
              <w:snapToGrid w:val="0"/>
              <w:jc w:val="center"/>
              <w:rPr>
                <w:sz w:val="24"/>
              </w:rPr>
            </w:pPr>
            <w:r>
              <w:rPr>
                <w:sz w:val="24"/>
              </w:rPr>
              <w:t>地理坐标</w:t>
            </w:r>
          </w:p>
        </w:tc>
        <w:tc>
          <w:tcPr>
            <w:tcW w:w="4019" w:type="pct"/>
            <w:gridSpan w:val="3"/>
            <w:vAlign w:val="center"/>
          </w:tcPr>
          <w:p w14:paraId="4C6A26B5">
            <w:pPr>
              <w:jc w:val="center"/>
              <w:rPr>
                <w:sz w:val="24"/>
                <w:szCs w:val="24"/>
              </w:rPr>
            </w:pPr>
            <w:r>
              <w:rPr>
                <w:sz w:val="24"/>
                <w:szCs w:val="24"/>
              </w:rPr>
              <w:t>（东经</w:t>
            </w:r>
            <w:r>
              <w:rPr>
                <w:rFonts w:hint="eastAsia"/>
                <w:sz w:val="24"/>
                <w:szCs w:val="24"/>
              </w:rPr>
              <w:t>114</w:t>
            </w:r>
            <w:r>
              <w:rPr>
                <w:sz w:val="24"/>
                <w:szCs w:val="24"/>
              </w:rPr>
              <w:t>度</w:t>
            </w:r>
            <w:r>
              <w:rPr>
                <w:rFonts w:hint="eastAsia"/>
                <w:sz w:val="24"/>
                <w:szCs w:val="24"/>
              </w:rPr>
              <w:t>9</w:t>
            </w:r>
            <w:r>
              <w:rPr>
                <w:sz w:val="24"/>
                <w:szCs w:val="24"/>
              </w:rPr>
              <w:t>分</w:t>
            </w:r>
            <w:r>
              <w:rPr>
                <w:rFonts w:hint="eastAsia"/>
                <w:sz w:val="24"/>
                <w:szCs w:val="24"/>
              </w:rPr>
              <w:t>12.2832</w:t>
            </w:r>
            <w:r>
              <w:rPr>
                <w:sz w:val="24"/>
                <w:szCs w:val="24"/>
              </w:rPr>
              <w:t>秒，北纬23度</w:t>
            </w:r>
            <w:r>
              <w:rPr>
                <w:rFonts w:hint="eastAsia"/>
                <w:sz w:val="24"/>
                <w:szCs w:val="24"/>
              </w:rPr>
              <w:t>13</w:t>
            </w:r>
            <w:r>
              <w:rPr>
                <w:sz w:val="24"/>
                <w:szCs w:val="24"/>
              </w:rPr>
              <w:t>分</w:t>
            </w:r>
            <w:r>
              <w:rPr>
                <w:rFonts w:hint="eastAsia"/>
                <w:sz w:val="24"/>
                <w:szCs w:val="24"/>
              </w:rPr>
              <w:t>11.2296</w:t>
            </w:r>
            <w:r>
              <w:rPr>
                <w:sz w:val="24"/>
                <w:szCs w:val="24"/>
              </w:rPr>
              <w:t>秒）</w:t>
            </w:r>
          </w:p>
        </w:tc>
      </w:tr>
      <w:tr w14:paraId="52A4C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981" w:type="pct"/>
            <w:tcMar>
              <w:top w:w="16" w:type="dxa"/>
              <w:left w:w="16" w:type="dxa"/>
              <w:right w:w="16" w:type="dxa"/>
            </w:tcMar>
            <w:vAlign w:val="center"/>
          </w:tcPr>
          <w:p w14:paraId="1E278DDA">
            <w:pPr>
              <w:adjustRightInd w:val="0"/>
              <w:snapToGrid w:val="0"/>
              <w:jc w:val="center"/>
              <w:rPr>
                <w:sz w:val="24"/>
              </w:rPr>
            </w:pPr>
            <w:r>
              <w:rPr>
                <w:sz w:val="24"/>
              </w:rPr>
              <w:t>国民经济</w:t>
            </w:r>
          </w:p>
          <w:p w14:paraId="6E79A1A2">
            <w:pPr>
              <w:adjustRightInd w:val="0"/>
              <w:snapToGrid w:val="0"/>
              <w:jc w:val="center"/>
              <w:rPr>
                <w:sz w:val="24"/>
              </w:rPr>
            </w:pPr>
            <w:r>
              <w:rPr>
                <w:sz w:val="24"/>
              </w:rPr>
              <w:t>行业类别</w:t>
            </w:r>
          </w:p>
        </w:tc>
        <w:tc>
          <w:tcPr>
            <w:tcW w:w="1104" w:type="pct"/>
            <w:vAlign w:val="center"/>
          </w:tcPr>
          <w:p w14:paraId="7F933B53">
            <w:pPr>
              <w:adjustRightInd w:val="0"/>
              <w:snapToGrid w:val="0"/>
              <w:jc w:val="center"/>
              <w:rPr>
                <w:sz w:val="24"/>
              </w:rPr>
            </w:pPr>
            <w:r>
              <w:rPr>
                <w:rFonts w:hint="eastAsia"/>
                <w:sz w:val="24"/>
              </w:rPr>
              <w:t>N7723固体废物治理；</w:t>
            </w:r>
          </w:p>
          <w:p w14:paraId="4B3AC1F5">
            <w:pPr>
              <w:adjustRightInd w:val="0"/>
              <w:snapToGrid w:val="0"/>
              <w:jc w:val="center"/>
              <w:rPr>
                <w:sz w:val="24"/>
              </w:rPr>
            </w:pPr>
            <w:r>
              <w:rPr>
                <w:rFonts w:hint="eastAsia"/>
                <w:sz w:val="24"/>
              </w:rPr>
              <w:t>D4430电力、热力、燃气及水生产和供应业</w:t>
            </w:r>
          </w:p>
        </w:tc>
        <w:tc>
          <w:tcPr>
            <w:tcW w:w="1235" w:type="pct"/>
            <w:vAlign w:val="center"/>
          </w:tcPr>
          <w:p w14:paraId="282FA275">
            <w:pPr>
              <w:adjustRightInd w:val="0"/>
              <w:snapToGrid w:val="0"/>
              <w:jc w:val="center"/>
              <w:rPr>
                <w:sz w:val="24"/>
              </w:rPr>
            </w:pPr>
            <w:bookmarkStart w:id="3" w:name="_Hlk49843745"/>
            <w:r>
              <w:rPr>
                <w:sz w:val="24"/>
              </w:rPr>
              <w:t>建设项目</w:t>
            </w:r>
          </w:p>
          <w:p w14:paraId="46781CCC">
            <w:pPr>
              <w:adjustRightInd w:val="0"/>
              <w:snapToGrid w:val="0"/>
              <w:jc w:val="center"/>
              <w:rPr>
                <w:sz w:val="24"/>
              </w:rPr>
            </w:pPr>
            <w:r>
              <w:rPr>
                <w:sz w:val="24"/>
              </w:rPr>
              <w:t>行业类别</w:t>
            </w:r>
            <w:bookmarkEnd w:id="3"/>
          </w:p>
        </w:tc>
        <w:tc>
          <w:tcPr>
            <w:tcW w:w="1679" w:type="pct"/>
            <w:vAlign w:val="center"/>
          </w:tcPr>
          <w:p w14:paraId="5B5CA78A">
            <w:pPr>
              <w:adjustRightInd w:val="0"/>
              <w:snapToGrid w:val="0"/>
              <w:jc w:val="center"/>
              <w:rPr>
                <w:sz w:val="24"/>
              </w:rPr>
            </w:pPr>
            <w:r>
              <w:rPr>
                <w:rFonts w:hint="eastAsia"/>
                <w:sz w:val="24"/>
              </w:rPr>
              <w:t>四十七、生态保护和环境治理业103.一般工业固体废物（含污水处理污泥）、建筑施工废弃物处置及综合利用；</w:t>
            </w:r>
          </w:p>
          <w:p w14:paraId="08F5A417">
            <w:pPr>
              <w:adjustRightInd w:val="0"/>
              <w:snapToGrid w:val="0"/>
              <w:jc w:val="center"/>
              <w:rPr>
                <w:sz w:val="24"/>
              </w:rPr>
            </w:pPr>
            <w:r>
              <w:rPr>
                <w:rFonts w:hint="eastAsia"/>
                <w:sz w:val="24"/>
              </w:rPr>
              <w:t>四十一、电力、热力生产和供应业91.热力生产和供应工程（包括建设单位自建自用的供热工程）</w:t>
            </w:r>
          </w:p>
        </w:tc>
      </w:tr>
      <w:tr w14:paraId="4A631F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81" w:type="pct"/>
            <w:tcMar>
              <w:top w:w="16" w:type="dxa"/>
              <w:left w:w="16" w:type="dxa"/>
              <w:right w:w="16" w:type="dxa"/>
            </w:tcMar>
            <w:vAlign w:val="center"/>
          </w:tcPr>
          <w:p w14:paraId="15B343F5">
            <w:pPr>
              <w:adjustRightInd w:val="0"/>
              <w:snapToGrid w:val="0"/>
              <w:jc w:val="center"/>
              <w:rPr>
                <w:sz w:val="24"/>
              </w:rPr>
            </w:pPr>
            <w:r>
              <w:rPr>
                <w:sz w:val="24"/>
              </w:rPr>
              <w:t>建设性质</w:t>
            </w:r>
          </w:p>
        </w:tc>
        <w:tc>
          <w:tcPr>
            <w:tcW w:w="1104" w:type="pct"/>
            <w:vAlign w:val="center"/>
          </w:tcPr>
          <w:p w14:paraId="1942CC32">
            <w:pPr>
              <w:jc w:val="left"/>
              <w:rPr>
                <w:sz w:val="24"/>
              </w:rPr>
            </w:pPr>
            <w:r>
              <w:rPr>
                <w:sz w:val="24"/>
              </w:rPr>
              <w:t>□新建（迁建）</w:t>
            </w:r>
          </w:p>
          <w:p w14:paraId="32A06ADD">
            <w:pPr>
              <w:jc w:val="left"/>
              <w:rPr>
                <w:sz w:val="24"/>
              </w:rPr>
            </w:pPr>
            <w:r>
              <w:rPr>
                <w:sz w:val="24"/>
              </w:rPr>
              <w:t>☑改建</w:t>
            </w:r>
          </w:p>
          <w:p w14:paraId="4F306BD0">
            <w:pPr>
              <w:jc w:val="left"/>
              <w:rPr>
                <w:sz w:val="24"/>
              </w:rPr>
            </w:pPr>
            <w:r>
              <w:rPr>
                <w:sz w:val="24"/>
              </w:rPr>
              <w:t>☑扩建</w:t>
            </w:r>
          </w:p>
          <w:p w14:paraId="0FA4E800">
            <w:pPr>
              <w:jc w:val="left"/>
              <w:rPr>
                <w:sz w:val="24"/>
              </w:rPr>
            </w:pPr>
            <w:r>
              <w:rPr>
                <w:sz w:val="24"/>
              </w:rPr>
              <w:t>□技术改造</w:t>
            </w:r>
          </w:p>
        </w:tc>
        <w:tc>
          <w:tcPr>
            <w:tcW w:w="1235" w:type="pct"/>
            <w:vAlign w:val="center"/>
          </w:tcPr>
          <w:p w14:paraId="44650EE2">
            <w:pPr>
              <w:adjustRightInd w:val="0"/>
              <w:snapToGrid w:val="0"/>
              <w:jc w:val="center"/>
              <w:rPr>
                <w:sz w:val="24"/>
              </w:rPr>
            </w:pPr>
            <w:r>
              <w:rPr>
                <w:sz w:val="24"/>
              </w:rPr>
              <w:t>建设项目</w:t>
            </w:r>
          </w:p>
          <w:p w14:paraId="73F8C77E">
            <w:pPr>
              <w:adjustRightInd w:val="0"/>
              <w:snapToGrid w:val="0"/>
              <w:jc w:val="center"/>
              <w:rPr>
                <w:sz w:val="24"/>
              </w:rPr>
            </w:pPr>
            <w:r>
              <w:rPr>
                <w:sz w:val="24"/>
              </w:rPr>
              <w:t>申报情形</w:t>
            </w:r>
          </w:p>
        </w:tc>
        <w:tc>
          <w:tcPr>
            <w:tcW w:w="1679" w:type="pct"/>
            <w:vAlign w:val="center"/>
          </w:tcPr>
          <w:p w14:paraId="2A0A3359">
            <w:pPr>
              <w:jc w:val="left"/>
              <w:rPr>
                <w:sz w:val="24"/>
              </w:rPr>
            </w:pPr>
            <w:r>
              <w:rPr>
                <w:sz w:val="24"/>
              </w:rPr>
              <w:t>☑首次申报项目</w:t>
            </w:r>
          </w:p>
          <w:p w14:paraId="6460997F">
            <w:pPr>
              <w:jc w:val="left"/>
              <w:rPr>
                <w:sz w:val="24"/>
              </w:rPr>
            </w:pPr>
            <w:r>
              <w:rPr>
                <w:sz w:val="24"/>
              </w:rPr>
              <w:t>□不予批准后再次申报项目</w:t>
            </w:r>
          </w:p>
          <w:p w14:paraId="68ED97DE">
            <w:pPr>
              <w:jc w:val="left"/>
              <w:rPr>
                <w:sz w:val="24"/>
              </w:rPr>
            </w:pPr>
            <w:r>
              <w:rPr>
                <w:sz w:val="24"/>
              </w:rPr>
              <w:t>□超五年重新审核项目</w:t>
            </w:r>
          </w:p>
          <w:p w14:paraId="7DE80DB7">
            <w:pPr>
              <w:jc w:val="left"/>
              <w:rPr>
                <w:sz w:val="24"/>
              </w:rPr>
            </w:pPr>
            <w:r>
              <w:rPr>
                <w:sz w:val="24"/>
              </w:rPr>
              <w:t>□重大变动重新报批项目</w:t>
            </w:r>
          </w:p>
        </w:tc>
      </w:tr>
      <w:tr w14:paraId="6C2BD1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981" w:type="pct"/>
            <w:tcMar>
              <w:top w:w="16" w:type="dxa"/>
              <w:left w:w="16" w:type="dxa"/>
              <w:right w:w="16" w:type="dxa"/>
            </w:tcMar>
            <w:vAlign w:val="center"/>
          </w:tcPr>
          <w:p w14:paraId="57AF677F">
            <w:pPr>
              <w:adjustRightInd w:val="0"/>
              <w:snapToGrid w:val="0"/>
              <w:jc w:val="center"/>
              <w:rPr>
                <w:sz w:val="24"/>
              </w:rPr>
            </w:pPr>
            <w:r>
              <w:rPr>
                <w:sz w:val="24"/>
              </w:rPr>
              <w:t>项目审批（核准/</w:t>
            </w:r>
          </w:p>
          <w:p w14:paraId="7F2259C9">
            <w:pPr>
              <w:adjustRightInd w:val="0"/>
              <w:snapToGrid w:val="0"/>
              <w:jc w:val="center"/>
              <w:rPr>
                <w:sz w:val="24"/>
              </w:rPr>
            </w:pPr>
            <w:r>
              <w:rPr>
                <w:sz w:val="24"/>
              </w:rPr>
              <w:t>备案）部门（选填）</w:t>
            </w:r>
          </w:p>
        </w:tc>
        <w:tc>
          <w:tcPr>
            <w:tcW w:w="1104" w:type="pct"/>
            <w:vAlign w:val="center"/>
          </w:tcPr>
          <w:p w14:paraId="63DB6E60">
            <w:pPr>
              <w:adjustRightInd w:val="0"/>
              <w:snapToGrid w:val="0"/>
              <w:jc w:val="center"/>
              <w:rPr>
                <w:sz w:val="24"/>
              </w:rPr>
            </w:pPr>
            <w:r>
              <w:rPr>
                <w:rFonts w:hint="eastAsia"/>
                <w:sz w:val="24"/>
              </w:rPr>
              <w:t>/</w:t>
            </w:r>
          </w:p>
        </w:tc>
        <w:tc>
          <w:tcPr>
            <w:tcW w:w="1235" w:type="pct"/>
            <w:vAlign w:val="center"/>
          </w:tcPr>
          <w:p w14:paraId="74264A8A">
            <w:pPr>
              <w:adjustRightInd w:val="0"/>
              <w:snapToGrid w:val="0"/>
              <w:jc w:val="center"/>
              <w:rPr>
                <w:position w:val="-6"/>
                <w:sz w:val="24"/>
                <w:szCs w:val="24"/>
              </w:rPr>
            </w:pPr>
            <w:r>
              <w:rPr>
                <w:position w:val="-6"/>
                <w:sz w:val="24"/>
                <w:szCs w:val="24"/>
              </w:rPr>
              <w:t>项目审批（核准/</w:t>
            </w:r>
          </w:p>
          <w:p w14:paraId="7C067F06">
            <w:pPr>
              <w:adjustRightInd w:val="0"/>
              <w:snapToGrid w:val="0"/>
              <w:jc w:val="center"/>
              <w:rPr>
                <w:sz w:val="24"/>
              </w:rPr>
            </w:pPr>
            <w:r>
              <w:rPr>
                <w:position w:val="-6"/>
                <w:sz w:val="24"/>
                <w:szCs w:val="24"/>
              </w:rPr>
              <w:t>备案）文号（选填）</w:t>
            </w:r>
          </w:p>
        </w:tc>
        <w:tc>
          <w:tcPr>
            <w:tcW w:w="1679" w:type="pct"/>
            <w:vAlign w:val="center"/>
          </w:tcPr>
          <w:p w14:paraId="204402CA">
            <w:pPr>
              <w:adjustRightInd w:val="0"/>
              <w:snapToGrid w:val="0"/>
              <w:jc w:val="center"/>
              <w:rPr>
                <w:sz w:val="24"/>
              </w:rPr>
            </w:pPr>
            <w:r>
              <w:rPr>
                <w:sz w:val="24"/>
                <w:szCs w:val="24"/>
              </w:rPr>
              <w:t>/</w:t>
            </w:r>
          </w:p>
        </w:tc>
      </w:tr>
      <w:tr w14:paraId="11DE68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981" w:type="pct"/>
            <w:tcMar>
              <w:top w:w="16" w:type="dxa"/>
              <w:left w:w="16" w:type="dxa"/>
              <w:right w:w="16" w:type="dxa"/>
            </w:tcMar>
            <w:vAlign w:val="center"/>
          </w:tcPr>
          <w:p w14:paraId="6819BE4F">
            <w:pPr>
              <w:adjustRightInd w:val="0"/>
              <w:snapToGrid w:val="0"/>
              <w:jc w:val="center"/>
              <w:rPr>
                <w:sz w:val="24"/>
              </w:rPr>
            </w:pPr>
            <w:r>
              <w:rPr>
                <w:sz w:val="24"/>
              </w:rPr>
              <w:t>总投资（万元）</w:t>
            </w:r>
          </w:p>
        </w:tc>
        <w:tc>
          <w:tcPr>
            <w:tcW w:w="1104" w:type="pct"/>
            <w:vAlign w:val="center"/>
          </w:tcPr>
          <w:p w14:paraId="3EA6D2B6">
            <w:pPr>
              <w:adjustRightInd w:val="0"/>
              <w:snapToGrid w:val="0"/>
              <w:jc w:val="center"/>
              <w:rPr>
                <w:sz w:val="24"/>
              </w:rPr>
            </w:pPr>
            <w:r>
              <w:rPr>
                <w:rFonts w:hint="eastAsia"/>
                <w:sz w:val="24"/>
              </w:rPr>
              <w:t>500</w:t>
            </w:r>
          </w:p>
        </w:tc>
        <w:tc>
          <w:tcPr>
            <w:tcW w:w="1235" w:type="pct"/>
            <w:tcMar>
              <w:top w:w="16" w:type="dxa"/>
              <w:left w:w="16" w:type="dxa"/>
              <w:right w:w="16" w:type="dxa"/>
            </w:tcMar>
            <w:vAlign w:val="center"/>
          </w:tcPr>
          <w:p w14:paraId="20EE6D2E">
            <w:pPr>
              <w:adjustRightInd w:val="0"/>
              <w:snapToGrid w:val="0"/>
              <w:jc w:val="center"/>
              <w:rPr>
                <w:sz w:val="24"/>
              </w:rPr>
            </w:pPr>
            <w:r>
              <w:rPr>
                <w:sz w:val="24"/>
              </w:rPr>
              <w:t>环保投资（万元）</w:t>
            </w:r>
          </w:p>
        </w:tc>
        <w:tc>
          <w:tcPr>
            <w:tcW w:w="1679" w:type="pct"/>
            <w:vAlign w:val="center"/>
          </w:tcPr>
          <w:p w14:paraId="75DF481D">
            <w:pPr>
              <w:adjustRightInd w:val="0"/>
              <w:snapToGrid w:val="0"/>
              <w:jc w:val="center"/>
              <w:rPr>
                <w:sz w:val="24"/>
              </w:rPr>
            </w:pPr>
            <w:r>
              <w:rPr>
                <w:rFonts w:hint="eastAsia"/>
                <w:sz w:val="24"/>
              </w:rPr>
              <w:t>50</w:t>
            </w:r>
          </w:p>
        </w:tc>
      </w:tr>
      <w:tr w14:paraId="735385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88" w:hRule="atLeast"/>
        </w:trPr>
        <w:tc>
          <w:tcPr>
            <w:tcW w:w="981" w:type="pct"/>
            <w:tcMar>
              <w:top w:w="16" w:type="dxa"/>
              <w:left w:w="16" w:type="dxa"/>
              <w:right w:w="16" w:type="dxa"/>
            </w:tcMar>
            <w:vAlign w:val="center"/>
          </w:tcPr>
          <w:p w14:paraId="1C5D2E1B">
            <w:pPr>
              <w:adjustRightInd w:val="0"/>
              <w:snapToGrid w:val="0"/>
              <w:jc w:val="center"/>
              <w:rPr>
                <w:sz w:val="24"/>
              </w:rPr>
            </w:pPr>
            <w:r>
              <w:rPr>
                <w:sz w:val="24"/>
              </w:rPr>
              <w:t>环保投资占比（%）</w:t>
            </w:r>
          </w:p>
        </w:tc>
        <w:tc>
          <w:tcPr>
            <w:tcW w:w="1104" w:type="pct"/>
            <w:vAlign w:val="center"/>
          </w:tcPr>
          <w:p w14:paraId="3DBE8F96">
            <w:pPr>
              <w:adjustRightInd w:val="0"/>
              <w:snapToGrid w:val="0"/>
              <w:jc w:val="center"/>
              <w:rPr>
                <w:sz w:val="24"/>
              </w:rPr>
            </w:pPr>
            <w:r>
              <w:rPr>
                <w:rFonts w:hint="eastAsia"/>
                <w:sz w:val="24"/>
              </w:rPr>
              <w:t>10</w:t>
            </w:r>
          </w:p>
        </w:tc>
        <w:tc>
          <w:tcPr>
            <w:tcW w:w="1235" w:type="pct"/>
            <w:tcMar>
              <w:top w:w="16" w:type="dxa"/>
              <w:left w:w="16" w:type="dxa"/>
              <w:right w:w="16" w:type="dxa"/>
            </w:tcMar>
            <w:vAlign w:val="center"/>
          </w:tcPr>
          <w:p w14:paraId="529735CC">
            <w:pPr>
              <w:adjustRightInd w:val="0"/>
              <w:snapToGrid w:val="0"/>
              <w:jc w:val="center"/>
              <w:rPr>
                <w:sz w:val="24"/>
              </w:rPr>
            </w:pPr>
            <w:r>
              <w:rPr>
                <w:sz w:val="24"/>
              </w:rPr>
              <w:t>施工工期</w:t>
            </w:r>
          </w:p>
        </w:tc>
        <w:tc>
          <w:tcPr>
            <w:tcW w:w="1679" w:type="pct"/>
            <w:vAlign w:val="center"/>
          </w:tcPr>
          <w:p w14:paraId="0DF7B7D1">
            <w:pPr>
              <w:adjustRightInd w:val="0"/>
              <w:snapToGrid w:val="0"/>
              <w:jc w:val="center"/>
              <w:rPr>
                <w:sz w:val="24"/>
              </w:rPr>
            </w:pPr>
            <w:r>
              <w:rPr>
                <w:rFonts w:hint="eastAsia"/>
                <w:sz w:val="24"/>
                <w:szCs w:val="24"/>
              </w:rPr>
              <w:t>12个月</w:t>
            </w:r>
          </w:p>
        </w:tc>
      </w:tr>
      <w:tr w14:paraId="6342FA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981" w:type="pct"/>
            <w:tcMar>
              <w:top w:w="16" w:type="dxa"/>
              <w:left w:w="16" w:type="dxa"/>
              <w:right w:w="16" w:type="dxa"/>
            </w:tcMar>
            <w:vAlign w:val="center"/>
          </w:tcPr>
          <w:p w14:paraId="6629B8D0">
            <w:pPr>
              <w:adjustRightInd w:val="0"/>
              <w:snapToGrid w:val="0"/>
              <w:jc w:val="center"/>
              <w:rPr>
                <w:sz w:val="24"/>
              </w:rPr>
            </w:pPr>
            <w:r>
              <w:rPr>
                <w:sz w:val="24"/>
              </w:rPr>
              <w:t>是否开工建设</w:t>
            </w:r>
          </w:p>
        </w:tc>
        <w:tc>
          <w:tcPr>
            <w:tcW w:w="1104" w:type="pct"/>
            <w:vAlign w:val="center"/>
          </w:tcPr>
          <w:p w14:paraId="69A3E1E5">
            <w:pPr>
              <w:adjustRightInd w:val="0"/>
              <w:snapToGrid w:val="0"/>
              <w:rPr>
                <w:sz w:val="24"/>
              </w:rPr>
            </w:pPr>
            <w:r>
              <w:rPr>
                <w:sz w:val="24"/>
              </w:rPr>
              <w:t>☑否</w:t>
            </w:r>
          </w:p>
          <w:p w14:paraId="4F1E0254">
            <w:pPr>
              <w:adjustRightInd w:val="0"/>
              <w:snapToGrid w:val="0"/>
              <w:rPr>
                <w:sz w:val="24"/>
              </w:rPr>
            </w:pPr>
            <w:r>
              <w:rPr>
                <w:sz w:val="24"/>
              </w:rPr>
              <w:sym w:font="Wingdings 2" w:char="00A3"/>
            </w:r>
            <w:r>
              <w:rPr>
                <w:sz w:val="24"/>
              </w:rPr>
              <w:t>是：</w:t>
            </w:r>
            <w:r>
              <w:rPr>
                <w:sz w:val="24"/>
                <w:u w:val="single"/>
              </w:rPr>
              <w:t xml:space="preserve">             </w:t>
            </w:r>
          </w:p>
        </w:tc>
        <w:tc>
          <w:tcPr>
            <w:tcW w:w="1235" w:type="pct"/>
            <w:tcMar>
              <w:top w:w="16" w:type="dxa"/>
              <w:left w:w="16" w:type="dxa"/>
              <w:right w:w="16" w:type="dxa"/>
            </w:tcMar>
            <w:vAlign w:val="center"/>
          </w:tcPr>
          <w:p w14:paraId="4D4C3F2F">
            <w:pPr>
              <w:adjustRightInd w:val="0"/>
              <w:snapToGrid w:val="0"/>
              <w:jc w:val="center"/>
              <w:rPr>
                <w:sz w:val="24"/>
              </w:rPr>
            </w:pPr>
            <w:r>
              <w:rPr>
                <w:spacing w:val="-6"/>
                <w:sz w:val="24"/>
              </w:rPr>
              <w:t>用地面积（m</w:t>
            </w:r>
            <w:r>
              <w:rPr>
                <w:spacing w:val="-6"/>
                <w:sz w:val="24"/>
                <w:vertAlign w:val="superscript"/>
              </w:rPr>
              <w:t>2</w:t>
            </w:r>
            <w:r>
              <w:rPr>
                <w:spacing w:val="-6"/>
                <w:sz w:val="24"/>
              </w:rPr>
              <w:t>）</w:t>
            </w:r>
          </w:p>
        </w:tc>
        <w:tc>
          <w:tcPr>
            <w:tcW w:w="1679" w:type="pct"/>
            <w:vAlign w:val="center"/>
          </w:tcPr>
          <w:p w14:paraId="0120D2C8">
            <w:pPr>
              <w:adjustRightInd w:val="0"/>
              <w:snapToGrid w:val="0"/>
              <w:jc w:val="center"/>
              <w:rPr>
                <w:sz w:val="24"/>
              </w:rPr>
            </w:pPr>
            <w:r>
              <w:rPr>
                <w:rFonts w:hint="eastAsia"/>
                <w:sz w:val="24"/>
              </w:rPr>
              <w:t>2243</w:t>
            </w:r>
          </w:p>
        </w:tc>
      </w:tr>
      <w:tr w14:paraId="2C6FF4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981" w:type="pct"/>
            <w:vAlign w:val="center"/>
          </w:tcPr>
          <w:p w14:paraId="1BA13FC0">
            <w:pPr>
              <w:adjustRightInd w:val="0"/>
              <w:snapToGrid w:val="0"/>
              <w:jc w:val="center"/>
              <w:rPr>
                <w:kern w:val="0"/>
                <w:sz w:val="24"/>
              </w:rPr>
            </w:pPr>
            <w:r>
              <w:rPr>
                <w:sz w:val="24"/>
              </w:rPr>
              <w:t>专项评价设置情况</w:t>
            </w:r>
          </w:p>
        </w:tc>
        <w:tc>
          <w:tcPr>
            <w:tcW w:w="4019" w:type="pct"/>
            <w:gridSpan w:val="3"/>
            <w:vAlign w:val="center"/>
          </w:tcPr>
          <w:p w14:paraId="5F2BBFF5">
            <w:pPr>
              <w:adjustRightInd w:val="0"/>
              <w:snapToGrid w:val="0"/>
              <w:jc w:val="center"/>
            </w:pPr>
            <w:r>
              <w:rPr>
                <w:rFonts w:hint="eastAsia"/>
                <w:position w:val="-6"/>
                <w:sz w:val="24"/>
                <w:szCs w:val="24"/>
              </w:rPr>
              <w:t>本项目生产中使用植物油抽提溶剂（正己烷含量90%以上），厂内最大存储量为35t，折算正己烷存储量超临界量10t。因此设置环境风险专项评价。</w:t>
            </w:r>
          </w:p>
        </w:tc>
      </w:tr>
      <w:tr w14:paraId="02615B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81" w:type="pct"/>
            <w:vAlign w:val="center"/>
          </w:tcPr>
          <w:p w14:paraId="5E0CF596">
            <w:pPr>
              <w:adjustRightInd w:val="0"/>
              <w:snapToGrid w:val="0"/>
              <w:jc w:val="center"/>
              <w:rPr>
                <w:kern w:val="0"/>
                <w:sz w:val="24"/>
              </w:rPr>
            </w:pPr>
            <w:r>
              <w:rPr>
                <w:sz w:val="24"/>
              </w:rPr>
              <w:t>规划情况</w:t>
            </w:r>
          </w:p>
        </w:tc>
        <w:tc>
          <w:tcPr>
            <w:tcW w:w="4019" w:type="pct"/>
            <w:gridSpan w:val="3"/>
            <w:vAlign w:val="center"/>
          </w:tcPr>
          <w:p w14:paraId="0D153A11">
            <w:pPr>
              <w:adjustRightInd w:val="0"/>
              <w:snapToGrid w:val="0"/>
              <w:jc w:val="center"/>
              <w:rPr>
                <w:position w:val="-6"/>
                <w:sz w:val="24"/>
              </w:rPr>
            </w:pPr>
            <w:r>
              <w:rPr>
                <w:rFonts w:hint="eastAsia"/>
                <w:position w:val="-6"/>
                <w:sz w:val="24"/>
                <w:szCs w:val="24"/>
              </w:rPr>
              <w:t>无</w:t>
            </w:r>
          </w:p>
        </w:tc>
      </w:tr>
      <w:tr w14:paraId="309EA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981" w:type="pct"/>
            <w:vAlign w:val="center"/>
          </w:tcPr>
          <w:p w14:paraId="6BF0750B">
            <w:pPr>
              <w:adjustRightInd w:val="0"/>
              <w:snapToGrid w:val="0"/>
              <w:jc w:val="center"/>
              <w:rPr>
                <w:sz w:val="24"/>
              </w:rPr>
            </w:pPr>
            <w:r>
              <w:rPr>
                <w:sz w:val="24"/>
              </w:rPr>
              <w:t>规划环境影响</w:t>
            </w:r>
          </w:p>
          <w:p w14:paraId="02C7123A">
            <w:pPr>
              <w:adjustRightInd w:val="0"/>
              <w:snapToGrid w:val="0"/>
              <w:jc w:val="center"/>
              <w:rPr>
                <w:kern w:val="0"/>
                <w:sz w:val="24"/>
              </w:rPr>
            </w:pPr>
            <w:r>
              <w:rPr>
                <w:sz w:val="24"/>
              </w:rPr>
              <w:t>评价情况</w:t>
            </w:r>
          </w:p>
        </w:tc>
        <w:tc>
          <w:tcPr>
            <w:tcW w:w="4019" w:type="pct"/>
            <w:gridSpan w:val="3"/>
            <w:vAlign w:val="center"/>
          </w:tcPr>
          <w:p w14:paraId="2A12DC6A">
            <w:pPr>
              <w:autoSpaceDE w:val="0"/>
              <w:autoSpaceDN w:val="0"/>
              <w:adjustRightInd w:val="0"/>
              <w:snapToGrid w:val="0"/>
              <w:jc w:val="center"/>
            </w:pPr>
            <w:r>
              <w:rPr>
                <w:sz w:val="24"/>
              </w:rPr>
              <w:t>无</w:t>
            </w:r>
          </w:p>
        </w:tc>
      </w:tr>
      <w:tr w14:paraId="4FD8E0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981" w:type="pct"/>
            <w:vAlign w:val="center"/>
          </w:tcPr>
          <w:p w14:paraId="6FA64DF3">
            <w:pPr>
              <w:adjustRightInd w:val="0"/>
              <w:snapToGrid w:val="0"/>
              <w:jc w:val="center"/>
              <w:rPr>
                <w:sz w:val="24"/>
              </w:rPr>
            </w:pPr>
            <w:r>
              <w:rPr>
                <w:sz w:val="24"/>
              </w:rPr>
              <w:t>规划及规划</w:t>
            </w:r>
          </w:p>
          <w:p w14:paraId="19D990DB">
            <w:pPr>
              <w:adjustRightInd w:val="0"/>
              <w:snapToGrid w:val="0"/>
              <w:jc w:val="center"/>
              <w:rPr>
                <w:sz w:val="24"/>
              </w:rPr>
            </w:pPr>
            <w:r>
              <w:rPr>
                <w:sz w:val="24"/>
              </w:rPr>
              <w:t>环境影响评价</w:t>
            </w:r>
          </w:p>
          <w:p w14:paraId="50B33242">
            <w:pPr>
              <w:adjustRightInd w:val="0"/>
              <w:snapToGrid w:val="0"/>
              <w:jc w:val="center"/>
              <w:rPr>
                <w:sz w:val="24"/>
              </w:rPr>
            </w:pPr>
            <w:r>
              <w:rPr>
                <w:sz w:val="24"/>
              </w:rPr>
              <w:t>符合性分析</w:t>
            </w:r>
          </w:p>
        </w:tc>
        <w:tc>
          <w:tcPr>
            <w:tcW w:w="4019" w:type="pct"/>
            <w:gridSpan w:val="3"/>
            <w:vAlign w:val="center"/>
          </w:tcPr>
          <w:p w14:paraId="2616B2DF">
            <w:pPr>
              <w:adjustRightInd w:val="0"/>
              <w:snapToGrid w:val="0"/>
              <w:jc w:val="center"/>
              <w:rPr>
                <w:position w:val="-6"/>
                <w:sz w:val="24"/>
                <w:szCs w:val="24"/>
              </w:rPr>
            </w:pPr>
            <w:r>
              <w:rPr>
                <w:rFonts w:hint="eastAsia"/>
                <w:position w:val="-6"/>
                <w:sz w:val="24"/>
                <w:szCs w:val="24"/>
              </w:rPr>
              <w:t>无</w:t>
            </w:r>
          </w:p>
        </w:tc>
      </w:tr>
      <w:tr w14:paraId="3A7075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981" w:type="pct"/>
            <w:vAlign w:val="center"/>
          </w:tcPr>
          <w:p w14:paraId="52CA7296">
            <w:pPr>
              <w:adjustRightInd w:val="0"/>
              <w:snapToGrid w:val="0"/>
              <w:jc w:val="center"/>
              <w:rPr>
                <w:sz w:val="24"/>
              </w:rPr>
            </w:pPr>
            <w:r>
              <w:rPr>
                <w:rFonts w:hint="eastAsia"/>
                <w:kern w:val="0"/>
                <w:sz w:val="24"/>
              </w:rPr>
              <w:t>其他符合性分析</w:t>
            </w:r>
          </w:p>
        </w:tc>
        <w:tc>
          <w:tcPr>
            <w:tcW w:w="4019" w:type="pct"/>
            <w:gridSpan w:val="3"/>
            <w:vAlign w:val="center"/>
          </w:tcPr>
          <w:p w14:paraId="7C59E881">
            <w:pPr>
              <w:adjustRightInd w:val="0"/>
              <w:snapToGrid w:val="0"/>
              <w:spacing w:line="360" w:lineRule="auto"/>
              <w:ind w:firstLine="482" w:firstLineChars="200"/>
              <w:rPr>
                <w:kern w:val="0"/>
                <w:sz w:val="24"/>
                <w:szCs w:val="24"/>
              </w:rPr>
            </w:pPr>
            <w:r>
              <w:rPr>
                <w:b/>
                <w:bCs/>
                <w:kern w:val="0"/>
                <w:sz w:val="24"/>
                <w:szCs w:val="24"/>
              </w:rPr>
              <w:t>1</w:t>
            </w:r>
            <w:r>
              <w:rPr>
                <w:rFonts w:hint="eastAsia"/>
                <w:b/>
                <w:bCs/>
                <w:kern w:val="0"/>
                <w:sz w:val="24"/>
                <w:szCs w:val="24"/>
              </w:rPr>
              <w:t>、与《博罗县“三线一单”生态环境分区管控研究报告》符合性分析</w:t>
            </w:r>
          </w:p>
          <w:p w14:paraId="203987B7">
            <w:pPr>
              <w:autoSpaceDE w:val="0"/>
              <w:autoSpaceDN w:val="0"/>
              <w:adjustRightInd w:val="0"/>
              <w:spacing w:line="360" w:lineRule="auto"/>
              <w:ind w:firstLine="480" w:firstLineChars="200"/>
              <w:rPr>
                <w:sz w:val="24"/>
                <w:szCs w:val="24"/>
              </w:rPr>
            </w:pPr>
            <w:r>
              <w:rPr>
                <w:rFonts w:hint="eastAsia"/>
                <w:sz w:val="24"/>
                <w:szCs w:val="24"/>
              </w:rPr>
              <w:t>（</w:t>
            </w:r>
            <w:r>
              <w:rPr>
                <w:sz w:val="24"/>
                <w:szCs w:val="24"/>
              </w:rPr>
              <w:t>1</w:t>
            </w:r>
            <w:r>
              <w:rPr>
                <w:rFonts w:hint="eastAsia"/>
                <w:sz w:val="24"/>
                <w:szCs w:val="24"/>
              </w:rPr>
              <w:t>）生态保护红线符合性分析</w:t>
            </w:r>
          </w:p>
          <w:p w14:paraId="5A182BDB">
            <w:pPr>
              <w:adjustRightInd w:val="0"/>
              <w:snapToGrid w:val="0"/>
              <w:spacing w:line="360" w:lineRule="auto"/>
              <w:ind w:firstLine="480" w:firstLineChars="200"/>
              <w:rPr>
                <w:sz w:val="24"/>
                <w:szCs w:val="24"/>
              </w:rPr>
            </w:pPr>
            <w:r>
              <w:rPr>
                <w:rFonts w:hint="eastAsia"/>
                <w:sz w:val="24"/>
                <w:szCs w:val="24"/>
              </w:rPr>
              <w:t>根据《博罗县“三线一单</w:t>
            </w:r>
            <w:r>
              <w:rPr>
                <w:sz w:val="24"/>
                <w:szCs w:val="24"/>
              </w:rPr>
              <w:t>”</w:t>
            </w:r>
            <w:r>
              <w:rPr>
                <w:rFonts w:hint="eastAsia"/>
                <w:sz w:val="24"/>
                <w:szCs w:val="24"/>
              </w:rPr>
              <w:t>生态环境分区管控研究报告》中博罗县“三线一单”生态环境分区管控图集，本项目所在地在生态空间管控分区中属博罗县生态空间一般管控区（见附图1），在环境管控单元中属博罗沙河流域重点管控单元（见附图2）。本项目不涉及自然保护区、风景名胜区、饮用水源保护区、基本农田保护区及其它需要特殊保护的敏感区域，不涉及优先保护单元，符合生态保护红线要求。</w:t>
            </w:r>
          </w:p>
          <w:p w14:paraId="6C57491F">
            <w:pPr>
              <w:spacing w:line="360" w:lineRule="auto"/>
              <w:ind w:firstLine="480" w:firstLineChars="200"/>
              <w:rPr>
                <w:sz w:val="24"/>
                <w:szCs w:val="24"/>
              </w:rPr>
            </w:pPr>
            <w:r>
              <w:rPr>
                <w:rFonts w:hint="eastAsia"/>
                <w:sz w:val="24"/>
                <w:szCs w:val="24"/>
              </w:rPr>
              <w:t>（</w:t>
            </w:r>
            <w:r>
              <w:rPr>
                <w:sz w:val="24"/>
                <w:szCs w:val="24"/>
              </w:rPr>
              <w:t>2</w:t>
            </w:r>
            <w:r>
              <w:rPr>
                <w:rFonts w:hint="eastAsia"/>
                <w:sz w:val="24"/>
                <w:szCs w:val="24"/>
              </w:rPr>
              <w:t>）环境质量底线符合性分析</w:t>
            </w:r>
          </w:p>
          <w:p w14:paraId="35349D90">
            <w:pPr>
              <w:spacing w:line="360" w:lineRule="auto"/>
              <w:ind w:firstLine="480" w:firstLineChars="200"/>
              <w:rPr>
                <w:sz w:val="24"/>
                <w:szCs w:val="24"/>
              </w:rPr>
            </w:pPr>
            <w:r>
              <w:rPr>
                <w:rFonts w:hint="eastAsia"/>
                <w:sz w:val="24"/>
                <w:szCs w:val="24"/>
              </w:rPr>
              <w:t>本项目在水环境分区管控单元中属陈村渠惠州市湖镇镇控制单元（见附图3），在水环境质量底线管控分区中属水环境一般管控区（见附图4），不在集中式饮用水水源保护区范围内。本项目无生产废水排放；厂区生活污水依托现有污</w:t>
            </w:r>
            <w:r>
              <w:rPr>
                <w:rFonts w:hint="eastAsia"/>
                <w:sz w:val="24"/>
              </w:rPr>
              <w:t>水处理设施处理后达到《城镇污水处理厂污染物排放标准》</w:t>
            </w:r>
            <w:r>
              <w:rPr>
                <w:sz w:val="24"/>
              </w:rPr>
              <w:t>(GB18918-2002)</w:t>
            </w:r>
            <w:r>
              <w:rPr>
                <w:rFonts w:hint="eastAsia"/>
                <w:sz w:val="24"/>
              </w:rPr>
              <w:t>二级标准及广东省《水污染物排放限值》</w:t>
            </w:r>
            <w:r>
              <w:rPr>
                <w:sz w:val="24"/>
              </w:rPr>
              <w:t>(DB44/26-2001)</w:t>
            </w:r>
            <w:r>
              <w:rPr>
                <w:rFonts w:hint="eastAsia"/>
                <w:sz w:val="24"/>
              </w:rPr>
              <w:t>第二时段二级标准较严者后，用于山林灌溉。</w:t>
            </w:r>
          </w:p>
          <w:p w14:paraId="63DA4419">
            <w:pPr>
              <w:spacing w:line="360" w:lineRule="auto"/>
              <w:ind w:firstLine="480" w:firstLineChars="200"/>
              <w:rPr>
                <w:sz w:val="24"/>
                <w:szCs w:val="24"/>
              </w:rPr>
            </w:pPr>
            <w:r>
              <w:rPr>
                <w:rFonts w:hint="eastAsia"/>
                <w:sz w:val="24"/>
                <w:szCs w:val="24"/>
              </w:rPr>
              <w:t>本项目在大气环境管控分区中属博罗县大气环境一般管控区（见附图5），项目所在区域环境空气质量满足《环境空气质量标准》（</w:t>
            </w:r>
            <w:r>
              <w:rPr>
                <w:sz w:val="24"/>
                <w:szCs w:val="24"/>
              </w:rPr>
              <w:t>GB3095-2012</w:t>
            </w:r>
            <w:r>
              <w:rPr>
                <w:rFonts w:hint="eastAsia"/>
                <w:sz w:val="24"/>
                <w:szCs w:val="24"/>
              </w:rPr>
              <w:t>）二级标准以及</w:t>
            </w:r>
            <w:r>
              <w:rPr>
                <w:sz w:val="24"/>
                <w:szCs w:val="24"/>
              </w:rPr>
              <w:t>2018</w:t>
            </w:r>
            <w:r>
              <w:rPr>
                <w:rFonts w:hint="eastAsia"/>
                <w:sz w:val="24"/>
                <w:szCs w:val="24"/>
              </w:rPr>
              <w:t>年修改单中的相关规定，本项目产生的有机废气经活性炭吸附处理达标后排放，不会突破大气环境质量底线。</w:t>
            </w:r>
          </w:p>
          <w:p w14:paraId="1013719B">
            <w:pPr>
              <w:spacing w:line="360" w:lineRule="auto"/>
              <w:ind w:firstLine="480" w:firstLineChars="200"/>
              <w:rPr>
                <w:sz w:val="24"/>
                <w:szCs w:val="24"/>
              </w:rPr>
            </w:pPr>
            <w:r>
              <w:rPr>
                <w:rFonts w:hint="eastAsia"/>
                <w:sz w:val="24"/>
                <w:szCs w:val="24"/>
              </w:rPr>
              <w:t>本项目在土壤环境管控分区中属博罗县土壤环境一般管控区-不含农用地（见附图6）。项目废气主要污染因子为非甲烷总烃，不涉及重金属大气沉降，也不涉及地面漫流和垂直渗入，项目生产区域地面已硬底化，对一般固废暂存间及危险废物暂存间进行防腐防渗防泄漏处理，不会对土壤环境造成污染。</w:t>
            </w:r>
          </w:p>
          <w:p w14:paraId="6B9D1EEC">
            <w:pPr>
              <w:spacing w:line="360" w:lineRule="auto"/>
              <w:ind w:firstLine="480" w:firstLineChars="200"/>
              <w:rPr>
                <w:sz w:val="24"/>
                <w:szCs w:val="24"/>
              </w:rPr>
            </w:pPr>
            <w:r>
              <w:rPr>
                <w:rFonts w:hint="eastAsia"/>
                <w:sz w:val="24"/>
                <w:szCs w:val="24"/>
              </w:rPr>
              <w:t>在落实本评价提出的污染防治措施后，本项目污染物排放不会改变现有环境质量，项目的实施不会影响区域环境质量目标的实现，符合环境质量底线要求。</w:t>
            </w:r>
          </w:p>
          <w:p w14:paraId="4A7F240F">
            <w:pPr>
              <w:spacing w:line="360" w:lineRule="auto"/>
              <w:ind w:firstLine="480" w:firstLineChars="200"/>
              <w:rPr>
                <w:sz w:val="24"/>
                <w:szCs w:val="24"/>
              </w:rPr>
            </w:pPr>
            <w:r>
              <w:rPr>
                <w:rFonts w:hint="eastAsia"/>
                <w:sz w:val="24"/>
                <w:szCs w:val="24"/>
              </w:rPr>
              <w:t>（</w:t>
            </w:r>
            <w:r>
              <w:rPr>
                <w:sz w:val="24"/>
                <w:szCs w:val="24"/>
              </w:rPr>
              <w:t>3</w:t>
            </w:r>
            <w:r>
              <w:rPr>
                <w:rFonts w:hint="eastAsia"/>
                <w:sz w:val="24"/>
                <w:szCs w:val="24"/>
              </w:rPr>
              <w:t>）资源利用上线符合性分析</w:t>
            </w:r>
          </w:p>
          <w:p w14:paraId="58E57409">
            <w:pPr>
              <w:pStyle w:val="42"/>
              <w:spacing w:line="360" w:lineRule="auto"/>
              <w:ind w:firstLine="480" w:firstLineChars="200"/>
              <w:rPr>
                <w:rFonts w:hint="default" w:ascii="Times New Roman" w:hAnsi="Times New Roman"/>
                <w:b w:val="0"/>
                <w:bCs/>
                <w:color w:val="auto"/>
              </w:rPr>
            </w:pPr>
            <w:r>
              <w:rPr>
                <w:rFonts w:ascii="Times New Roman" w:hAnsi="Times New Roman"/>
                <w:b w:val="0"/>
                <w:bCs/>
                <w:color w:val="auto"/>
              </w:rPr>
              <w:t>根据《博罗县“三线一单”生态环境分区管控研究报告》中博罗县“三线一单”生态环境分区管控图集，本项目不在土地资源优先保护区范围内（见附图7），属于一般管控区，符合土地资源利用管控要求；本项目不在博罗县高污染燃料禁燃区范围内（见附图8），符合能源利用管控要求；本项目不在博罗县矿产资源开采敏感区范围内（见附图9），且本项目不是矿产资源开采项目，符合矿产资源管控要求。</w:t>
            </w:r>
          </w:p>
          <w:p w14:paraId="05B83CE6">
            <w:pPr>
              <w:spacing w:line="360" w:lineRule="auto"/>
              <w:ind w:firstLine="480" w:firstLineChars="200"/>
              <w:rPr>
                <w:sz w:val="24"/>
                <w:szCs w:val="24"/>
              </w:rPr>
            </w:pPr>
            <w:r>
              <w:rPr>
                <w:rFonts w:hint="eastAsia"/>
                <w:sz w:val="24"/>
                <w:szCs w:val="24"/>
              </w:rPr>
              <w:t>（4）生态环境准入清单符合性分析</w:t>
            </w:r>
          </w:p>
          <w:p w14:paraId="3FE21276">
            <w:pPr>
              <w:spacing w:line="360" w:lineRule="auto"/>
              <w:ind w:firstLine="480" w:firstLineChars="200"/>
              <w:rPr>
                <w:sz w:val="24"/>
                <w:szCs w:val="24"/>
              </w:rPr>
            </w:pPr>
            <w:r>
              <w:rPr>
                <w:bCs/>
                <w:sz w:val="24"/>
                <w:szCs w:val="24"/>
              </w:rPr>
              <w:t>根据</w:t>
            </w:r>
            <w:r>
              <w:rPr>
                <w:rFonts w:hint="eastAsia"/>
                <w:bCs/>
                <w:sz w:val="24"/>
                <w:szCs w:val="24"/>
              </w:rPr>
              <w:t>《博罗县“三线一单</w:t>
            </w:r>
            <w:r>
              <w:rPr>
                <w:bCs/>
                <w:sz w:val="24"/>
                <w:szCs w:val="24"/>
              </w:rPr>
              <w:t>”</w:t>
            </w:r>
            <w:r>
              <w:rPr>
                <w:rFonts w:hint="eastAsia"/>
                <w:bCs/>
                <w:sz w:val="24"/>
                <w:szCs w:val="24"/>
              </w:rPr>
              <w:t>生态环境分区管控研究报告》中博罗县</w:t>
            </w:r>
            <w:r>
              <w:rPr>
                <w:bCs/>
                <w:sz w:val="24"/>
                <w:szCs w:val="24"/>
              </w:rPr>
              <w:t>“</w:t>
            </w:r>
            <w:r>
              <w:rPr>
                <w:rFonts w:hint="eastAsia"/>
                <w:bCs/>
                <w:sz w:val="24"/>
                <w:szCs w:val="24"/>
              </w:rPr>
              <w:t>三线一单</w:t>
            </w:r>
            <w:r>
              <w:rPr>
                <w:bCs/>
                <w:sz w:val="24"/>
                <w:szCs w:val="24"/>
              </w:rPr>
              <w:t>”</w:t>
            </w:r>
            <w:r>
              <w:rPr>
                <w:rFonts w:hint="eastAsia"/>
                <w:bCs/>
                <w:sz w:val="24"/>
                <w:szCs w:val="24"/>
              </w:rPr>
              <w:t>生态环境分区管控图集，本项目</w:t>
            </w:r>
            <w:r>
              <w:rPr>
                <w:rFonts w:hint="eastAsia"/>
                <w:sz w:val="24"/>
                <w:szCs w:val="24"/>
              </w:rPr>
              <w:t>在环境管控单元中属博罗沙河流域重点管控单元（见附图2），环境管控单元编码：</w:t>
            </w:r>
            <w:r>
              <w:rPr>
                <w:sz w:val="24"/>
                <w:szCs w:val="24"/>
              </w:rPr>
              <w:t>ZH44132220001</w:t>
            </w:r>
            <w:r>
              <w:rPr>
                <w:rFonts w:hint="eastAsia"/>
                <w:sz w:val="24"/>
                <w:szCs w:val="24"/>
              </w:rPr>
              <w:t>。</w:t>
            </w:r>
          </w:p>
          <w:p w14:paraId="21A4C0DB">
            <w:pPr>
              <w:spacing w:line="360" w:lineRule="auto"/>
              <w:ind w:firstLine="480" w:firstLineChars="200"/>
              <w:rPr>
                <w:bCs/>
                <w:sz w:val="24"/>
                <w:szCs w:val="24"/>
              </w:rPr>
            </w:pPr>
            <w:r>
              <w:rPr>
                <w:rFonts w:hint="eastAsia"/>
                <w:bCs/>
                <w:sz w:val="24"/>
                <w:szCs w:val="24"/>
              </w:rPr>
              <w:t>对照《博罗县“三线一单</w:t>
            </w:r>
            <w:r>
              <w:rPr>
                <w:bCs/>
                <w:sz w:val="24"/>
                <w:szCs w:val="24"/>
              </w:rPr>
              <w:t>”</w:t>
            </w:r>
            <w:r>
              <w:rPr>
                <w:rFonts w:hint="eastAsia"/>
                <w:bCs/>
                <w:sz w:val="24"/>
                <w:szCs w:val="24"/>
              </w:rPr>
              <w:t>生态环境分区管控研究报告》中博罗县分类环境管控单元及环境准入负面清单，本项目与环境准入负面清单的相符性分析如下表。</w:t>
            </w:r>
          </w:p>
          <w:p w14:paraId="5263BEBA">
            <w:pPr>
              <w:pStyle w:val="14"/>
              <w:spacing w:before="0" w:beforeLines="0" w:after="0" w:afterLines="0" w:line="360" w:lineRule="auto"/>
              <w:rPr>
                <w:rFonts w:eastAsia="宋体"/>
                <w:b/>
                <w:bCs/>
                <w:sz w:val="21"/>
              </w:rPr>
            </w:pPr>
            <w:r>
              <w:rPr>
                <w:rFonts w:hint="eastAsia" w:eastAsia="宋体"/>
                <w:b/>
                <w:bCs/>
                <w:sz w:val="21"/>
              </w:rPr>
              <w:t xml:space="preserve">表1-1 </w:t>
            </w:r>
            <w:r>
              <w:rPr>
                <w:rFonts w:hint="eastAsia" w:eastAsia="宋体"/>
                <w:b/>
                <w:bCs/>
                <w:sz w:val="21"/>
                <w:lang w:val="en-US"/>
              </w:rPr>
              <w:t>生态环境准入清单相符性分析</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0"/>
              <w:gridCol w:w="3467"/>
              <w:gridCol w:w="2471"/>
              <w:gridCol w:w="916"/>
            </w:tblGrid>
            <w:tr w14:paraId="38AB8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685" w:type="pct"/>
                  <w:gridSpan w:val="2"/>
                  <w:tcBorders>
                    <w:top w:val="single" w:color="auto" w:sz="4" w:space="0"/>
                    <w:left w:val="single" w:color="auto" w:sz="4" w:space="0"/>
                    <w:bottom w:val="single" w:color="auto" w:sz="4" w:space="0"/>
                    <w:right w:val="single" w:color="auto" w:sz="4" w:space="0"/>
                  </w:tcBorders>
                  <w:vAlign w:val="center"/>
                </w:tcPr>
                <w:p w14:paraId="7ED634F3">
                  <w:pPr>
                    <w:autoSpaceDE w:val="0"/>
                    <w:autoSpaceDN w:val="0"/>
                    <w:adjustRightInd w:val="0"/>
                    <w:snapToGrid w:val="0"/>
                    <w:jc w:val="center"/>
                    <w:rPr>
                      <w:b/>
                      <w:bCs/>
                      <w:kern w:val="0"/>
                    </w:rPr>
                  </w:pPr>
                  <w:r>
                    <w:rPr>
                      <w:rFonts w:hint="eastAsia"/>
                      <w:b/>
                      <w:bCs/>
                      <w:kern w:val="0"/>
                    </w:rPr>
                    <w:t>管控要求</w:t>
                  </w:r>
                </w:p>
              </w:tc>
              <w:tc>
                <w:tcPr>
                  <w:tcW w:w="1689" w:type="pct"/>
                  <w:tcBorders>
                    <w:top w:val="single" w:color="auto" w:sz="4" w:space="0"/>
                    <w:left w:val="single" w:color="auto" w:sz="4" w:space="0"/>
                    <w:bottom w:val="single" w:color="auto" w:sz="4" w:space="0"/>
                    <w:right w:val="single" w:color="auto" w:sz="4" w:space="0"/>
                  </w:tcBorders>
                  <w:vAlign w:val="center"/>
                </w:tcPr>
                <w:p w14:paraId="7ABA51B3">
                  <w:pPr>
                    <w:autoSpaceDE w:val="0"/>
                    <w:autoSpaceDN w:val="0"/>
                    <w:adjustRightInd w:val="0"/>
                    <w:snapToGrid w:val="0"/>
                    <w:jc w:val="center"/>
                    <w:rPr>
                      <w:b/>
                      <w:bCs/>
                      <w:kern w:val="0"/>
                    </w:rPr>
                  </w:pPr>
                  <w:r>
                    <w:rPr>
                      <w:rFonts w:hint="eastAsia"/>
                      <w:b/>
                      <w:bCs/>
                      <w:kern w:val="0"/>
                    </w:rPr>
                    <w:t>本项目情况</w:t>
                  </w:r>
                </w:p>
              </w:tc>
              <w:tc>
                <w:tcPr>
                  <w:tcW w:w="626" w:type="pct"/>
                  <w:tcBorders>
                    <w:top w:val="single" w:color="auto" w:sz="4" w:space="0"/>
                    <w:left w:val="single" w:color="auto" w:sz="4" w:space="0"/>
                    <w:bottom w:val="single" w:color="auto" w:sz="4" w:space="0"/>
                    <w:right w:val="single" w:color="auto" w:sz="4" w:space="0"/>
                  </w:tcBorders>
                  <w:vAlign w:val="center"/>
                </w:tcPr>
                <w:p w14:paraId="58DD30F1">
                  <w:pPr>
                    <w:autoSpaceDE w:val="0"/>
                    <w:autoSpaceDN w:val="0"/>
                    <w:adjustRightInd w:val="0"/>
                    <w:snapToGrid w:val="0"/>
                    <w:jc w:val="center"/>
                    <w:rPr>
                      <w:b/>
                      <w:bCs/>
                      <w:kern w:val="0"/>
                    </w:rPr>
                  </w:pPr>
                  <w:r>
                    <w:rPr>
                      <w:rFonts w:hint="eastAsia"/>
                      <w:b/>
                      <w:bCs/>
                      <w:kern w:val="0"/>
                    </w:rPr>
                    <w:t>相符性分析</w:t>
                  </w:r>
                </w:p>
              </w:tc>
            </w:tr>
            <w:tr w14:paraId="25FF9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restart"/>
                  <w:tcBorders>
                    <w:top w:val="single" w:color="auto" w:sz="4" w:space="0"/>
                    <w:left w:val="single" w:color="auto" w:sz="4" w:space="0"/>
                    <w:bottom w:val="single" w:color="auto" w:sz="4" w:space="0"/>
                    <w:right w:val="single" w:color="auto" w:sz="4" w:space="0"/>
                  </w:tcBorders>
                  <w:vAlign w:val="center"/>
                </w:tcPr>
                <w:p w14:paraId="26E30860">
                  <w:pPr>
                    <w:autoSpaceDE w:val="0"/>
                    <w:autoSpaceDN w:val="0"/>
                    <w:adjustRightInd w:val="0"/>
                    <w:snapToGrid w:val="0"/>
                    <w:jc w:val="center"/>
                    <w:rPr>
                      <w:kern w:val="0"/>
                    </w:rPr>
                  </w:pPr>
                  <w:r>
                    <w:rPr>
                      <w:rFonts w:hint="eastAsia"/>
                      <w:kern w:val="0"/>
                    </w:rPr>
                    <w:t>区域布局管控要求</w:t>
                  </w:r>
                </w:p>
              </w:tc>
              <w:tc>
                <w:tcPr>
                  <w:tcW w:w="2370" w:type="pct"/>
                  <w:tcBorders>
                    <w:top w:val="single" w:color="auto" w:sz="4" w:space="0"/>
                    <w:left w:val="single" w:color="auto" w:sz="4" w:space="0"/>
                    <w:bottom w:val="single" w:color="auto" w:sz="4" w:space="0"/>
                    <w:right w:val="single" w:color="auto" w:sz="4" w:space="0"/>
                  </w:tcBorders>
                  <w:vAlign w:val="center"/>
                </w:tcPr>
                <w:p w14:paraId="6EC51547">
                  <w:pPr>
                    <w:rPr>
                      <w:kern w:val="0"/>
                    </w:rPr>
                  </w:pPr>
                  <w:r>
                    <w:t>1-1.</w:t>
                  </w:r>
                  <w:r>
                    <w:rPr>
                      <w:rFonts w:hint="eastAsia"/>
                    </w:rPr>
                    <w:t>【产业</w:t>
                  </w:r>
                  <w:r>
                    <w:t>/</w:t>
                  </w:r>
                  <w:r>
                    <w:rPr>
                      <w:rFonts w:hint="eastAsia"/>
                    </w:rPr>
                    <w:t>鼓励引导类】饮用水水源保护区外的区域，重点发展电子信息、智能家电、先进材料等产业。</w:t>
                  </w:r>
                </w:p>
              </w:tc>
              <w:tc>
                <w:tcPr>
                  <w:tcW w:w="1689" w:type="pct"/>
                  <w:tcBorders>
                    <w:top w:val="single" w:color="auto" w:sz="4" w:space="0"/>
                    <w:left w:val="single" w:color="auto" w:sz="4" w:space="0"/>
                    <w:bottom w:val="single" w:color="auto" w:sz="4" w:space="0"/>
                    <w:right w:val="single" w:color="auto" w:sz="4" w:space="0"/>
                  </w:tcBorders>
                  <w:vAlign w:val="center"/>
                </w:tcPr>
                <w:p w14:paraId="15994615">
                  <w:r>
                    <w:t>1-1.</w:t>
                  </w:r>
                  <w:r>
                    <w:rPr>
                      <w:rFonts w:hint="eastAsia"/>
                    </w:rPr>
                    <w:t>本项目选址位于饮用水源保护区之外，项目属N7723固体废物治理、D4430</w:t>
                  </w:r>
                  <w:r>
                    <w:t>电力、</w:t>
                  </w:r>
                  <w:r>
                    <w:rPr>
                      <w:rFonts w:hint="eastAsia"/>
                    </w:rPr>
                    <w:t>热力、燃气及水生产和供应业，为允许类产业。</w:t>
                  </w:r>
                </w:p>
              </w:tc>
              <w:tc>
                <w:tcPr>
                  <w:tcW w:w="626" w:type="pct"/>
                  <w:tcBorders>
                    <w:top w:val="single" w:color="auto" w:sz="4" w:space="0"/>
                    <w:left w:val="single" w:color="auto" w:sz="4" w:space="0"/>
                    <w:bottom w:val="single" w:color="auto" w:sz="4" w:space="0"/>
                    <w:right w:val="single" w:color="auto" w:sz="4" w:space="0"/>
                  </w:tcBorders>
                  <w:vAlign w:val="center"/>
                </w:tcPr>
                <w:p w14:paraId="34226168">
                  <w:pPr>
                    <w:autoSpaceDE w:val="0"/>
                    <w:autoSpaceDN w:val="0"/>
                    <w:adjustRightInd w:val="0"/>
                    <w:snapToGrid w:val="0"/>
                    <w:jc w:val="center"/>
                    <w:rPr>
                      <w:kern w:val="0"/>
                    </w:rPr>
                  </w:pPr>
                  <w:r>
                    <w:rPr>
                      <w:rFonts w:hint="eastAsia"/>
                      <w:kern w:val="0"/>
                    </w:rPr>
                    <w:t>符合</w:t>
                  </w:r>
                </w:p>
              </w:tc>
            </w:tr>
            <w:tr w14:paraId="536C6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59ED7FB2">
                  <w:pPr>
                    <w:widowControl/>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0748AE4D">
                  <w:pPr>
                    <w:rPr>
                      <w:kern w:val="0"/>
                      <w:lang w:bidi="ar"/>
                    </w:rPr>
                  </w:pPr>
                  <w:r>
                    <w:t>1-2.</w:t>
                  </w:r>
                  <w:r>
                    <w:rPr>
                      <w:rFonts w:hint="eastAsia"/>
                    </w:rPr>
                    <w:t>【产业</w:t>
                  </w:r>
                  <w:r>
                    <w:t>/</w:t>
                  </w:r>
                  <w:r>
                    <w:rPr>
                      <w:rFonts w:hint="eastAsia"/>
                    </w:rPr>
                    <w:t>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689" w:type="pct"/>
                  <w:tcBorders>
                    <w:top w:val="single" w:color="auto" w:sz="4" w:space="0"/>
                    <w:left w:val="single" w:color="auto" w:sz="4" w:space="0"/>
                    <w:bottom w:val="single" w:color="auto" w:sz="4" w:space="0"/>
                    <w:right w:val="single" w:color="auto" w:sz="4" w:space="0"/>
                  </w:tcBorders>
                  <w:vAlign w:val="center"/>
                </w:tcPr>
                <w:p w14:paraId="0A538343">
                  <w:r>
                    <w:t>1-2.</w:t>
                  </w:r>
                  <w:r>
                    <w:rPr>
                      <w:rFonts w:hint="eastAsia"/>
                    </w:rPr>
                    <w:t>项目从事一般工业固体废物治理，不属于禁止类产业。</w:t>
                  </w:r>
                </w:p>
              </w:tc>
              <w:tc>
                <w:tcPr>
                  <w:tcW w:w="626" w:type="pct"/>
                  <w:tcBorders>
                    <w:top w:val="single" w:color="auto" w:sz="4" w:space="0"/>
                    <w:left w:val="single" w:color="auto" w:sz="4" w:space="0"/>
                    <w:bottom w:val="single" w:color="auto" w:sz="4" w:space="0"/>
                    <w:right w:val="single" w:color="auto" w:sz="4" w:space="0"/>
                  </w:tcBorders>
                  <w:vAlign w:val="center"/>
                </w:tcPr>
                <w:p w14:paraId="40DF5929">
                  <w:pPr>
                    <w:autoSpaceDE w:val="0"/>
                    <w:autoSpaceDN w:val="0"/>
                    <w:adjustRightInd w:val="0"/>
                    <w:snapToGrid w:val="0"/>
                    <w:jc w:val="center"/>
                    <w:rPr>
                      <w:kern w:val="0"/>
                    </w:rPr>
                  </w:pPr>
                  <w:r>
                    <w:rPr>
                      <w:rFonts w:hint="eastAsia"/>
                      <w:kern w:val="0"/>
                    </w:rPr>
                    <w:t>符合</w:t>
                  </w:r>
                </w:p>
              </w:tc>
            </w:tr>
            <w:tr w14:paraId="52617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7FAF6FA0">
                  <w:pPr>
                    <w:widowControl/>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085A5772">
                  <w:pPr>
                    <w:rPr>
                      <w:kern w:val="0"/>
                      <w:lang w:bidi="ar"/>
                    </w:rPr>
                  </w:pPr>
                  <w:r>
                    <w:t>1-3.</w:t>
                  </w:r>
                  <w:r>
                    <w:rPr>
                      <w:rFonts w:hint="eastAsia"/>
                    </w:rPr>
                    <w:t>【产业</w:t>
                  </w:r>
                  <w:r>
                    <w:t>/</w:t>
                  </w:r>
                  <w:r>
                    <w:rPr>
                      <w:rFonts w:hint="eastAsia"/>
                    </w:rPr>
                    <w:t>限制类】严格限制化工、包装印刷、工业涂装等高</w:t>
                  </w:r>
                  <w:r>
                    <w:t>VOCs</w:t>
                  </w:r>
                  <w:r>
                    <w:rPr>
                      <w:rFonts w:hint="eastAsia"/>
                    </w:rPr>
                    <w:t>排放建设项目。</w:t>
                  </w:r>
                </w:p>
              </w:tc>
              <w:tc>
                <w:tcPr>
                  <w:tcW w:w="1689" w:type="pct"/>
                  <w:tcBorders>
                    <w:top w:val="single" w:color="auto" w:sz="4" w:space="0"/>
                    <w:left w:val="single" w:color="auto" w:sz="4" w:space="0"/>
                    <w:bottom w:val="single" w:color="auto" w:sz="4" w:space="0"/>
                    <w:right w:val="single" w:color="auto" w:sz="4" w:space="0"/>
                  </w:tcBorders>
                  <w:vAlign w:val="center"/>
                </w:tcPr>
                <w:p w14:paraId="0CD96FE2">
                  <w:r>
                    <w:t>1-3.</w:t>
                  </w:r>
                  <w:r>
                    <w:rPr>
                      <w:rFonts w:hint="eastAsia"/>
                    </w:rPr>
                    <w:t>本项目从事一般工业固体废物治理，生产过程中不涉及化工、包装印刷、工业涂装等高</w:t>
                  </w:r>
                  <w:r>
                    <w:t>VOCs</w:t>
                  </w:r>
                  <w:r>
                    <w:rPr>
                      <w:rFonts w:hint="eastAsia"/>
                    </w:rPr>
                    <w:t>排放。</w:t>
                  </w:r>
                </w:p>
              </w:tc>
              <w:tc>
                <w:tcPr>
                  <w:tcW w:w="626" w:type="pct"/>
                  <w:tcBorders>
                    <w:top w:val="single" w:color="auto" w:sz="4" w:space="0"/>
                    <w:left w:val="single" w:color="auto" w:sz="4" w:space="0"/>
                    <w:bottom w:val="single" w:color="auto" w:sz="4" w:space="0"/>
                    <w:right w:val="single" w:color="auto" w:sz="4" w:space="0"/>
                  </w:tcBorders>
                  <w:vAlign w:val="center"/>
                </w:tcPr>
                <w:p w14:paraId="0CA5DED0">
                  <w:pPr>
                    <w:autoSpaceDE w:val="0"/>
                    <w:autoSpaceDN w:val="0"/>
                    <w:adjustRightInd w:val="0"/>
                    <w:snapToGrid w:val="0"/>
                    <w:jc w:val="center"/>
                    <w:rPr>
                      <w:kern w:val="0"/>
                    </w:rPr>
                  </w:pPr>
                  <w:r>
                    <w:rPr>
                      <w:rFonts w:hint="eastAsia"/>
                      <w:kern w:val="0"/>
                    </w:rPr>
                    <w:t>符合</w:t>
                  </w:r>
                </w:p>
              </w:tc>
            </w:tr>
            <w:tr w14:paraId="5F1E0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01146F80">
                  <w:pPr>
                    <w:widowControl/>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080632E2">
                  <w:pPr>
                    <w:widowControl/>
                    <w:rPr>
                      <w:kern w:val="0"/>
                      <w:lang w:bidi="ar"/>
                    </w:rPr>
                  </w:pPr>
                  <w:r>
                    <w:t>1-4.</w:t>
                  </w:r>
                  <w:r>
                    <w:rPr>
                      <w:rFonts w:hint="eastAsia"/>
                    </w:rPr>
                    <w:t>【生态</w:t>
                  </w:r>
                  <w:r>
                    <w:t>/</w:t>
                  </w:r>
                  <w:r>
                    <w:rPr>
                      <w:rFonts w:hint="eastAsia"/>
                    </w:rPr>
                    <w:t>限制类】一般生态空间内可开展生态保护红线内允许的活动，在不影响主导生态功能的前提下，还可开展国家和省规定不纳入环评管理的项目建设，以及生态旅游、基础设施建设、村庄建设等人为活动。</w:t>
                  </w:r>
                </w:p>
              </w:tc>
              <w:tc>
                <w:tcPr>
                  <w:tcW w:w="1689" w:type="pct"/>
                  <w:tcBorders>
                    <w:top w:val="single" w:color="auto" w:sz="4" w:space="0"/>
                    <w:left w:val="single" w:color="auto" w:sz="4" w:space="0"/>
                    <w:bottom w:val="single" w:color="auto" w:sz="4" w:space="0"/>
                    <w:right w:val="single" w:color="auto" w:sz="4" w:space="0"/>
                  </w:tcBorders>
                  <w:vAlign w:val="center"/>
                </w:tcPr>
                <w:p w14:paraId="70DAB01D">
                  <w:r>
                    <w:t>1-4.</w:t>
                  </w:r>
                  <w:r>
                    <w:rPr>
                      <w:rFonts w:hint="eastAsia"/>
                    </w:rPr>
                    <w:t>本项目所在地属博罗县生态空间一般管控区，不在一般生态空间范围内。</w:t>
                  </w:r>
                </w:p>
              </w:tc>
              <w:tc>
                <w:tcPr>
                  <w:tcW w:w="626" w:type="pct"/>
                  <w:tcBorders>
                    <w:top w:val="single" w:color="auto" w:sz="4" w:space="0"/>
                    <w:left w:val="single" w:color="auto" w:sz="4" w:space="0"/>
                    <w:bottom w:val="single" w:color="auto" w:sz="4" w:space="0"/>
                    <w:right w:val="single" w:color="auto" w:sz="4" w:space="0"/>
                  </w:tcBorders>
                  <w:vAlign w:val="center"/>
                </w:tcPr>
                <w:p w14:paraId="10A32DBB">
                  <w:pPr>
                    <w:autoSpaceDE w:val="0"/>
                    <w:autoSpaceDN w:val="0"/>
                    <w:adjustRightInd w:val="0"/>
                    <w:snapToGrid w:val="0"/>
                    <w:jc w:val="center"/>
                    <w:rPr>
                      <w:kern w:val="0"/>
                    </w:rPr>
                  </w:pPr>
                  <w:r>
                    <w:rPr>
                      <w:rFonts w:hint="eastAsia"/>
                      <w:kern w:val="0"/>
                    </w:rPr>
                    <w:t>符合</w:t>
                  </w:r>
                </w:p>
              </w:tc>
            </w:tr>
            <w:tr w14:paraId="76F07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1E9B647E">
                  <w:pPr>
                    <w:widowControl/>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4A6AFD08">
                  <w:pPr>
                    <w:rPr>
                      <w:kern w:val="0"/>
                      <w:lang w:bidi="ar"/>
                    </w:rPr>
                  </w:pPr>
                  <w:r>
                    <w:t>1-5.</w:t>
                  </w:r>
                  <w:r>
                    <w:rPr>
                      <w:rFonts w:hint="eastAsia"/>
                    </w:rPr>
                    <w:t>【水</w:t>
                  </w:r>
                  <w:r>
                    <w:t>/</w:t>
                  </w:r>
                  <w:r>
                    <w:rPr>
                      <w:rFonts w:hint="eastAsia"/>
                    </w:rPr>
                    <w:t>禁止类】饮用水水源保护区涉及园洲镇东江饮用水水源保护区，饮用水水源保护区按照《广东省水污染防治条例》</w:t>
                  </w:r>
                  <w:r>
                    <w:t>“</w:t>
                  </w:r>
                  <w:r>
                    <w:rPr>
                      <w:rFonts w:hint="eastAsia"/>
                    </w:rPr>
                    <w:t>第五章</w:t>
                  </w:r>
                  <w:r>
                    <w:t xml:space="preserve"> </w:t>
                  </w:r>
                  <w:r>
                    <w:rPr>
                      <w:rFonts w:hint="eastAsia"/>
                    </w:rPr>
                    <w:t>饮用水水源保护和流域特别规定</w:t>
                  </w:r>
                  <w:r>
                    <w:t>”</w:t>
                  </w:r>
                  <w:r>
                    <w:rPr>
                      <w:rFonts w:hint="eastAsia"/>
                    </w:rPr>
                    <w:t>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689" w:type="pct"/>
                  <w:tcBorders>
                    <w:top w:val="single" w:color="auto" w:sz="4" w:space="0"/>
                    <w:left w:val="single" w:color="auto" w:sz="4" w:space="0"/>
                    <w:bottom w:val="single" w:color="auto" w:sz="4" w:space="0"/>
                    <w:right w:val="single" w:color="auto" w:sz="4" w:space="0"/>
                  </w:tcBorders>
                  <w:vAlign w:val="center"/>
                </w:tcPr>
                <w:p w14:paraId="0579EBC9">
                  <w:r>
                    <w:t>1-5.</w:t>
                  </w:r>
                  <w:r>
                    <w:rPr>
                      <w:rFonts w:hint="eastAsia"/>
                    </w:rPr>
                    <w:t>本项目不涉及饮用水水源保护区及园洲镇东江饮用水水源保护区。</w:t>
                  </w:r>
                </w:p>
              </w:tc>
              <w:tc>
                <w:tcPr>
                  <w:tcW w:w="626" w:type="pct"/>
                  <w:tcBorders>
                    <w:top w:val="single" w:color="auto" w:sz="4" w:space="0"/>
                    <w:left w:val="single" w:color="auto" w:sz="4" w:space="0"/>
                    <w:bottom w:val="single" w:color="auto" w:sz="4" w:space="0"/>
                    <w:right w:val="single" w:color="auto" w:sz="4" w:space="0"/>
                  </w:tcBorders>
                  <w:vAlign w:val="center"/>
                </w:tcPr>
                <w:p w14:paraId="31572343">
                  <w:pPr>
                    <w:autoSpaceDE w:val="0"/>
                    <w:autoSpaceDN w:val="0"/>
                    <w:adjustRightInd w:val="0"/>
                    <w:snapToGrid w:val="0"/>
                    <w:jc w:val="center"/>
                    <w:rPr>
                      <w:kern w:val="0"/>
                    </w:rPr>
                  </w:pPr>
                  <w:r>
                    <w:rPr>
                      <w:rFonts w:hint="eastAsia"/>
                      <w:kern w:val="0"/>
                    </w:rPr>
                    <w:t>符合</w:t>
                  </w:r>
                </w:p>
              </w:tc>
            </w:tr>
            <w:tr w14:paraId="6DE13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0353955E">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3895E4A1">
                  <w:pPr>
                    <w:rPr>
                      <w:kern w:val="0"/>
                      <w:lang w:bidi="ar"/>
                    </w:rPr>
                  </w:pPr>
                  <w:r>
                    <w:t>1-6.</w:t>
                  </w:r>
                  <w:r>
                    <w:rPr>
                      <w:rFonts w:hint="eastAsia"/>
                    </w:rPr>
                    <w:t>【水</w:t>
                  </w:r>
                  <w:r>
                    <w:t>/</w:t>
                  </w:r>
                  <w:r>
                    <w:rPr>
                      <w:rFonts w:hint="eastAsia"/>
                    </w:rPr>
                    <w:t>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689" w:type="pct"/>
                  <w:tcBorders>
                    <w:top w:val="single" w:color="auto" w:sz="4" w:space="0"/>
                    <w:left w:val="single" w:color="auto" w:sz="4" w:space="0"/>
                    <w:bottom w:val="single" w:color="auto" w:sz="4" w:space="0"/>
                    <w:right w:val="single" w:color="auto" w:sz="4" w:space="0"/>
                  </w:tcBorders>
                  <w:vAlign w:val="center"/>
                </w:tcPr>
                <w:p w14:paraId="6970D825">
                  <w:r>
                    <w:t>1-6.</w:t>
                  </w:r>
                  <w:r>
                    <w:rPr>
                      <w:rFonts w:hint="eastAsia"/>
                    </w:rPr>
                    <w:t>本项目从事一般工业固体废物治理，项目选址在东江干流和沙河干流两岸最高水位线外延五百米范围外。</w:t>
                  </w:r>
                </w:p>
              </w:tc>
              <w:tc>
                <w:tcPr>
                  <w:tcW w:w="626" w:type="pct"/>
                  <w:tcBorders>
                    <w:top w:val="single" w:color="auto" w:sz="4" w:space="0"/>
                    <w:left w:val="single" w:color="auto" w:sz="4" w:space="0"/>
                    <w:bottom w:val="single" w:color="auto" w:sz="4" w:space="0"/>
                    <w:right w:val="single" w:color="auto" w:sz="4" w:space="0"/>
                  </w:tcBorders>
                  <w:vAlign w:val="center"/>
                </w:tcPr>
                <w:p w14:paraId="2920E440">
                  <w:pPr>
                    <w:autoSpaceDE w:val="0"/>
                    <w:autoSpaceDN w:val="0"/>
                    <w:adjustRightInd w:val="0"/>
                    <w:snapToGrid w:val="0"/>
                    <w:jc w:val="center"/>
                    <w:rPr>
                      <w:kern w:val="0"/>
                    </w:rPr>
                  </w:pPr>
                  <w:r>
                    <w:rPr>
                      <w:rFonts w:hint="eastAsia"/>
                      <w:kern w:val="0"/>
                    </w:rPr>
                    <w:t>符合</w:t>
                  </w:r>
                </w:p>
              </w:tc>
            </w:tr>
            <w:tr w14:paraId="65A3F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744CEA3C">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45C2F103">
                  <w:pPr>
                    <w:rPr>
                      <w:kern w:val="0"/>
                      <w:lang w:bidi="ar"/>
                    </w:rPr>
                  </w:pPr>
                  <w:r>
                    <w:t>1-7.</w:t>
                  </w:r>
                  <w:r>
                    <w:rPr>
                      <w:rFonts w:hint="eastAsia"/>
                    </w:rPr>
                    <w:t>【水</w:t>
                  </w:r>
                  <w:r>
                    <w:t>/</w:t>
                  </w:r>
                  <w:r>
                    <w:rPr>
                      <w:rFonts w:hint="eastAsia"/>
                    </w:rPr>
                    <w:t>禁止类】畜禽禁养区内不得从事畜禽养殖业。</w:t>
                  </w:r>
                </w:p>
              </w:tc>
              <w:tc>
                <w:tcPr>
                  <w:tcW w:w="1689" w:type="pct"/>
                  <w:tcBorders>
                    <w:top w:val="single" w:color="auto" w:sz="4" w:space="0"/>
                    <w:left w:val="single" w:color="auto" w:sz="4" w:space="0"/>
                    <w:bottom w:val="single" w:color="auto" w:sz="4" w:space="0"/>
                    <w:right w:val="single" w:color="auto" w:sz="4" w:space="0"/>
                  </w:tcBorders>
                  <w:vAlign w:val="center"/>
                </w:tcPr>
                <w:p w14:paraId="62A4EB9C">
                  <w:r>
                    <w:t>1-7.</w:t>
                  </w:r>
                  <w:r>
                    <w:rPr>
                      <w:rFonts w:hint="eastAsia"/>
                    </w:rPr>
                    <w:t>本项目不属于畜禽养殖业。</w:t>
                  </w:r>
                </w:p>
              </w:tc>
              <w:tc>
                <w:tcPr>
                  <w:tcW w:w="626" w:type="pct"/>
                  <w:tcBorders>
                    <w:top w:val="single" w:color="auto" w:sz="4" w:space="0"/>
                    <w:left w:val="single" w:color="auto" w:sz="4" w:space="0"/>
                    <w:bottom w:val="single" w:color="auto" w:sz="4" w:space="0"/>
                    <w:right w:val="single" w:color="auto" w:sz="4" w:space="0"/>
                  </w:tcBorders>
                  <w:vAlign w:val="center"/>
                </w:tcPr>
                <w:p w14:paraId="6BEFB29C">
                  <w:pPr>
                    <w:autoSpaceDE w:val="0"/>
                    <w:autoSpaceDN w:val="0"/>
                    <w:adjustRightInd w:val="0"/>
                    <w:snapToGrid w:val="0"/>
                    <w:jc w:val="center"/>
                    <w:rPr>
                      <w:kern w:val="0"/>
                    </w:rPr>
                  </w:pPr>
                  <w:r>
                    <w:rPr>
                      <w:rFonts w:hint="eastAsia"/>
                      <w:kern w:val="0"/>
                    </w:rPr>
                    <w:t>符合</w:t>
                  </w:r>
                </w:p>
              </w:tc>
            </w:tr>
            <w:tr w14:paraId="1ECAC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5F2B5D2D">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1DA266F5">
                  <w:pPr>
                    <w:rPr>
                      <w:kern w:val="0"/>
                      <w:lang w:bidi="ar"/>
                    </w:rPr>
                  </w:pPr>
                  <w:r>
                    <w:t>1-8.</w:t>
                  </w:r>
                  <w:r>
                    <w:rPr>
                      <w:rFonts w:hint="eastAsia"/>
                    </w:rPr>
                    <w:t>【水</w:t>
                  </w:r>
                  <w:r>
                    <w:t>/</w:t>
                  </w:r>
                  <w:r>
                    <w:rPr>
                      <w:rFonts w:hint="eastAsia"/>
                    </w:rPr>
                    <w:t>综合类】积极引导</w:t>
                  </w:r>
                  <w:r>
                    <w:t>“</w:t>
                  </w:r>
                  <w:r>
                    <w:rPr>
                      <w:rFonts w:hint="eastAsia"/>
                    </w:rPr>
                    <w:t>散养户</w:t>
                  </w:r>
                  <w:r>
                    <w:t>”</w:t>
                  </w:r>
                  <w:r>
                    <w:rPr>
                      <w:rFonts w:hint="eastAsia"/>
                    </w:rPr>
                    <w:t>自觉维护生态环境，规范养殖或主动退出畜禽养殖。</w:t>
                  </w:r>
                  <w:r>
                    <w:t>“</w:t>
                  </w:r>
                  <w:r>
                    <w:rPr>
                      <w:rFonts w:hint="eastAsia"/>
                    </w:rPr>
                    <w:t>散户养殖</w:t>
                  </w:r>
                  <w:r>
                    <w:t>”</w:t>
                  </w:r>
                  <w:r>
                    <w:rPr>
                      <w:rFonts w:hint="eastAsia"/>
                    </w:rPr>
                    <w:t>按照</w:t>
                  </w:r>
                  <w:r>
                    <w:t>“</w:t>
                  </w:r>
                  <w:r>
                    <w:rPr>
                      <w:rFonts w:hint="eastAsia"/>
                    </w:rPr>
                    <w:t>小组统一监管、从严控制数量、配套相应设施、防渗收集粪便、科学处理还田</w:t>
                  </w:r>
                  <w:r>
                    <w:t>”</w:t>
                  </w:r>
                  <w:r>
                    <w:rPr>
                      <w:rFonts w:hint="eastAsia"/>
                    </w:rPr>
                    <w:t>的原则，加强全程监管。加快推进流域内粪污塘的处理处置，降低养殖业对水环境的影响。</w:t>
                  </w:r>
                </w:p>
              </w:tc>
              <w:tc>
                <w:tcPr>
                  <w:tcW w:w="1689" w:type="pct"/>
                  <w:tcBorders>
                    <w:top w:val="single" w:color="auto" w:sz="4" w:space="0"/>
                    <w:left w:val="single" w:color="auto" w:sz="4" w:space="0"/>
                    <w:bottom w:val="single" w:color="auto" w:sz="4" w:space="0"/>
                    <w:right w:val="single" w:color="auto" w:sz="4" w:space="0"/>
                  </w:tcBorders>
                  <w:vAlign w:val="center"/>
                </w:tcPr>
                <w:p w14:paraId="7A549626">
                  <w:r>
                    <w:t>1-8.</w:t>
                  </w:r>
                  <w:r>
                    <w:rPr>
                      <w:rFonts w:hint="eastAsia"/>
                    </w:rPr>
                    <w:t>本项目不属于畜禽养殖业。</w:t>
                  </w:r>
                </w:p>
              </w:tc>
              <w:tc>
                <w:tcPr>
                  <w:tcW w:w="626" w:type="pct"/>
                  <w:tcBorders>
                    <w:top w:val="single" w:color="auto" w:sz="4" w:space="0"/>
                    <w:left w:val="single" w:color="auto" w:sz="4" w:space="0"/>
                    <w:bottom w:val="single" w:color="auto" w:sz="4" w:space="0"/>
                    <w:right w:val="single" w:color="auto" w:sz="4" w:space="0"/>
                  </w:tcBorders>
                  <w:vAlign w:val="center"/>
                </w:tcPr>
                <w:p w14:paraId="1A112525">
                  <w:pPr>
                    <w:autoSpaceDE w:val="0"/>
                    <w:autoSpaceDN w:val="0"/>
                    <w:adjustRightInd w:val="0"/>
                    <w:snapToGrid w:val="0"/>
                    <w:jc w:val="center"/>
                    <w:rPr>
                      <w:kern w:val="0"/>
                    </w:rPr>
                  </w:pPr>
                  <w:r>
                    <w:rPr>
                      <w:rFonts w:hint="eastAsia"/>
                      <w:kern w:val="0"/>
                    </w:rPr>
                    <w:t>符合</w:t>
                  </w:r>
                </w:p>
              </w:tc>
            </w:tr>
            <w:tr w14:paraId="11980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63667E0A">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6DFE2204">
                  <w:pPr>
                    <w:widowControl/>
                    <w:rPr>
                      <w:kern w:val="0"/>
                      <w:lang w:bidi="ar"/>
                    </w:rPr>
                  </w:pPr>
                  <w:r>
                    <w:t>1-9.</w:t>
                  </w:r>
                  <w:r>
                    <w:rPr>
                      <w:rFonts w:hint="eastAsia"/>
                    </w:rPr>
                    <w:t>【大气</w:t>
                  </w:r>
                  <w:r>
                    <w:t>/</w:t>
                  </w:r>
                  <w:r>
                    <w:rPr>
                      <w:rFonts w:hint="eastAsia"/>
                    </w:rPr>
                    <w:t>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689" w:type="pct"/>
                  <w:tcBorders>
                    <w:top w:val="single" w:color="auto" w:sz="4" w:space="0"/>
                    <w:left w:val="single" w:color="auto" w:sz="4" w:space="0"/>
                    <w:bottom w:val="single" w:color="auto" w:sz="4" w:space="0"/>
                    <w:right w:val="single" w:color="auto" w:sz="4" w:space="0"/>
                  </w:tcBorders>
                  <w:vAlign w:val="center"/>
                </w:tcPr>
                <w:p w14:paraId="496BF23B">
                  <w:r>
                    <w:t>1-9.</w:t>
                  </w:r>
                  <w:r>
                    <w:rPr>
                      <w:rFonts w:hint="eastAsia"/>
                    </w:rPr>
                    <w:t>本项目不位于大气环境受体敏感重点管控区。</w:t>
                  </w:r>
                </w:p>
              </w:tc>
              <w:tc>
                <w:tcPr>
                  <w:tcW w:w="626" w:type="pct"/>
                  <w:tcBorders>
                    <w:top w:val="single" w:color="auto" w:sz="4" w:space="0"/>
                    <w:left w:val="single" w:color="auto" w:sz="4" w:space="0"/>
                    <w:bottom w:val="single" w:color="auto" w:sz="4" w:space="0"/>
                    <w:right w:val="single" w:color="auto" w:sz="4" w:space="0"/>
                  </w:tcBorders>
                  <w:vAlign w:val="center"/>
                </w:tcPr>
                <w:p w14:paraId="4D38A829">
                  <w:pPr>
                    <w:autoSpaceDE w:val="0"/>
                    <w:autoSpaceDN w:val="0"/>
                    <w:adjustRightInd w:val="0"/>
                    <w:snapToGrid w:val="0"/>
                    <w:jc w:val="center"/>
                    <w:rPr>
                      <w:kern w:val="0"/>
                    </w:rPr>
                  </w:pPr>
                  <w:r>
                    <w:rPr>
                      <w:rFonts w:hint="eastAsia"/>
                      <w:kern w:val="0"/>
                    </w:rPr>
                    <w:t>符合</w:t>
                  </w:r>
                </w:p>
              </w:tc>
            </w:tr>
            <w:tr w14:paraId="59D22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10724A08">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0B8ED6D9">
                  <w:r>
                    <w:t>1-10.</w:t>
                  </w:r>
                  <w:r>
                    <w:rPr>
                      <w:rFonts w:hint="eastAsia"/>
                    </w:rPr>
                    <w:t>【大气</w:t>
                  </w:r>
                  <w:r>
                    <w:t>/</w:t>
                  </w:r>
                  <w:r>
                    <w:rPr>
                      <w:rFonts w:hint="eastAsia"/>
                    </w:rPr>
                    <w:t>鼓励引导类】大气环境高排放重点管控区内，强化达标监管，引导工业项目落地集聚发展，有序推进区域内行业企业提标改造。</w:t>
                  </w:r>
                </w:p>
              </w:tc>
              <w:tc>
                <w:tcPr>
                  <w:tcW w:w="1689" w:type="pct"/>
                  <w:tcBorders>
                    <w:top w:val="single" w:color="auto" w:sz="4" w:space="0"/>
                    <w:left w:val="single" w:color="auto" w:sz="4" w:space="0"/>
                    <w:bottom w:val="single" w:color="auto" w:sz="4" w:space="0"/>
                    <w:right w:val="single" w:color="auto" w:sz="4" w:space="0"/>
                  </w:tcBorders>
                  <w:vAlign w:val="center"/>
                </w:tcPr>
                <w:p w14:paraId="01D4F051">
                  <w:r>
                    <w:t>1-10.</w:t>
                  </w:r>
                  <w:r>
                    <w:rPr>
                      <w:rFonts w:hint="eastAsia"/>
                    </w:rPr>
                    <w:t>本项目位于大气环境一般管控区内，项目排放的大气污染物符合相应的排放标准，通过企业强化达标监控，确保废气达标排放。</w:t>
                  </w:r>
                </w:p>
              </w:tc>
              <w:tc>
                <w:tcPr>
                  <w:tcW w:w="626" w:type="pct"/>
                  <w:tcBorders>
                    <w:top w:val="single" w:color="auto" w:sz="4" w:space="0"/>
                    <w:left w:val="single" w:color="auto" w:sz="4" w:space="0"/>
                    <w:bottom w:val="single" w:color="auto" w:sz="4" w:space="0"/>
                    <w:right w:val="single" w:color="auto" w:sz="4" w:space="0"/>
                  </w:tcBorders>
                  <w:vAlign w:val="center"/>
                </w:tcPr>
                <w:p w14:paraId="611410B7">
                  <w:pPr>
                    <w:autoSpaceDE w:val="0"/>
                    <w:autoSpaceDN w:val="0"/>
                    <w:adjustRightInd w:val="0"/>
                    <w:snapToGrid w:val="0"/>
                    <w:jc w:val="center"/>
                    <w:rPr>
                      <w:kern w:val="0"/>
                    </w:rPr>
                  </w:pPr>
                  <w:r>
                    <w:rPr>
                      <w:rFonts w:hint="eastAsia"/>
                      <w:kern w:val="0"/>
                    </w:rPr>
                    <w:t>符合</w:t>
                  </w:r>
                </w:p>
              </w:tc>
            </w:tr>
            <w:tr w14:paraId="6173D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6F07C9EC">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18DA58F9">
                  <w:pPr>
                    <w:rPr>
                      <w:kern w:val="0"/>
                      <w:lang w:bidi="ar"/>
                    </w:rPr>
                  </w:pPr>
                  <w:r>
                    <w:t xml:space="preserve">1-11. </w:t>
                  </w:r>
                  <w:r>
                    <w:rPr>
                      <w:rFonts w:hint="eastAsia"/>
                    </w:rPr>
                    <w:t>【土壤</w:t>
                  </w:r>
                  <w:r>
                    <w:t>/</w:t>
                  </w:r>
                  <w:r>
                    <w:rPr>
                      <w:rFonts w:hint="eastAsia"/>
                    </w:rPr>
                    <w:t>禁止类】禁止在重金属重点防控区域内新建、改建、扩建增加重金属污染物排放总量的建设项目。</w:t>
                  </w:r>
                </w:p>
              </w:tc>
              <w:tc>
                <w:tcPr>
                  <w:tcW w:w="1689" w:type="pct"/>
                  <w:tcBorders>
                    <w:top w:val="single" w:color="auto" w:sz="4" w:space="0"/>
                    <w:left w:val="single" w:color="auto" w:sz="4" w:space="0"/>
                    <w:bottom w:val="single" w:color="auto" w:sz="4" w:space="0"/>
                    <w:right w:val="single" w:color="auto" w:sz="4" w:space="0"/>
                  </w:tcBorders>
                  <w:vAlign w:val="center"/>
                </w:tcPr>
                <w:p w14:paraId="0B941437">
                  <w:r>
                    <w:t>1-11.</w:t>
                  </w:r>
                  <w:r>
                    <w:rPr>
                      <w:rFonts w:hint="eastAsia"/>
                    </w:rPr>
                    <w:t>本项目生产过程中不涉及重金属污染物的产生和排放。</w:t>
                  </w:r>
                </w:p>
              </w:tc>
              <w:tc>
                <w:tcPr>
                  <w:tcW w:w="626" w:type="pct"/>
                  <w:tcBorders>
                    <w:top w:val="single" w:color="auto" w:sz="4" w:space="0"/>
                    <w:left w:val="single" w:color="auto" w:sz="4" w:space="0"/>
                    <w:bottom w:val="single" w:color="auto" w:sz="4" w:space="0"/>
                    <w:right w:val="single" w:color="auto" w:sz="4" w:space="0"/>
                  </w:tcBorders>
                  <w:vAlign w:val="center"/>
                </w:tcPr>
                <w:p w14:paraId="4AD82798">
                  <w:pPr>
                    <w:autoSpaceDE w:val="0"/>
                    <w:autoSpaceDN w:val="0"/>
                    <w:adjustRightInd w:val="0"/>
                    <w:snapToGrid w:val="0"/>
                    <w:jc w:val="center"/>
                    <w:rPr>
                      <w:kern w:val="0"/>
                    </w:rPr>
                  </w:pPr>
                  <w:r>
                    <w:rPr>
                      <w:rFonts w:hint="eastAsia"/>
                      <w:kern w:val="0"/>
                    </w:rPr>
                    <w:t>符合</w:t>
                  </w:r>
                </w:p>
              </w:tc>
            </w:tr>
            <w:tr w14:paraId="36297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337660F7">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5F72B95F">
                  <w:pPr>
                    <w:widowControl/>
                    <w:rPr>
                      <w:kern w:val="0"/>
                      <w:lang w:bidi="ar"/>
                    </w:rPr>
                  </w:pPr>
                  <w:r>
                    <w:t xml:space="preserve">1-12. </w:t>
                  </w:r>
                  <w:r>
                    <w:rPr>
                      <w:rFonts w:hint="eastAsia"/>
                    </w:rPr>
                    <w:t>【土壤</w:t>
                  </w:r>
                  <w:r>
                    <w:t>/</w:t>
                  </w:r>
                  <w:r>
                    <w:rPr>
                      <w:rFonts w:hint="eastAsia"/>
                    </w:rPr>
                    <w:t>限制类】重金属污染防控非重点区新建、改扩建重金属排放项目，应严格落实重金属总量替代与削减要求，严格控制重点行业发展规模。强化涉重金属污染行业建设项目环评审批管理，严格执行环保</w:t>
                  </w:r>
                  <w:r>
                    <w:t>“</w:t>
                  </w:r>
                  <w:r>
                    <w:rPr>
                      <w:rFonts w:hint="eastAsia"/>
                    </w:rPr>
                    <w:t>三同时</w:t>
                  </w:r>
                  <w:r>
                    <w:t>”</w:t>
                  </w:r>
                  <w:r>
                    <w:rPr>
                      <w:rFonts w:hint="eastAsia"/>
                    </w:rPr>
                    <w:t>制度。</w:t>
                  </w:r>
                </w:p>
              </w:tc>
              <w:tc>
                <w:tcPr>
                  <w:tcW w:w="1689" w:type="pct"/>
                  <w:tcBorders>
                    <w:top w:val="single" w:color="auto" w:sz="4" w:space="0"/>
                    <w:left w:val="single" w:color="auto" w:sz="4" w:space="0"/>
                    <w:bottom w:val="single" w:color="auto" w:sz="4" w:space="0"/>
                    <w:right w:val="single" w:color="auto" w:sz="4" w:space="0"/>
                  </w:tcBorders>
                  <w:vAlign w:val="center"/>
                </w:tcPr>
                <w:p w14:paraId="4F3E62F4">
                  <w:r>
                    <w:t>1-12.</w:t>
                  </w:r>
                  <w:r>
                    <w:rPr>
                      <w:rFonts w:hint="eastAsia"/>
                    </w:rPr>
                    <w:t>本项目生产过程中不涉及重金属污染物的产生和排放。</w:t>
                  </w:r>
                </w:p>
              </w:tc>
              <w:tc>
                <w:tcPr>
                  <w:tcW w:w="626" w:type="pct"/>
                  <w:tcBorders>
                    <w:top w:val="single" w:color="auto" w:sz="4" w:space="0"/>
                    <w:left w:val="single" w:color="auto" w:sz="4" w:space="0"/>
                    <w:bottom w:val="single" w:color="auto" w:sz="4" w:space="0"/>
                    <w:right w:val="single" w:color="auto" w:sz="4" w:space="0"/>
                  </w:tcBorders>
                  <w:vAlign w:val="center"/>
                </w:tcPr>
                <w:p w14:paraId="276704A2">
                  <w:pPr>
                    <w:autoSpaceDE w:val="0"/>
                    <w:autoSpaceDN w:val="0"/>
                    <w:adjustRightInd w:val="0"/>
                    <w:snapToGrid w:val="0"/>
                    <w:jc w:val="center"/>
                    <w:rPr>
                      <w:kern w:val="0"/>
                    </w:rPr>
                  </w:pPr>
                  <w:r>
                    <w:rPr>
                      <w:rFonts w:hint="eastAsia"/>
                      <w:kern w:val="0"/>
                    </w:rPr>
                    <w:t>符合</w:t>
                  </w:r>
                </w:p>
              </w:tc>
            </w:tr>
            <w:tr w14:paraId="6323B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restart"/>
                  <w:tcBorders>
                    <w:top w:val="single" w:color="auto" w:sz="4" w:space="0"/>
                    <w:left w:val="single" w:color="auto" w:sz="4" w:space="0"/>
                    <w:bottom w:val="single" w:color="auto" w:sz="4" w:space="0"/>
                    <w:right w:val="single" w:color="auto" w:sz="4" w:space="0"/>
                  </w:tcBorders>
                  <w:vAlign w:val="center"/>
                </w:tcPr>
                <w:p w14:paraId="6F57B43A">
                  <w:pPr>
                    <w:autoSpaceDE w:val="0"/>
                    <w:autoSpaceDN w:val="0"/>
                    <w:adjustRightInd w:val="0"/>
                    <w:snapToGrid w:val="0"/>
                    <w:jc w:val="center"/>
                    <w:rPr>
                      <w:kern w:val="0"/>
                    </w:rPr>
                  </w:pPr>
                  <w:r>
                    <w:rPr>
                      <w:rFonts w:hint="eastAsia"/>
                      <w:kern w:val="0"/>
                    </w:rPr>
                    <w:t>能源资源利用要求</w:t>
                  </w:r>
                </w:p>
              </w:tc>
              <w:tc>
                <w:tcPr>
                  <w:tcW w:w="2370" w:type="pct"/>
                  <w:tcBorders>
                    <w:top w:val="single" w:color="auto" w:sz="4" w:space="0"/>
                    <w:left w:val="single" w:color="auto" w:sz="4" w:space="0"/>
                    <w:bottom w:val="single" w:color="auto" w:sz="4" w:space="0"/>
                    <w:right w:val="single" w:color="auto" w:sz="4" w:space="0"/>
                  </w:tcBorders>
                  <w:vAlign w:val="center"/>
                </w:tcPr>
                <w:p w14:paraId="12AA0A69">
                  <w:pPr>
                    <w:widowControl/>
                    <w:rPr>
                      <w:kern w:val="0"/>
                    </w:rPr>
                  </w:pPr>
                  <w:r>
                    <w:rPr>
                      <w:kern w:val="0"/>
                      <w:lang w:bidi="ar"/>
                    </w:rPr>
                    <w:t>2-1.</w:t>
                  </w:r>
                  <w:r>
                    <w:rPr>
                      <w:rFonts w:hint="eastAsia"/>
                      <w:kern w:val="0"/>
                      <w:lang w:bidi="ar"/>
                    </w:rPr>
                    <w:t>【能源</w:t>
                  </w:r>
                  <w:r>
                    <w:rPr>
                      <w:kern w:val="0"/>
                      <w:lang w:bidi="ar"/>
                    </w:rPr>
                    <w:t>/</w:t>
                  </w:r>
                  <w:r>
                    <w:rPr>
                      <w:rFonts w:hint="eastAsia"/>
                      <w:kern w:val="0"/>
                      <w:lang w:bidi="ar"/>
                    </w:rPr>
                    <w:t>鼓励引导类】鼓励降低煤炭消耗、能源消耗，引导光伏等多种形式的新能源利用。</w:t>
                  </w:r>
                </w:p>
              </w:tc>
              <w:tc>
                <w:tcPr>
                  <w:tcW w:w="1689" w:type="pct"/>
                  <w:tcBorders>
                    <w:top w:val="single" w:color="auto" w:sz="4" w:space="0"/>
                    <w:left w:val="single" w:color="auto" w:sz="4" w:space="0"/>
                    <w:bottom w:val="single" w:color="auto" w:sz="4" w:space="0"/>
                    <w:right w:val="single" w:color="auto" w:sz="4" w:space="0"/>
                  </w:tcBorders>
                  <w:vAlign w:val="center"/>
                </w:tcPr>
                <w:p w14:paraId="205E2302">
                  <w:pPr>
                    <w:rPr>
                      <w:kern w:val="0"/>
                    </w:rPr>
                  </w:pPr>
                  <w:r>
                    <w:t>2-1.</w:t>
                  </w:r>
                  <w:r>
                    <w:rPr>
                      <w:rFonts w:hint="eastAsia"/>
                    </w:rPr>
                    <w:t>本项目生产过程使用电能和生物质能，为允许使用的能源。</w:t>
                  </w:r>
                </w:p>
              </w:tc>
              <w:tc>
                <w:tcPr>
                  <w:tcW w:w="626" w:type="pct"/>
                  <w:tcBorders>
                    <w:top w:val="single" w:color="auto" w:sz="4" w:space="0"/>
                    <w:left w:val="single" w:color="auto" w:sz="4" w:space="0"/>
                    <w:bottom w:val="single" w:color="auto" w:sz="4" w:space="0"/>
                    <w:right w:val="single" w:color="auto" w:sz="4" w:space="0"/>
                  </w:tcBorders>
                  <w:vAlign w:val="center"/>
                </w:tcPr>
                <w:p w14:paraId="5671B46E">
                  <w:pPr>
                    <w:autoSpaceDE w:val="0"/>
                    <w:autoSpaceDN w:val="0"/>
                    <w:adjustRightInd w:val="0"/>
                    <w:snapToGrid w:val="0"/>
                    <w:jc w:val="center"/>
                    <w:rPr>
                      <w:kern w:val="0"/>
                    </w:rPr>
                  </w:pPr>
                  <w:r>
                    <w:rPr>
                      <w:rFonts w:hint="eastAsia"/>
                      <w:kern w:val="0"/>
                    </w:rPr>
                    <w:t>符合</w:t>
                  </w:r>
                </w:p>
              </w:tc>
            </w:tr>
            <w:tr w14:paraId="20D59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6CFD7ABF">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535AD81D">
                  <w:pPr>
                    <w:widowControl/>
                    <w:rPr>
                      <w:kern w:val="0"/>
                    </w:rPr>
                  </w:pPr>
                  <w:r>
                    <w:rPr>
                      <w:kern w:val="0"/>
                      <w:lang w:bidi="ar"/>
                    </w:rPr>
                    <w:t>2-2.</w:t>
                  </w:r>
                  <w:r>
                    <w:rPr>
                      <w:rFonts w:hint="eastAsia"/>
                      <w:kern w:val="0"/>
                      <w:lang w:bidi="ar"/>
                    </w:rPr>
                    <w:t>【能源</w:t>
                  </w:r>
                  <w:r>
                    <w:rPr>
                      <w:kern w:val="0"/>
                      <w:lang w:bidi="ar"/>
                    </w:rPr>
                    <w:t>/</w:t>
                  </w:r>
                  <w:r>
                    <w:rPr>
                      <w:rFonts w:hint="eastAsia"/>
                      <w:kern w:val="0"/>
                      <w:lang w:bidi="ar"/>
                    </w:rPr>
                    <w:t>综合类】根据本地区大气环境质量改善要求逐步扩大高污染燃料禁燃区范围。</w:t>
                  </w:r>
                </w:p>
              </w:tc>
              <w:tc>
                <w:tcPr>
                  <w:tcW w:w="1689" w:type="pct"/>
                  <w:tcBorders>
                    <w:top w:val="single" w:color="auto" w:sz="4" w:space="0"/>
                    <w:left w:val="single" w:color="auto" w:sz="4" w:space="0"/>
                    <w:bottom w:val="single" w:color="auto" w:sz="4" w:space="0"/>
                    <w:right w:val="single" w:color="auto" w:sz="4" w:space="0"/>
                  </w:tcBorders>
                  <w:vAlign w:val="center"/>
                </w:tcPr>
                <w:p w14:paraId="29BFF47B">
                  <w:pPr>
                    <w:rPr>
                      <w:kern w:val="0"/>
                    </w:rPr>
                  </w:pPr>
                  <w:r>
                    <w:t>2-</w:t>
                  </w:r>
                  <w:r>
                    <w:rPr>
                      <w:rFonts w:hint="eastAsia"/>
                    </w:rPr>
                    <w:t>2</w:t>
                  </w:r>
                  <w:r>
                    <w:t>.</w:t>
                  </w:r>
                  <w:r>
                    <w:rPr>
                      <w:rFonts w:hint="eastAsia"/>
                    </w:rPr>
                    <w:t>本项目生产过程使用电能和生物质能，为允许使用的能源。</w:t>
                  </w:r>
                </w:p>
              </w:tc>
              <w:tc>
                <w:tcPr>
                  <w:tcW w:w="626" w:type="pct"/>
                  <w:tcBorders>
                    <w:top w:val="single" w:color="auto" w:sz="4" w:space="0"/>
                    <w:left w:val="single" w:color="auto" w:sz="4" w:space="0"/>
                    <w:bottom w:val="single" w:color="auto" w:sz="4" w:space="0"/>
                    <w:right w:val="single" w:color="auto" w:sz="4" w:space="0"/>
                  </w:tcBorders>
                  <w:vAlign w:val="center"/>
                </w:tcPr>
                <w:p w14:paraId="4412D080">
                  <w:pPr>
                    <w:autoSpaceDE w:val="0"/>
                    <w:autoSpaceDN w:val="0"/>
                    <w:adjustRightInd w:val="0"/>
                    <w:snapToGrid w:val="0"/>
                    <w:jc w:val="center"/>
                    <w:rPr>
                      <w:kern w:val="0"/>
                    </w:rPr>
                  </w:pPr>
                  <w:r>
                    <w:rPr>
                      <w:rFonts w:hint="eastAsia"/>
                      <w:kern w:val="0"/>
                    </w:rPr>
                    <w:t>符合</w:t>
                  </w:r>
                </w:p>
              </w:tc>
            </w:tr>
            <w:tr w14:paraId="0B264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restart"/>
                  <w:tcBorders>
                    <w:top w:val="single" w:color="auto" w:sz="4" w:space="0"/>
                    <w:left w:val="single" w:color="auto" w:sz="4" w:space="0"/>
                    <w:bottom w:val="single" w:color="auto" w:sz="4" w:space="0"/>
                    <w:right w:val="single" w:color="auto" w:sz="4" w:space="0"/>
                  </w:tcBorders>
                  <w:vAlign w:val="center"/>
                </w:tcPr>
                <w:p w14:paraId="3C6A7CFA">
                  <w:pPr>
                    <w:autoSpaceDE w:val="0"/>
                    <w:autoSpaceDN w:val="0"/>
                    <w:adjustRightInd w:val="0"/>
                    <w:snapToGrid w:val="0"/>
                    <w:jc w:val="center"/>
                    <w:rPr>
                      <w:kern w:val="0"/>
                    </w:rPr>
                  </w:pPr>
                  <w:r>
                    <w:rPr>
                      <w:rFonts w:hint="eastAsia"/>
                      <w:kern w:val="0"/>
                    </w:rPr>
                    <w:t>污染物排放管控要求</w:t>
                  </w:r>
                </w:p>
              </w:tc>
              <w:tc>
                <w:tcPr>
                  <w:tcW w:w="2370" w:type="pct"/>
                  <w:tcBorders>
                    <w:top w:val="single" w:color="auto" w:sz="4" w:space="0"/>
                    <w:left w:val="single" w:color="auto" w:sz="4" w:space="0"/>
                    <w:bottom w:val="single" w:color="auto" w:sz="4" w:space="0"/>
                    <w:right w:val="single" w:color="auto" w:sz="4" w:space="0"/>
                  </w:tcBorders>
                  <w:vAlign w:val="center"/>
                </w:tcPr>
                <w:p w14:paraId="5C495E62">
                  <w:pPr>
                    <w:rPr>
                      <w:kern w:val="0"/>
                    </w:rPr>
                  </w:pPr>
                  <w:r>
                    <w:t>3-1.</w:t>
                  </w:r>
                  <w:r>
                    <w:rPr>
                      <w:rFonts w:hint="eastAsia"/>
                    </w:rPr>
                    <w:t>【水</w:t>
                  </w:r>
                  <w:r>
                    <w:t>/</w:t>
                  </w:r>
                  <w:r>
                    <w:rPr>
                      <w:rFonts w:hint="eastAsia"/>
                    </w:rPr>
                    <w:t>限制类】单元内城镇生活污水处理厂出水水质</w:t>
                  </w:r>
                  <w:r>
                    <w:t>CODcr</w:t>
                  </w:r>
                  <w:r>
                    <w:rPr>
                      <w:rFonts w:hint="eastAsia"/>
                    </w:rPr>
                    <w:t>、氨氮、总磷排放执行国家《地表水环境质量》（</w:t>
                  </w:r>
                  <w:r>
                    <w:t>GB3838-2002</w:t>
                  </w:r>
                  <w:r>
                    <w:rPr>
                      <w:rFonts w:hint="eastAsia"/>
                    </w:rPr>
                    <w:t>）</w:t>
                  </w:r>
                  <w:r>
                    <w:t>Ⅴ</w:t>
                  </w:r>
                  <w:r>
                    <w:rPr>
                      <w:rFonts w:hint="eastAsia"/>
                    </w:rPr>
                    <w:t>类标准，其余指标执行国家《城镇污水处理厂污染物排放标》（</w:t>
                  </w:r>
                  <w:r>
                    <w:t>GB18918-2002</w:t>
                  </w:r>
                  <w:r>
                    <w:rPr>
                      <w:rFonts w:hint="eastAsia"/>
                    </w:rPr>
                    <w:t>）一级</w:t>
                  </w:r>
                  <w:r>
                    <w:t xml:space="preserve">A </w:t>
                  </w:r>
                  <w:r>
                    <w:rPr>
                      <w:rFonts w:hint="eastAsia"/>
                    </w:rPr>
                    <w:t>标准与广东省《水污染物排放限值》较严值的标准。</w:t>
                  </w:r>
                </w:p>
              </w:tc>
              <w:tc>
                <w:tcPr>
                  <w:tcW w:w="1689" w:type="pct"/>
                  <w:tcBorders>
                    <w:top w:val="single" w:color="auto" w:sz="4" w:space="0"/>
                    <w:left w:val="single" w:color="auto" w:sz="4" w:space="0"/>
                    <w:bottom w:val="single" w:color="auto" w:sz="4" w:space="0"/>
                    <w:right w:val="single" w:color="auto" w:sz="4" w:space="0"/>
                  </w:tcBorders>
                  <w:vAlign w:val="center"/>
                </w:tcPr>
                <w:p w14:paraId="05B6AE19">
                  <w:pPr>
                    <w:rPr>
                      <w:kern w:val="0"/>
                    </w:rPr>
                  </w:pPr>
                  <w:r>
                    <w:t>3-1.</w:t>
                  </w:r>
                  <w:r>
                    <w:rPr>
                      <w:rFonts w:hint="eastAsia"/>
                      <w:kern w:val="0"/>
                    </w:rPr>
                    <w:t>本项目生产废水全部回用于现有项目蒸炒工序不排放，</w:t>
                  </w:r>
                  <w:r>
                    <w:rPr>
                      <w:rFonts w:hint="eastAsia"/>
                    </w:rPr>
                    <w:t>生活污水依托现有污水处理设施处理后达到《城镇污水处理厂污染物排放标准》</w:t>
                  </w:r>
                  <w:r>
                    <w:t>(GB18918-2002)</w:t>
                  </w:r>
                  <w:r>
                    <w:rPr>
                      <w:rFonts w:hint="eastAsia"/>
                    </w:rPr>
                    <w:t>二级标准及广东省《水污染物排放限值》</w:t>
                  </w:r>
                  <w:r>
                    <w:t>(DB44/26-2001)</w:t>
                  </w:r>
                  <w:r>
                    <w:rPr>
                      <w:rFonts w:hint="eastAsia"/>
                    </w:rPr>
                    <w:t>第二时段二级标准较严者后，用于山林灌溉。对周围环境影响较小。</w:t>
                  </w:r>
                </w:p>
              </w:tc>
              <w:tc>
                <w:tcPr>
                  <w:tcW w:w="626" w:type="pct"/>
                  <w:tcBorders>
                    <w:top w:val="single" w:color="auto" w:sz="4" w:space="0"/>
                    <w:left w:val="single" w:color="auto" w:sz="4" w:space="0"/>
                    <w:bottom w:val="single" w:color="auto" w:sz="4" w:space="0"/>
                    <w:right w:val="single" w:color="auto" w:sz="4" w:space="0"/>
                  </w:tcBorders>
                  <w:vAlign w:val="center"/>
                </w:tcPr>
                <w:p w14:paraId="4C41960D">
                  <w:pPr>
                    <w:autoSpaceDE w:val="0"/>
                    <w:autoSpaceDN w:val="0"/>
                    <w:adjustRightInd w:val="0"/>
                    <w:snapToGrid w:val="0"/>
                    <w:jc w:val="center"/>
                    <w:rPr>
                      <w:kern w:val="0"/>
                    </w:rPr>
                  </w:pPr>
                  <w:r>
                    <w:rPr>
                      <w:rFonts w:hint="eastAsia"/>
                      <w:kern w:val="0"/>
                    </w:rPr>
                    <w:t>符合</w:t>
                  </w:r>
                </w:p>
              </w:tc>
            </w:tr>
            <w:tr w14:paraId="3C764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56944D28">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1260DC50">
                  <w:r>
                    <w:t>3-2.</w:t>
                  </w:r>
                  <w:r>
                    <w:rPr>
                      <w:rFonts w:hint="eastAsia"/>
                    </w:rPr>
                    <w:t>【水</w:t>
                  </w:r>
                  <w:r>
                    <w:t>/</w:t>
                  </w:r>
                  <w:r>
                    <w:rPr>
                      <w:rFonts w:hint="eastAsia"/>
                    </w:rPr>
                    <w:t>限制类】严格控制流域内增加水污染物排放或对东江水质、水环境安全构成影响的项目。</w:t>
                  </w:r>
                </w:p>
              </w:tc>
              <w:tc>
                <w:tcPr>
                  <w:tcW w:w="1689" w:type="pct"/>
                  <w:tcBorders>
                    <w:top w:val="single" w:color="auto" w:sz="4" w:space="0"/>
                    <w:left w:val="single" w:color="auto" w:sz="4" w:space="0"/>
                    <w:bottom w:val="single" w:color="auto" w:sz="4" w:space="0"/>
                    <w:right w:val="single" w:color="auto" w:sz="4" w:space="0"/>
                  </w:tcBorders>
                  <w:vAlign w:val="center"/>
                </w:tcPr>
                <w:p w14:paraId="28F0A84E">
                  <w:r>
                    <w:t>3-2.</w:t>
                  </w:r>
                  <w:r>
                    <w:rPr>
                      <w:rFonts w:hint="eastAsia"/>
                    </w:rPr>
                    <w:t>本项目</w:t>
                  </w:r>
                  <w:r>
                    <w:rPr>
                      <w:rFonts w:hint="eastAsia"/>
                      <w:kern w:val="0"/>
                    </w:rPr>
                    <w:t>生产废水全部回用于现有项目蒸炒工序不排放，</w:t>
                  </w:r>
                  <w:r>
                    <w:rPr>
                      <w:rFonts w:hint="eastAsia"/>
                    </w:rPr>
                    <w:t>生活污水依托现有污水处理设施处理后达到《城镇污水处理厂污染物排放标准》</w:t>
                  </w:r>
                  <w:r>
                    <w:t>(GB18918-2002)</w:t>
                  </w:r>
                  <w:r>
                    <w:rPr>
                      <w:rFonts w:hint="eastAsia"/>
                    </w:rPr>
                    <w:t>二级标准及广东省《水污染物排放限值》</w:t>
                  </w:r>
                  <w:r>
                    <w:t>(DB44/26-2001)</w:t>
                  </w:r>
                  <w:r>
                    <w:rPr>
                      <w:rFonts w:hint="eastAsia"/>
                    </w:rPr>
                    <w:t>第二时段二级标准较严者后，用于山林灌溉。</w:t>
                  </w:r>
                  <w:r>
                    <w:rPr>
                      <w:rFonts w:hint="eastAsia"/>
                      <w:kern w:val="0"/>
                    </w:rPr>
                    <w:t>不会对流域内或东江水质、水环境安全构成影响。</w:t>
                  </w:r>
                </w:p>
              </w:tc>
              <w:tc>
                <w:tcPr>
                  <w:tcW w:w="626" w:type="pct"/>
                  <w:tcBorders>
                    <w:top w:val="single" w:color="auto" w:sz="4" w:space="0"/>
                    <w:left w:val="single" w:color="auto" w:sz="4" w:space="0"/>
                    <w:bottom w:val="single" w:color="auto" w:sz="4" w:space="0"/>
                    <w:right w:val="single" w:color="auto" w:sz="4" w:space="0"/>
                  </w:tcBorders>
                  <w:vAlign w:val="center"/>
                </w:tcPr>
                <w:p w14:paraId="33757780">
                  <w:pPr>
                    <w:autoSpaceDE w:val="0"/>
                    <w:autoSpaceDN w:val="0"/>
                    <w:adjustRightInd w:val="0"/>
                    <w:snapToGrid w:val="0"/>
                    <w:jc w:val="center"/>
                    <w:rPr>
                      <w:kern w:val="0"/>
                    </w:rPr>
                  </w:pPr>
                  <w:r>
                    <w:rPr>
                      <w:rFonts w:hint="eastAsia"/>
                      <w:kern w:val="0"/>
                    </w:rPr>
                    <w:t>符合</w:t>
                  </w:r>
                </w:p>
              </w:tc>
            </w:tr>
            <w:tr w14:paraId="5D98A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20B74A22">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32A3B64C">
                  <w:r>
                    <w:t>3-3.</w:t>
                  </w:r>
                  <w:r>
                    <w:rPr>
                      <w:rFonts w:hint="eastAsia"/>
                    </w:rPr>
                    <w:t>【水</w:t>
                  </w:r>
                  <w:r>
                    <w:t>/</w:t>
                  </w:r>
                  <w:r>
                    <w:rPr>
                      <w:rFonts w:hint="eastAsia"/>
                    </w:rPr>
                    <w:t>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689" w:type="pct"/>
                  <w:tcBorders>
                    <w:top w:val="single" w:color="auto" w:sz="4" w:space="0"/>
                    <w:left w:val="single" w:color="auto" w:sz="4" w:space="0"/>
                    <w:bottom w:val="single" w:color="auto" w:sz="4" w:space="0"/>
                    <w:right w:val="single" w:color="auto" w:sz="4" w:space="0"/>
                  </w:tcBorders>
                  <w:vAlign w:val="center"/>
                </w:tcPr>
                <w:p w14:paraId="4D954113">
                  <w:r>
                    <w:t>3-3.</w:t>
                  </w:r>
                  <w:r>
                    <w:rPr>
                      <w:rFonts w:hint="eastAsia"/>
                    </w:rPr>
                    <w:t>本</w:t>
                  </w:r>
                  <w:r>
                    <w:rPr>
                      <w:rFonts w:hint="eastAsia"/>
                      <w:kern w:val="0"/>
                    </w:rPr>
                    <w:t>项目实行雨污分流，雨水经收集后排入市政雨水管网；</w:t>
                  </w:r>
                  <w:r>
                    <w:rPr>
                      <w:rFonts w:hint="eastAsia"/>
                    </w:rPr>
                    <w:t>生活污水依托现有污水处理设施处理后达到《城镇污水处理厂污染物排放标准》</w:t>
                  </w:r>
                  <w:r>
                    <w:t>(GB18918-2002)</w:t>
                  </w:r>
                  <w:r>
                    <w:rPr>
                      <w:rFonts w:hint="eastAsia"/>
                    </w:rPr>
                    <w:t>二级标准及广东省《水污染物排放限值》</w:t>
                  </w:r>
                  <w:r>
                    <w:t>(DB44/26-2001)</w:t>
                  </w:r>
                  <w:r>
                    <w:rPr>
                      <w:rFonts w:hint="eastAsia"/>
                    </w:rPr>
                    <w:t>第二时段二级标准较严者后，用于山林灌溉；生活垃圾交由环卫部门回收处理。</w:t>
                  </w:r>
                </w:p>
              </w:tc>
              <w:tc>
                <w:tcPr>
                  <w:tcW w:w="626" w:type="pct"/>
                  <w:tcBorders>
                    <w:top w:val="single" w:color="auto" w:sz="4" w:space="0"/>
                    <w:left w:val="single" w:color="auto" w:sz="4" w:space="0"/>
                    <w:bottom w:val="single" w:color="auto" w:sz="4" w:space="0"/>
                    <w:right w:val="single" w:color="auto" w:sz="4" w:space="0"/>
                  </w:tcBorders>
                  <w:vAlign w:val="center"/>
                </w:tcPr>
                <w:p w14:paraId="71EE49F8">
                  <w:pPr>
                    <w:autoSpaceDE w:val="0"/>
                    <w:autoSpaceDN w:val="0"/>
                    <w:adjustRightInd w:val="0"/>
                    <w:snapToGrid w:val="0"/>
                    <w:jc w:val="center"/>
                    <w:rPr>
                      <w:kern w:val="0"/>
                    </w:rPr>
                  </w:pPr>
                  <w:r>
                    <w:rPr>
                      <w:rFonts w:hint="eastAsia"/>
                      <w:kern w:val="0"/>
                    </w:rPr>
                    <w:t>符合</w:t>
                  </w:r>
                </w:p>
              </w:tc>
            </w:tr>
            <w:tr w14:paraId="43FC3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4464958C">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61C9FA91">
                  <w:r>
                    <w:t>3-4.</w:t>
                  </w:r>
                  <w:r>
                    <w:rPr>
                      <w:rFonts w:hint="eastAsia"/>
                    </w:rPr>
                    <w:t>【水</w:t>
                  </w:r>
                  <w:r>
                    <w:t>/</w:t>
                  </w:r>
                  <w:r>
                    <w:rPr>
                      <w:rFonts w:hint="eastAsia"/>
                    </w:rPr>
                    <w:t>综合类】强化农业面源污染治理，控制农药化肥使用量。</w:t>
                  </w:r>
                </w:p>
              </w:tc>
              <w:tc>
                <w:tcPr>
                  <w:tcW w:w="1689" w:type="pct"/>
                  <w:tcBorders>
                    <w:top w:val="single" w:color="auto" w:sz="4" w:space="0"/>
                    <w:left w:val="single" w:color="auto" w:sz="4" w:space="0"/>
                    <w:bottom w:val="single" w:color="auto" w:sz="4" w:space="0"/>
                    <w:right w:val="single" w:color="auto" w:sz="4" w:space="0"/>
                  </w:tcBorders>
                  <w:vAlign w:val="center"/>
                </w:tcPr>
                <w:p w14:paraId="1C9E7D4C">
                  <w:r>
                    <w:t>3-4.</w:t>
                  </w:r>
                  <w:r>
                    <w:rPr>
                      <w:rFonts w:hint="eastAsia"/>
                    </w:rPr>
                    <w:t>本项目为工业项目，不涉及农业污染，不涉及农药化肥的使用。</w:t>
                  </w:r>
                </w:p>
              </w:tc>
              <w:tc>
                <w:tcPr>
                  <w:tcW w:w="626" w:type="pct"/>
                  <w:tcBorders>
                    <w:top w:val="single" w:color="auto" w:sz="4" w:space="0"/>
                    <w:left w:val="single" w:color="auto" w:sz="4" w:space="0"/>
                    <w:bottom w:val="single" w:color="auto" w:sz="4" w:space="0"/>
                    <w:right w:val="single" w:color="auto" w:sz="4" w:space="0"/>
                  </w:tcBorders>
                  <w:vAlign w:val="center"/>
                </w:tcPr>
                <w:p w14:paraId="07398050">
                  <w:pPr>
                    <w:autoSpaceDE w:val="0"/>
                    <w:autoSpaceDN w:val="0"/>
                    <w:adjustRightInd w:val="0"/>
                    <w:snapToGrid w:val="0"/>
                    <w:jc w:val="center"/>
                    <w:rPr>
                      <w:kern w:val="0"/>
                    </w:rPr>
                  </w:pPr>
                  <w:r>
                    <w:rPr>
                      <w:rFonts w:hint="eastAsia"/>
                      <w:kern w:val="0"/>
                    </w:rPr>
                    <w:t>符合</w:t>
                  </w:r>
                </w:p>
              </w:tc>
            </w:tr>
            <w:tr w14:paraId="1D2EA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3EC799D2">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0A64DCA4">
                  <w:r>
                    <w:t>3-5.</w:t>
                  </w:r>
                  <w:r>
                    <w:rPr>
                      <w:rFonts w:hint="eastAsia"/>
                    </w:rPr>
                    <w:t>【大气</w:t>
                  </w:r>
                  <w:r>
                    <w:t>/</w:t>
                  </w:r>
                  <w:r>
                    <w:rPr>
                      <w:rFonts w:hint="eastAsia"/>
                    </w:rPr>
                    <w:t>限制类】重点行业新建涉</w:t>
                  </w:r>
                  <w:r>
                    <w:t>VOCs</w:t>
                  </w:r>
                  <w:r>
                    <w:rPr>
                      <w:rFonts w:hint="eastAsia"/>
                    </w:rPr>
                    <w:t>排放的工业企业原则上应入园进区。新建项目</w:t>
                  </w:r>
                  <w:r>
                    <w:t>VOCs</w:t>
                  </w:r>
                  <w:r>
                    <w:rPr>
                      <w:rFonts w:hint="eastAsia"/>
                    </w:rPr>
                    <w:t>实施倍量替代。</w:t>
                  </w:r>
                </w:p>
              </w:tc>
              <w:tc>
                <w:tcPr>
                  <w:tcW w:w="1689" w:type="pct"/>
                  <w:tcBorders>
                    <w:top w:val="single" w:color="auto" w:sz="4" w:space="0"/>
                    <w:left w:val="single" w:color="auto" w:sz="4" w:space="0"/>
                    <w:bottom w:val="single" w:color="auto" w:sz="4" w:space="0"/>
                    <w:right w:val="single" w:color="auto" w:sz="4" w:space="0"/>
                  </w:tcBorders>
                  <w:vAlign w:val="center"/>
                </w:tcPr>
                <w:p w14:paraId="5A7140C4">
                  <w:r>
                    <w:t>3-5.</w:t>
                  </w:r>
                  <w:r>
                    <w:rPr>
                      <w:rFonts w:hint="eastAsia"/>
                    </w:rPr>
                    <w:t>本项目从事一般工业固体废物治理，不属于重点行业。废气污染物总量控制指标由惠州市生态环境局博罗分局进行分配。</w:t>
                  </w:r>
                </w:p>
              </w:tc>
              <w:tc>
                <w:tcPr>
                  <w:tcW w:w="626" w:type="pct"/>
                  <w:tcBorders>
                    <w:top w:val="single" w:color="auto" w:sz="4" w:space="0"/>
                    <w:left w:val="single" w:color="auto" w:sz="4" w:space="0"/>
                    <w:bottom w:val="single" w:color="auto" w:sz="4" w:space="0"/>
                    <w:right w:val="single" w:color="auto" w:sz="4" w:space="0"/>
                  </w:tcBorders>
                  <w:vAlign w:val="center"/>
                </w:tcPr>
                <w:p w14:paraId="45CE7A17">
                  <w:pPr>
                    <w:autoSpaceDE w:val="0"/>
                    <w:autoSpaceDN w:val="0"/>
                    <w:adjustRightInd w:val="0"/>
                    <w:snapToGrid w:val="0"/>
                    <w:jc w:val="center"/>
                    <w:rPr>
                      <w:kern w:val="0"/>
                    </w:rPr>
                  </w:pPr>
                  <w:r>
                    <w:rPr>
                      <w:rFonts w:hint="eastAsia"/>
                      <w:kern w:val="0"/>
                    </w:rPr>
                    <w:t>符合</w:t>
                  </w:r>
                </w:p>
              </w:tc>
            </w:tr>
            <w:tr w14:paraId="21322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225D7FFB">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780393A7">
                  <w:r>
                    <w:t>3-6.</w:t>
                  </w:r>
                  <w:r>
                    <w:rPr>
                      <w:rFonts w:hint="eastAsia"/>
                    </w:rPr>
                    <w:t>【土壤</w:t>
                  </w:r>
                  <w:r>
                    <w:t>/</w:t>
                  </w:r>
                  <w:r>
                    <w:rPr>
                      <w:rFonts w:hint="eastAsia"/>
                    </w:rPr>
                    <w:t>禁止类】禁止向农用地排放重金属或者其他有毒有害物质含量超标的污水、污泥，以及可能造成土壤污染的清淤底泥、尾矿、矿渣等。</w:t>
                  </w:r>
                </w:p>
              </w:tc>
              <w:tc>
                <w:tcPr>
                  <w:tcW w:w="1689" w:type="pct"/>
                  <w:tcBorders>
                    <w:top w:val="single" w:color="auto" w:sz="4" w:space="0"/>
                    <w:left w:val="single" w:color="auto" w:sz="4" w:space="0"/>
                    <w:bottom w:val="single" w:color="auto" w:sz="4" w:space="0"/>
                    <w:right w:val="single" w:color="auto" w:sz="4" w:space="0"/>
                  </w:tcBorders>
                  <w:vAlign w:val="center"/>
                </w:tcPr>
                <w:p w14:paraId="3C4454D8">
                  <w:r>
                    <w:t>3-6.</w:t>
                  </w:r>
                  <w:r>
                    <w:rPr>
                      <w:rFonts w:hint="eastAsia"/>
                    </w:rPr>
                    <w:t>本项目从事一般工业固体废物治理，项目生产过程中不产生重金属或者其他有毒有害物质含量超标的可能造成土壤污染的上述废物。</w:t>
                  </w:r>
                </w:p>
              </w:tc>
              <w:tc>
                <w:tcPr>
                  <w:tcW w:w="626" w:type="pct"/>
                  <w:tcBorders>
                    <w:top w:val="single" w:color="auto" w:sz="4" w:space="0"/>
                    <w:left w:val="single" w:color="auto" w:sz="4" w:space="0"/>
                    <w:bottom w:val="single" w:color="auto" w:sz="4" w:space="0"/>
                    <w:right w:val="single" w:color="auto" w:sz="4" w:space="0"/>
                  </w:tcBorders>
                  <w:vAlign w:val="center"/>
                </w:tcPr>
                <w:p w14:paraId="2477C0F5">
                  <w:pPr>
                    <w:autoSpaceDE w:val="0"/>
                    <w:autoSpaceDN w:val="0"/>
                    <w:adjustRightInd w:val="0"/>
                    <w:snapToGrid w:val="0"/>
                    <w:jc w:val="center"/>
                    <w:rPr>
                      <w:kern w:val="0"/>
                    </w:rPr>
                  </w:pPr>
                  <w:r>
                    <w:rPr>
                      <w:rFonts w:hint="eastAsia"/>
                      <w:kern w:val="0"/>
                    </w:rPr>
                    <w:t>符合</w:t>
                  </w:r>
                </w:p>
              </w:tc>
            </w:tr>
            <w:tr w14:paraId="1C962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restart"/>
                  <w:tcBorders>
                    <w:top w:val="single" w:color="auto" w:sz="4" w:space="0"/>
                    <w:left w:val="single" w:color="auto" w:sz="4" w:space="0"/>
                    <w:bottom w:val="single" w:color="auto" w:sz="4" w:space="0"/>
                    <w:right w:val="single" w:color="auto" w:sz="4" w:space="0"/>
                  </w:tcBorders>
                  <w:vAlign w:val="center"/>
                </w:tcPr>
                <w:p w14:paraId="1CDC5F20">
                  <w:pPr>
                    <w:autoSpaceDE w:val="0"/>
                    <w:autoSpaceDN w:val="0"/>
                    <w:adjustRightInd w:val="0"/>
                    <w:snapToGrid w:val="0"/>
                    <w:jc w:val="center"/>
                    <w:rPr>
                      <w:kern w:val="0"/>
                    </w:rPr>
                  </w:pPr>
                  <w:r>
                    <w:rPr>
                      <w:rFonts w:hint="eastAsia"/>
                      <w:kern w:val="0"/>
                    </w:rPr>
                    <w:t>环境风险防控要求</w:t>
                  </w:r>
                </w:p>
              </w:tc>
              <w:tc>
                <w:tcPr>
                  <w:tcW w:w="2370" w:type="pct"/>
                  <w:tcBorders>
                    <w:top w:val="single" w:color="auto" w:sz="4" w:space="0"/>
                    <w:left w:val="single" w:color="auto" w:sz="4" w:space="0"/>
                    <w:bottom w:val="single" w:color="auto" w:sz="4" w:space="0"/>
                    <w:right w:val="single" w:color="auto" w:sz="4" w:space="0"/>
                  </w:tcBorders>
                  <w:vAlign w:val="center"/>
                </w:tcPr>
                <w:p w14:paraId="4D3A0DB7">
                  <w:pPr>
                    <w:rPr>
                      <w:kern w:val="0"/>
                    </w:rPr>
                  </w:pPr>
                  <w:r>
                    <w:t>4-1.</w:t>
                  </w:r>
                  <w:r>
                    <w:rPr>
                      <w:rFonts w:hint="eastAsia"/>
                    </w:rPr>
                    <w:t>【水</w:t>
                  </w:r>
                  <w:r>
                    <w:t>/</w:t>
                  </w:r>
                  <w:r>
                    <w:rPr>
                      <w:rFonts w:hint="eastAsia"/>
                    </w:rPr>
                    <w:t>综合类】城镇污水处理厂、涉水企业应采取有效措施，防止事故废水直接排入水体。</w:t>
                  </w:r>
                </w:p>
              </w:tc>
              <w:tc>
                <w:tcPr>
                  <w:tcW w:w="1689" w:type="pct"/>
                  <w:tcBorders>
                    <w:top w:val="single" w:color="auto" w:sz="4" w:space="0"/>
                    <w:left w:val="single" w:color="auto" w:sz="4" w:space="0"/>
                    <w:bottom w:val="single" w:color="auto" w:sz="4" w:space="0"/>
                    <w:right w:val="single" w:color="auto" w:sz="4" w:space="0"/>
                  </w:tcBorders>
                  <w:vAlign w:val="center"/>
                </w:tcPr>
                <w:p w14:paraId="472CFD12">
                  <w:pPr>
                    <w:autoSpaceDE w:val="0"/>
                    <w:autoSpaceDN w:val="0"/>
                    <w:adjustRightInd w:val="0"/>
                    <w:snapToGrid w:val="0"/>
                    <w:rPr>
                      <w:kern w:val="0"/>
                    </w:rPr>
                  </w:pPr>
                  <w:r>
                    <w:t>4-1.</w:t>
                  </w:r>
                  <w:r>
                    <w:rPr>
                      <w:rFonts w:hint="eastAsia"/>
                    </w:rPr>
                    <w:t>本项目不属于城镇污水处理厂以及涉水企业。生活污水依托现有污水处理设施处理后达到《城镇污水处理厂污染物排放标准》</w:t>
                  </w:r>
                  <w:r>
                    <w:t>(GB18918-2002)</w:t>
                  </w:r>
                  <w:r>
                    <w:rPr>
                      <w:rFonts w:hint="eastAsia"/>
                    </w:rPr>
                    <w:t>二级标准及广东省《水污染物排放限值》</w:t>
                  </w:r>
                  <w:r>
                    <w:t>(DB44/26-2001)</w:t>
                  </w:r>
                  <w:r>
                    <w:rPr>
                      <w:rFonts w:hint="eastAsia"/>
                    </w:rPr>
                    <w:t>第二时段二级标准较严者后，用于山林灌溉。</w:t>
                  </w:r>
                </w:p>
              </w:tc>
              <w:tc>
                <w:tcPr>
                  <w:tcW w:w="626" w:type="pct"/>
                  <w:tcBorders>
                    <w:top w:val="single" w:color="auto" w:sz="4" w:space="0"/>
                    <w:left w:val="single" w:color="auto" w:sz="4" w:space="0"/>
                    <w:bottom w:val="single" w:color="auto" w:sz="4" w:space="0"/>
                    <w:right w:val="single" w:color="auto" w:sz="4" w:space="0"/>
                  </w:tcBorders>
                  <w:vAlign w:val="center"/>
                </w:tcPr>
                <w:p w14:paraId="23F58258">
                  <w:pPr>
                    <w:autoSpaceDE w:val="0"/>
                    <w:autoSpaceDN w:val="0"/>
                    <w:adjustRightInd w:val="0"/>
                    <w:snapToGrid w:val="0"/>
                    <w:jc w:val="center"/>
                    <w:rPr>
                      <w:kern w:val="0"/>
                    </w:rPr>
                  </w:pPr>
                  <w:r>
                    <w:rPr>
                      <w:rFonts w:hint="eastAsia"/>
                      <w:kern w:val="0"/>
                    </w:rPr>
                    <w:t>符合</w:t>
                  </w:r>
                </w:p>
              </w:tc>
            </w:tr>
            <w:tr w14:paraId="12952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472AE21E">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53318193">
                  <w:r>
                    <w:t>4-2.</w:t>
                  </w:r>
                  <w:r>
                    <w:rPr>
                      <w:rFonts w:hint="eastAsia"/>
                    </w:rPr>
                    <w:t>【水</w:t>
                  </w:r>
                  <w:r>
                    <w:t>/</w:t>
                  </w:r>
                  <w:r>
                    <w:rPr>
                      <w:rFonts w:hint="eastAsia"/>
                    </w:rPr>
                    <w:t>综合类】加强饮用水水源保护区内环境风险排查，开展风险评估及水环境预警监测。</w:t>
                  </w:r>
                </w:p>
              </w:tc>
              <w:tc>
                <w:tcPr>
                  <w:tcW w:w="1689" w:type="pct"/>
                  <w:tcBorders>
                    <w:top w:val="single" w:color="auto" w:sz="4" w:space="0"/>
                    <w:left w:val="single" w:color="auto" w:sz="4" w:space="0"/>
                    <w:bottom w:val="single" w:color="auto" w:sz="4" w:space="0"/>
                    <w:right w:val="single" w:color="auto" w:sz="4" w:space="0"/>
                  </w:tcBorders>
                  <w:vAlign w:val="center"/>
                </w:tcPr>
                <w:p w14:paraId="2D44B4BA">
                  <w:r>
                    <w:t>4-2.</w:t>
                  </w:r>
                  <w:r>
                    <w:rPr>
                      <w:rFonts w:hint="eastAsia"/>
                    </w:rPr>
                    <w:t>本项目不在饮用水源保护区范围内。</w:t>
                  </w:r>
                </w:p>
              </w:tc>
              <w:tc>
                <w:tcPr>
                  <w:tcW w:w="626" w:type="pct"/>
                  <w:tcBorders>
                    <w:top w:val="single" w:color="auto" w:sz="4" w:space="0"/>
                    <w:left w:val="single" w:color="auto" w:sz="4" w:space="0"/>
                    <w:bottom w:val="single" w:color="auto" w:sz="4" w:space="0"/>
                    <w:right w:val="single" w:color="auto" w:sz="4" w:space="0"/>
                  </w:tcBorders>
                  <w:vAlign w:val="center"/>
                </w:tcPr>
                <w:p w14:paraId="3FD6129F">
                  <w:pPr>
                    <w:autoSpaceDE w:val="0"/>
                    <w:autoSpaceDN w:val="0"/>
                    <w:adjustRightInd w:val="0"/>
                    <w:snapToGrid w:val="0"/>
                    <w:jc w:val="center"/>
                    <w:rPr>
                      <w:kern w:val="0"/>
                    </w:rPr>
                  </w:pPr>
                  <w:r>
                    <w:rPr>
                      <w:rFonts w:hint="eastAsia"/>
                      <w:kern w:val="0"/>
                    </w:rPr>
                    <w:t>符合</w:t>
                  </w:r>
                </w:p>
              </w:tc>
            </w:tr>
            <w:tr w14:paraId="17822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 w:type="pct"/>
                  <w:vMerge w:val="continue"/>
                  <w:tcBorders>
                    <w:top w:val="single" w:color="auto" w:sz="4" w:space="0"/>
                    <w:left w:val="single" w:color="auto" w:sz="4" w:space="0"/>
                    <w:bottom w:val="single" w:color="auto" w:sz="4" w:space="0"/>
                    <w:right w:val="single" w:color="auto" w:sz="4" w:space="0"/>
                  </w:tcBorders>
                  <w:vAlign w:val="center"/>
                </w:tcPr>
                <w:p w14:paraId="7F63990E">
                  <w:pPr>
                    <w:widowControl/>
                    <w:jc w:val="center"/>
                    <w:rPr>
                      <w:kern w:val="0"/>
                    </w:rPr>
                  </w:pPr>
                </w:p>
              </w:tc>
              <w:tc>
                <w:tcPr>
                  <w:tcW w:w="2370" w:type="pct"/>
                  <w:tcBorders>
                    <w:top w:val="single" w:color="auto" w:sz="4" w:space="0"/>
                    <w:left w:val="single" w:color="auto" w:sz="4" w:space="0"/>
                    <w:bottom w:val="single" w:color="auto" w:sz="4" w:space="0"/>
                    <w:right w:val="single" w:color="auto" w:sz="4" w:space="0"/>
                  </w:tcBorders>
                  <w:vAlign w:val="center"/>
                </w:tcPr>
                <w:p w14:paraId="2AF3B974">
                  <w:pPr>
                    <w:widowControl/>
                  </w:pPr>
                  <w:r>
                    <w:t>4-3.</w:t>
                  </w:r>
                  <w:r>
                    <w:rPr>
                      <w:rFonts w:hint="eastAsia"/>
                    </w:rPr>
                    <w:t>【大气</w:t>
                  </w:r>
                  <w:r>
                    <w:t>/</w:t>
                  </w:r>
                  <w:r>
                    <w:rPr>
                      <w:rFonts w:hint="eastAsia"/>
                    </w:rPr>
                    <w:t>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689" w:type="pct"/>
                  <w:tcBorders>
                    <w:top w:val="single" w:color="auto" w:sz="4" w:space="0"/>
                    <w:left w:val="single" w:color="auto" w:sz="4" w:space="0"/>
                    <w:bottom w:val="single" w:color="auto" w:sz="4" w:space="0"/>
                    <w:right w:val="single" w:color="auto" w:sz="4" w:space="0"/>
                  </w:tcBorders>
                  <w:vAlign w:val="center"/>
                </w:tcPr>
                <w:p w14:paraId="631E6B49">
                  <w:r>
                    <w:t>4-3.</w:t>
                  </w:r>
                  <w:r>
                    <w:rPr>
                      <w:rFonts w:hint="eastAsia"/>
                    </w:rPr>
                    <w:t>本项目不生产、储存和使用有毒有害气体。</w:t>
                  </w:r>
                </w:p>
              </w:tc>
              <w:tc>
                <w:tcPr>
                  <w:tcW w:w="626" w:type="pct"/>
                  <w:tcBorders>
                    <w:top w:val="single" w:color="auto" w:sz="4" w:space="0"/>
                    <w:left w:val="single" w:color="auto" w:sz="4" w:space="0"/>
                    <w:bottom w:val="single" w:color="auto" w:sz="4" w:space="0"/>
                    <w:right w:val="single" w:color="auto" w:sz="4" w:space="0"/>
                  </w:tcBorders>
                  <w:vAlign w:val="center"/>
                </w:tcPr>
                <w:p w14:paraId="2106A8B0">
                  <w:pPr>
                    <w:autoSpaceDE w:val="0"/>
                    <w:autoSpaceDN w:val="0"/>
                    <w:adjustRightInd w:val="0"/>
                    <w:snapToGrid w:val="0"/>
                    <w:jc w:val="center"/>
                    <w:rPr>
                      <w:kern w:val="0"/>
                    </w:rPr>
                  </w:pPr>
                  <w:r>
                    <w:rPr>
                      <w:rFonts w:hint="eastAsia"/>
                      <w:kern w:val="0"/>
                    </w:rPr>
                    <w:t>符合</w:t>
                  </w:r>
                </w:p>
              </w:tc>
            </w:tr>
          </w:tbl>
          <w:p w14:paraId="7642B917">
            <w:pPr>
              <w:adjustRightInd w:val="0"/>
              <w:snapToGrid w:val="0"/>
              <w:spacing w:before="120" w:beforeLines="50" w:line="360" w:lineRule="auto"/>
              <w:ind w:firstLine="482" w:firstLineChars="200"/>
              <w:rPr>
                <w:b/>
                <w:bCs/>
                <w:kern w:val="0"/>
                <w:sz w:val="24"/>
                <w:szCs w:val="24"/>
              </w:rPr>
            </w:pPr>
            <w:r>
              <w:rPr>
                <w:b/>
                <w:bCs/>
                <w:kern w:val="0"/>
                <w:sz w:val="24"/>
                <w:szCs w:val="24"/>
              </w:rPr>
              <w:t>2</w:t>
            </w:r>
            <w:r>
              <w:rPr>
                <w:rFonts w:hint="eastAsia"/>
                <w:b/>
                <w:bCs/>
                <w:kern w:val="0"/>
                <w:sz w:val="24"/>
                <w:szCs w:val="24"/>
              </w:rPr>
              <w:t>、产业政策相符性分析</w:t>
            </w:r>
          </w:p>
          <w:p w14:paraId="62550763">
            <w:pPr>
              <w:pStyle w:val="46"/>
              <w:ind w:firstLine="480" w:firstLineChars="200"/>
              <w:rPr>
                <w:rFonts w:ascii="Times New Roman" w:cs="Times New Roman"/>
              </w:rPr>
            </w:pPr>
            <w:r>
              <w:rPr>
                <w:rFonts w:hint="eastAsia" w:ascii="Times New Roman" w:cs="Times New Roman"/>
              </w:rPr>
              <w:t>本项目从事</w:t>
            </w:r>
            <w:r>
              <w:rPr>
                <w:rFonts w:hint="eastAsia" w:ascii="Times New Roman"/>
              </w:rPr>
              <w:t>一般工业固体废物处理</w:t>
            </w:r>
            <w:r>
              <w:rPr>
                <w:rFonts w:hint="eastAsia" w:ascii="Times New Roman" w:cs="Times New Roman"/>
              </w:rPr>
              <w:t>，属于《国民经济行业分类》</w:t>
            </w:r>
            <w:r>
              <w:rPr>
                <w:rFonts w:ascii="Times New Roman" w:cs="Times New Roman"/>
              </w:rPr>
              <w:t>(GB/T4754-2017)</w:t>
            </w:r>
            <w:r>
              <w:rPr>
                <w:rFonts w:hint="eastAsia" w:ascii="Times New Roman" w:cs="Times New Roman"/>
              </w:rPr>
              <w:t>（按第</w:t>
            </w:r>
            <w:r>
              <w:rPr>
                <w:rFonts w:ascii="Times New Roman" w:cs="Times New Roman"/>
              </w:rPr>
              <w:t>1</w:t>
            </w:r>
            <w:r>
              <w:rPr>
                <w:rFonts w:hint="eastAsia" w:ascii="Times New Roman" w:cs="Times New Roman"/>
              </w:rPr>
              <w:t>号修改单修订）中的</w:t>
            </w:r>
            <w:r>
              <w:rPr>
                <w:rFonts w:hint="eastAsia" w:ascii="Times New Roman"/>
              </w:rPr>
              <w:t>N7723固体废物治理</w:t>
            </w:r>
            <w:r>
              <w:rPr>
                <w:rFonts w:hint="eastAsia" w:ascii="Times New Roman" w:cs="Times New Roman"/>
              </w:rPr>
              <w:t>。项目属</w:t>
            </w:r>
            <w:r>
              <w:rPr>
                <w:rFonts w:hint="eastAsia" w:ascii="Times New Roman" w:cs="Times New Roman"/>
                <w:bCs w:val="0"/>
                <w:spacing w:val="-5"/>
                <w:szCs w:val="24"/>
              </w:rPr>
              <w:t>《产业结构调整指导目录（</w:t>
            </w:r>
            <w:r>
              <w:rPr>
                <w:rFonts w:ascii="Times New Roman" w:cs="Times New Roman"/>
                <w:bCs w:val="0"/>
                <w:spacing w:val="-5"/>
                <w:szCs w:val="24"/>
              </w:rPr>
              <w:t>2024</w:t>
            </w:r>
            <w:r>
              <w:rPr>
                <w:rFonts w:hint="eastAsia" w:ascii="Times New Roman" w:cs="Times New Roman"/>
                <w:bCs w:val="0"/>
                <w:spacing w:val="-5"/>
                <w:szCs w:val="24"/>
              </w:rPr>
              <w:t>年本）》（中华人民共和国国家发展和改革委员会令第</w:t>
            </w:r>
            <w:r>
              <w:rPr>
                <w:rFonts w:ascii="Times New Roman" w:cs="Times New Roman"/>
                <w:bCs w:val="0"/>
                <w:spacing w:val="-5"/>
                <w:szCs w:val="24"/>
              </w:rPr>
              <w:t>7</w:t>
            </w:r>
            <w:r>
              <w:rPr>
                <w:rFonts w:hint="eastAsia" w:ascii="Times New Roman" w:cs="Times New Roman"/>
                <w:bCs w:val="0"/>
                <w:spacing w:val="-5"/>
                <w:szCs w:val="24"/>
              </w:rPr>
              <w:t>号）中</w:t>
            </w:r>
            <w:r>
              <w:rPr>
                <w:rFonts w:hint="eastAsia" w:ascii="Times New Roman"/>
              </w:rPr>
              <w:t>第一类鼓励类“四十二、环境保护与资源节约综合利用”的“</w:t>
            </w:r>
            <w:r>
              <w:rPr>
                <w:rFonts w:ascii="Times New Roman"/>
              </w:rPr>
              <w:t>8</w:t>
            </w:r>
            <w:r>
              <w:rPr>
                <w:rFonts w:hint="eastAsia" w:ascii="Times New Roman"/>
              </w:rPr>
              <w:t>、废弃物循环利用：废钢铁、废有色金属、废纸、废橡胶、废玻璃、废塑料、废旧木材以及报废汽车、废弃电器电子产品、废旧船舶、废旧电池、废轮胎、废弃木质材料、废旧农具、废旧纺织品及纺织废料和边角料、废旧光伏组件、废旧风叶机叶片、</w:t>
            </w:r>
            <w:r>
              <w:rPr>
                <w:rFonts w:hint="eastAsia" w:ascii="Times New Roman"/>
                <w:b/>
                <w:bCs w:val="0"/>
              </w:rPr>
              <w:t>废弃油脂</w:t>
            </w:r>
            <w:r>
              <w:rPr>
                <w:rFonts w:hint="eastAsia" w:ascii="Times New Roman"/>
              </w:rPr>
              <w:t>等城市典型废弃</w:t>
            </w:r>
            <w:r>
              <w:rPr>
                <w:rFonts w:hint="eastAsia" w:ascii="Times New Roman" w:cs="Times New Roman"/>
              </w:rPr>
              <w:t>物循环利用、技术设备开发及应用”，项目建设符合国家相关产业政策的要求。</w:t>
            </w:r>
          </w:p>
          <w:p w14:paraId="791ABCE3">
            <w:pPr>
              <w:pStyle w:val="46"/>
              <w:snapToGrid w:val="0"/>
              <w:ind w:firstLine="462" w:firstLineChars="200"/>
              <w:rPr>
                <w:rFonts w:ascii="Times New Roman" w:cs="Times New Roman"/>
                <w:b/>
                <w:spacing w:val="-5"/>
                <w:szCs w:val="24"/>
              </w:rPr>
            </w:pPr>
            <w:r>
              <w:rPr>
                <w:rFonts w:hint="eastAsia" w:ascii="Times New Roman" w:cs="Times New Roman"/>
                <w:b/>
                <w:spacing w:val="-5"/>
                <w:szCs w:val="24"/>
              </w:rPr>
              <w:t>3、与《市场准入负面清单（</w:t>
            </w:r>
            <w:r>
              <w:rPr>
                <w:rFonts w:ascii="Times New Roman" w:cs="Times New Roman"/>
                <w:b/>
                <w:spacing w:val="-5"/>
                <w:szCs w:val="24"/>
              </w:rPr>
              <w:t>2022</w:t>
            </w:r>
            <w:r>
              <w:rPr>
                <w:rFonts w:hint="eastAsia" w:ascii="Times New Roman" w:cs="Times New Roman"/>
                <w:b/>
                <w:spacing w:val="-5"/>
                <w:szCs w:val="24"/>
              </w:rPr>
              <w:t>年版）》（发改体改规〔</w:t>
            </w:r>
            <w:r>
              <w:rPr>
                <w:rFonts w:ascii="Times New Roman" w:cs="Times New Roman"/>
                <w:b/>
                <w:spacing w:val="-5"/>
                <w:szCs w:val="24"/>
              </w:rPr>
              <w:t>2022</w:t>
            </w:r>
            <w:r>
              <w:rPr>
                <w:rFonts w:hint="eastAsia" w:ascii="Times New Roman" w:cs="Times New Roman"/>
                <w:b/>
                <w:spacing w:val="-5"/>
                <w:szCs w:val="24"/>
              </w:rPr>
              <w:t>〕</w:t>
            </w:r>
            <w:r>
              <w:rPr>
                <w:rFonts w:ascii="Times New Roman" w:cs="Times New Roman"/>
                <w:b/>
                <w:spacing w:val="-5"/>
                <w:szCs w:val="24"/>
              </w:rPr>
              <w:t>397</w:t>
            </w:r>
            <w:r>
              <w:rPr>
                <w:rFonts w:hint="eastAsia" w:ascii="Times New Roman" w:cs="Times New Roman"/>
                <w:b/>
                <w:spacing w:val="-5"/>
                <w:szCs w:val="24"/>
              </w:rPr>
              <w:t>号）相符性分析</w:t>
            </w:r>
          </w:p>
          <w:p w14:paraId="02C10491">
            <w:pPr>
              <w:pStyle w:val="46"/>
              <w:snapToGrid w:val="0"/>
              <w:ind w:firstLine="460" w:firstLineChars="200"/>
              <w:rPr>
                <w:rFonts w:ascii="Times New Roman" w:cs="Times New Roman"/>
                <w:bCs w:val="0"/>
                <w:spacing w:val="-5"/>
                <w:szCs w:val="24"/>
              </w:rPr>
            </w:pPr>
            <w:r>
              <w:rPr>
                <w:rFonts w:hint="eastAsia" w:ascii="Times New Roman" w:cs="Times New Roman"/>
                <w:bCs w:val="0"/>
                <w:spacing w:val="-5"/>
                <w:szCs w:val="24"/>
              </w:rPr>
              <w:t>本项目从事</w:t>
            </w:r>
            <w:r>
              <w:rPr>
                <w:rFonts w:hint="eastAsia" w:ascii="Times New Roman"/>
              </w:rPr>
              <w:t>一般工业固体废物处理</w:t>
            </w:r>
            <w:r>
              <w:rPr>
                <w:rFonts w:hint="eastAsia" w:ascii="Times New Roman" w:cs="Times New Roman"/>
                <w:bCs w:val="0"/>
                <w:spacing w:val="-5"/>
                <w:szCs w:val="24"/>
              </w:rPr>
              <w:t>，不属于《市场准入负面清单（</w:t>
            </w:r>
            <w:r>
              <w:rPr>
                <w:rFonts w:ascii="Times New Roman" w:cs="Times New Roman"/>
                <w:bCs w:val="0"/>
                <w:spacing w:val="-5"/>
                <w:szCs w:val="24"/>
              </w:rPr>
              <w:t>2022</w:t>
            </w:r>
            <w:r>
              <w:rPr>
                <w:rFonts w:hint="eastAsia" w:ascii="Times New Roman" w:cs="Times New Roman"/>
                <w:bCs w:val="0"/>
                <w:spacing w:val="-5"/>
                <w:szCs w:val="24"/>
              </w:rPr>
              <w:t>年版）》（发改体改规〔</w:t>
            </w:r>
            <w:r>
              <w:rPr>
                <w:rFonts w:ascii="Times New Roman" w:cs="Times New Roman"/>
                <w:bCs w:val="0"/>
                <w:spacing w:val="-5"/>
                <w:szCs w:val="24"/>
              </w:rPr>
              <w:t>2022</w:t>
            </w:r>
            <w:r>
              <w:rPr>
                <w:rFonts w:hint="eastAsia" w:ascii="Times New Roman" w:cs="Times New Roman"/>
                <w:bCs w:val="0"/>
                <w:spacing w:val="-5"/>
                <w:szCs w:val="24"/>
              </w:rPr>
              <w:t>〕</w:t>
            </w:r>
            <w:r>
              <w:rPr>
                <w:rFonts w:ascii="Times New Roman" w:cs="Times New Roman"/>
                <w:bCs w:val="0"/>
                <w:spacing w:val="-5"/>
                <w:szCs w:val="24"/>
              </w:rPr>
              <w:t>397</w:t>
            </w:r>
            <w:r>
              <w:rPr>
                <w:rFonts w:hint="eastAsia" w:ascii="Times New Roman" w:cs="Times New Roman"/>
                <w:bCs w:val="0"/>
                <w:spacing w:val="-5"/>
                <w:szCs w:val="24"/>
              </w:rPr>
              <w:t>号）中的禁止或需要许可的类别，符合《市场准入负面清单（</w:t>
            </w:r>
            <w:r>
              <w:rPr>
                <w:rFonts w:ascii="Times New Roman" w:cs="Times New Roman"/>
                <w:bCs w:val="0"/>
                <w:spacing w:val="-5"/>
                <w:szCs w:val="24"/>
              </w:rPr>
              <w:t>2022</w:t>
            </w:r>
            <w:r>
              <w:rPr>
                <w:rFonts w:hint="eastAsia" w:ascii="Times New Roman" w:cs="Times New Roman"/>
                <w:bCs w:val="0"/>
                <w:spacing w:val="-5"/>
                <w:szCs w:val="24"/>
              </w:rPr>
              <w:t>年版）》的相关要求。</w:t>
            </w:r>
          </w:p>
          <w:p w14:paraId="41D8D4F7">
            <w:pPr>
              <w:snapToGrid w:val="0"/>
              <w:spacing w:line="360" w:lineRule="auto"/>
              <w:ind w:firstLine="482" w:firstLineChars="200"/>
              <w:textAlignment w:val="baseline"/>
              <w:rPr>
                <w:sz w:val="24"/>
              </w:rPr>
            </w:pPr>
            <w:r>
              <w:rPr>
                <w:rFonts w:hint="eastAsia"/>
                <w:b/>
                <w:bCs/>
                <w:sz w:val="24"/>
              </w:rPr>
              <w:t>4、项目用地性质相符性分析</w:t>
            </w:r>
          </w:p>
          <w:p w14:paraId="0D2C3020">
            <w:pPr>
              <w:snapToGrid w:val="0"/>
              <w:spacing w:line="360" w:lineRule="auto"/>
              <w:ind w:firstLine="480" w:firstLineChars="200"/>
              <w:textAlignment w:val="baseline"/>
              <w:rPr>
                <w:sz w:val="24"/>
              </w:rPr>
            </w:pPr>
            <w:bookmarkStart w:id="4" w:name="_Hlk195120438"/>
            <w:r>
              <w:rPr>
                <w:rFonts w:hint="eastAsia"/>
                <w:sz w:val="24"/>
              </w:rPr>
              <w:t>本项目位于</w:t>
            </w:r>
            <w:r>
              <w:rPr>
                <w:sz w:val="24"/>
              </w:rPr>
              <w:t>惠州市博罗县湖镇镇水心围村委会水心围小组</w:t>
            </w:r>
            <w:r>
              <w:rPr>
                <w:rFonts w:hint="eastAsia"/>
                <w:sz w:val="24"/>
              </w:rPr>
              <w:t>，租用博罗县湖镇镇水心围村水心围村民小组的用地（见附件</w:t>
            </w:r>
            <w:r>
              <w:rPr>
                <w:rFonts w:hint="eastAsia"/>
                <w:sz w:val="24"/>
                <w:lang w:val="en-US" w:eastAsia="zh-CN"/>
              </w:rPr>
              <w:t>5</w:t>
            </w:r>
            <w:r>
              <w:rPr>
                <w:rFonts w:hint="eastAsia"/>
                <w:sz w:val="24"/>
              </w:rPr>
              <w:t>），根据博罗县自然资源局湖镇自然资源所出具的证明，改扩建项目新增用地类型为工业用地（见附件</w:t>
            </w:r>
            <w:r>
              <w:rPr>
                <w:rFonts w:hint="eastAsia"/>
                <w:sz w:val="24"/>
                <w:lang w:val="en-US" w:eastAsia="zh-CN"/>
              </w:rPr>
              <w:t>6</w:t>
            </w:r>
            <w:r>
              <w:rPr>
                <w:rFonts w:hint="eastAsia"/>
                <w:sz w:val="24"/>
              </w:rPr>
              <w:t>），</w:t>
            </w:r>
            <w:r>
              <w:rPr>
                <w:sz w:val="24"/>
              </w:rPr>
              <w:t>故项目用地符合土地利用性质的要求</w:t>
            </w:r>
            <w:r>
              <w:rPr>
                <w:rFonts w:hint="eastAsia"/>
                <w:sz w:val="24"/>
              </w:rPr>
              <w:t>。</w:t>
            </w:r>
          </w:p>
          <w:bookmarkEnd w:id="4"/>
          <w:p w14:paraId="55C532BD">
            <w:pPr>
              <w:snapToGrid w:val="0"/>
              <w:spacing w:line="360" w:lineRule="auto"/>
              <w:ind w:firstLine="482" w:firstLineChars="200"/>
              <w:textAlignment w:val="baseline"/>
              <w:rPr>
                <w:b/>
                <w:bCs/>
                <w:sz w:val="24"/>
              </w:rPr>
            </w:pPr>
            <w:r>
              <w:rPr>
                <w:rFonts w:hint="eastAsia"/>
                <w:b/>
                <w:bCs/>
                <w:sz w:val="24"/>
              </w:rPr>
              <w:t>5、与环境功能区划相符性分析</w:t>
            </w:r>
          </w:p>
          <w:p w14:paraId="334CE901">
            <w:pPr>
              <w:snapToGrid w:val="0"/>
              <w:spacing w:line="360" w:lineRule="auto"/>
              <w:ind w:firstLine="480" w:firstLineChars="200"/>
              <w:textAlignment w:val="baseline"/>
              <w:rPr>
                <w:sz w:val="24"/>
              </w:rPr>
            </w:pPr>
            <w:r>
              <w:rPr>
                <w:rFonts w:hint="eastAsia"/>
                <w:sz w:val="24"/>
              </w:rPr>
              <w:t>（1）水环境功能区划</w:t>
            </w:r>
          </w:p>
          <w:p w14:paraId="093872FA">
            <w:pPr>
              <w:snapToGrid w:val="0"/>
              <w:spacing w:line="360" w:lineRule="auto"/>
              <w:ind w:firstLine="480" w:firstLineChars="200"/>
              <w:textAlignment w:val="baseline"/>
              <w:rPr>
                <w:sz w:val="24"/>
              </w:rPr>
            </w:pPr>
            <w:r>
              <w:rPr>
                <w:rFonts w:hint="eastAsia"/>
                <w:sz w:val="24"/>
              </w:rPr>
              <w:t>根据《广东省人民政府关于调整惠州市部分饮用水水源保护区的批复》（粤府函〔</w:t>
            </w:r>
            <w:r>
              <w:rPr>
                <w:sz w:val="24"/>
              </w:rPr>
              <w:t>2019</w:t>
            </w:r>
            <w:bookmarkStart w:id="5" w:name="OLE_LINK4"/>
            <w:r>
              <w:rPr>
                <w:rFonts w:hint="eastAsia"/>
                <w:sz w:val="24"/>
              </w:rPr>
              <w:t>〕</w:t>
            </w:r>
            <w:bookmarkEnd w:id="5"/>
            <w:r>
              <w:rPr>
                <w:sz w:val="24"/>
              </w:rPr>
              <w:t>270</w:t>
            </w:r>
            <w:r>
              <w:rPr>
                <w:rFonts w:hint="eastAsia"/>
                <w:sz w:val="24"/>
              </w:rPr>
              <w:t>号）、《惠州市饮用水源保护区划调整方案》（粤府函〔</w:t>
            </w:r>
            <w:r>
              <w:rPr>
                <w:sz w:val="24"/>
              </w:rPr>
              <w:t>2014</w:t>
            </w:r>
            <w:r>
              <w:rPr>
                <w:rFonts w:hint="eastAsia"/>
                <w:sz w:val="24"/>
              </w:rPr>
              <w:t>〕</w:t>
            </w:r>
            <w:r>
              <w:rPr>
                <w:sz w:val="24"/>
              </w:rPr>
              <w:t>188</w:t>
            </w:r>
            <w:r>
              <w:rPr>
                <w:rFonts w:hint="eastAsia"/>
                <w:sz w:val="24"/>
              </w:rPr>
              <w:t>号）及《惠州市人民政府关于&lt;惠州市乡镇级及以下集中式饮用水水源保护区划定（调整）方案&gt;的批复》（惠府函〔</w:t>
            </w:r>
            <w:r>
              <w:rPr>
                <w:sz w:val="24"/>
              </w:rPr>
              <w:t>2020</w:t>
            </w:r>
            <w:r>
              <w:rPr>
                <w:rFonts w:hint="eastAsia"/>
                <w:sz w:val="24"/>
              </w:rPr>
              <w:t>〕</w:t>
            </w:r>
            <w:r>
              <w:rPr>
                <w:sz w:val="24"/>
              </w:rPr>
              <w:t>317</w:t>
            </w:r>
            <w:r>
              <w:rPr>
                <w:rFonts w:hint="eastAsia"/>
                <w:sz w:val="24"/>
              </w:rPr>
              <w:t>号），项目所在地不属于饮用水水源保护区。</w:t>
            </w:r>
          </w:p>
          <w:p w14:paraId="559F8D07">
            <w:pPr>
              <w:snapToGrid w:val="0"/>
              <w:spacing w:line="360" w:lineRule="auto"/>
              <w:ind w:firstLine="480" w:firstLineChars="200"/>
              <w:textAlignment w:val="baseline"/>
              <w:rPr>
                <w:sz w:val="24"/>
              </w:rPr>
            </w:pPr>
            <w:r>
              <w:rPr>
                <w:rFonts w:hint="eastAsia"/>
                <w:sz w:val="24"/>
              </w:rPr>
              <w:t>本项目无生产废水外排，主要为员工住宿、办公过程产生的生活污水，项目生活污水依托现有污水处理设施处理后达到《城镇污水处理厂污染物排放标准》</w:t>
            </w:r>
            <w:r>
              <w:rPr>
                <w:sz w:val="24"/>
              </w:rPr>
              <w:t>(GB18918-2002)</w:t>
            </w:r>
            <w:r>
              <w:rPr>
                <w:rFonts w:hint="eastAsia"/>
                <w:sz w:val="24"/>
              </w:rPr>
              <w:t>二级标准及广东省《水污染物排放限值》</w:t>
            </w:r>
            <w:r>
              <w:rPr>
                <w:sz w:val="24"/>
              </w:rPr>
              <w:t>(DB44/26-2001)</w:t>
            </w:r>
            <w:r>
              <w:rPr>
                <w:rFonts w:hint="eastAsia"/>
                <w:sz w:val="24"/>
              </w:rPr>
              <w:t>第二时段二级标准较严者后，用于山林灌溉。</w:t>
            </w:r>
          </w:p>
          <w:p w14:paraId="0D95BCE4">
            <w:pPr>
              <w:snapToGrid w:val="0"/>
              <w:spacing w:line="360" w:lineRule="auto"/>
              <w:ind w:firstLine="480" w:firstLineChars="200"/>
              <w:textAlignment w:val="baseline"/>
              <w:rPr>
                <w:sz w:val="24"/>
              </w:rPr>
            </w:pPr>
            <w:r>
              <w:rPr>
                <w:rFonts w:hint="eastAsia"/>
                <w:sz w:val="24"/>
              </w:rPr>
              <w:t>（</w:t>
            </w:r>
            <w:r>
              <w:rPr>
                <w:sz w:val="24"/>
              </w:rPr>
              <w:t>2</w:t>
            </w:r>
            <w:r>
              <w:rPr>
                <w:rFonts w:hint="eastAsia"/>
                <w:sz w:val="24"/>
              </w:rPr>
              <w:t>）</w:t>
            </w:r>
            <w:r>
              <w:rPr>
                <w:sz w:val="24"/>
              </w:rPr>
              <w:t>空气环境功能区划</w:t>
            </w:r>
          </w:p>
          <w:p w14:paraId="64F225D3">
            <w:pPr>
              <w:snapToGrid w:val="0"/>
              <w:spacing w:line="360" w:lineRule="auto"/>
              <w:ind w:firstLine="480" w:firstLineChars="200"/>
              <w:textAlignment w:val="baseline"/>
              <w:rPr>
                <w:sz w:val="24"/>
              </w:rPr>
            </w:pPr>
            <w:r>
              <w:rPr>
                <w:rFonts w:hint="eastAsia"/>
                <w:sz w:val="24"/>
              </w:rPr>
              <w:t>根据《惠州市环境空气质量功能区划（</w:t>
            </w:r>
            <w:r>
              <w:rPr>
                <w:sz w:val="24"/>
              </w:rPr>
              <w:t>2024</w:t>
            </w:r>
            <w:r>
              <w:rPr>
                <w:rFonts w:hint="eastAsia"/>
                <w:sz w:val="24"/>
              </w:rPr>
              <w:t>年修订）》（惠市环〔</w:t>
            </w:r>
            <w:r>
              <w:rPr>
                <w:sz w:val="24"/>
              </w:rPr>
              <w:t>202</w:t>
            </w:r>
            <w:r>
              <w:rPr>
                <w:rFonts w:hint="eastAsia"/>
                <w:sz w:val="24"/>
              </w:rPr>
              <w:t>4〕16号），项目所在区域为环境空气质量二类功能区，不属于环境空气质量一类功能区。</w:t>
            </w:r>
          </w:p>
          <w:p w14:paraId="1715E582">
            <w:pPr>
              <w:snapToGrid w:val="0"/>
              <w:spacing w:line="360" w:lineRule="auto"/>
              <w:ind w:firstLine="480" w:firstLineChars="200"/>
              <w:textAlignment w:val="baseline"/>
              <w:rPr>
                <w:sz w:val="24"/>
              </w:rPr>
            </w:pPr>
            <w:r>
              <w:rPr>
                <w:sz w:val="24"/>
              </w:rPr>
              <w:t>（3）声环境功能区</w:t>
            </w:r>
          </w:p>
          <w:p w14:paraId="38A1F927">
            <w:pPr>
              <w:snapToGrid w:val="0"/>
              <w:spacing w:line="360" w:lineRule="auto"/>
              <w:ind w:firstLine="480" w:firstLineChars="200"/>
              <w:textAlignment w:val="baseline"/>
              <w:rPr>
                <w:sz w:val="24"/>
              </w:rPr>
            </w:pPr>
            <w:r>
              <w:rPr>
                <w:rFonts w:hint="eastAsia"/>
                <w:sz w:val="24"/>
              </w:rPr>
              <w:t>根据《惠州市生态环境局关于印发&lt;惠州市声环境功能区划分方案（2022年）&gt;的通知》（惠市环〔2022〕33号），本项目所在地位于划分范围以外。根据现有项目环评及批复，项目所在地声环境执行《声环境质量标准》（GB3096-2008）中的2类标准。</w:t>
            </w:r>
          </w:p>
          <w:p w14:paraId="38E01D6B">
            <w:pPr>
              <w:snapToGrid w:val="0"/>
              <w:spacing w:line="360" w:lineRule="auto"/>
              <w:ind w:firstLine="480" w:firstLineChars="200"/>
              <w:textAlignment w:val="baseline"/>
              <w:rPr>
                <w:sz w:val="24"/>
              </w:rPr>
            </w:pPr>
            <w:r>
              <w:rPr>
                <w:rFonts w:hint="eastAsia"/>
                <w:sz w:val="24"/>
              </w:rPr>
              <w:t>综上所</w:t>
            </w:r>
            <w:r>
              <w:rPr>
                <w:sz w:val="24"/>
              </w:rPr>
              <w:t>述，</w:t>
            </w:r>
            <w:r>
              <w:rPr>
                <w:rFonts w:hint="eastAsia"/>
                <w:sz w:val="24"/>
              </w:rPr>
              <w:t>本项目选址符合环境功能区划的要求</w:t>
            </w:r>
          </w:p>
          <w:p w14:paraId="08D559F5">
            <w:pPr>
              <w:snapToGrid w:val="0"/>
              <w:spacing w:line="360" w:lineRule="auto"/>
              <w:ind w:firstLine="482" w:firstLineChars="200"/>
              <w:textAlignment w:val="baseline"/>
              <w:rPr>
                <w:b/>
                <w:bCs/>
                <w:sz w:val="24"/>
              </w:rPr>
            </w:pPr>
            <w:r>
              <w:rPr>
                <w:rFonts w:hint="eastAsia"/>
                <w:b/>
                <w:bCs/>
                <w:sz w:val="24"/>
              </w:rPr>
              <w:t>6、与《广东省人民政府关于严格限制东江流域水污染项目建设进一步做好东江水质保护工作的通知》（粤府函</w:t>
            </w:r>
            <w:r>
              <w:rPr>
                <w:b/>
                <w:bCs/>
                <w:sz w:val="24"/>
              </w:rPr>
              <w:t>〔2011〕339</w:t>
            </w:r>
            <w:r>
              <w:rPr>
                <w:rFonts w:hint="eastAsia"/>
                <w:b/>
                <w:bCs/>
                <w:sz w:val="24"/>
              </w:rPr>
              <w:t>号）、《广东省人民政府关于严格限制东江流域水污染项目建设进一步做好东江水质保护工作的补充通知》（粤府函〔</w:t>
            </w:r>
            <w:r>
              <w:rPr>
                <w:b/>
                <w:bCs/>
                <w:sz w:val="24"/>
              </w:rPr>
              <w:t>2013</w:t>
            </w:r>
            <w:r>
              <w:rPr>
                <w:rFonts w:hint="eastAsia"/>
                <w:b/>
                <w:bCs/>
                <w:sz w:val="24"/>
              </w:rPr>
              <w:t>〕</w:t>
            </w:r>
            <w:r>
              <w:rPr>
                <w:b/>
                <w:bCs/>
                <w:sz w:val="24"/>
              </w:rPr>
              <w:t>231</w:t>
            </w:r>
            <w:r>
              <w:rPr>
                <w:rFonts w:hint="eastAsia"/>
                <w:b/>
                <w:bCs/>
                <w:sz w:val="24"/>
              </w:rPr>
              <w:t>号）的相符性分析</w:t>
            </w:r>
          </w:p>
          <w:p w14:paraId="5F851E37">
            <w:pPr>
              <w:adjustRightInd w:val="0"/>
              <w:snapToGrid w:val="0"/>
              <w:spacing w:line="360" w:lineRule="auto"/>
              <w:ind w:firstLine="480" w:firstLineChars="200"/>
              <w:textAlignment w:val="baseline"/>
              <w:rPr>
                <w:sz w:val="24"/>
              </w:rPr>
            </w:pPr>
            <w:r>
              <w:rPr>
                <w:rFonts w:hint="eastAsia"/>
                <w:sz w:val="24"/>
              </w:rPr>
              <w:t>（1）《广东省人民政府关于严格限制东江流域水污染项目建设进一步做好东江水质保护工作的通知》（粤府函</w:t>
            </w:r>
            <w:r>
              <w:rPr>
                <w:sz w:val="24"/>
              </w:rPr>
              <w:t>〔2011〕339</w:t>
            </w:r>
            <w:r>
              <w:rPr>
                <w:rFonts w:hint="eastAsia"/>
                <w:sz w:val="24"/>
              </w:rPr>
              <w:t>号）的相关要求：</w:t>
            </w:r>
            <w:r>
              <w:rPr>
                <w:sz w:val="24"/>
              </w:rPr>
              <w:t>1</w:t>
            </w:r>
            <w:r>
              <w:rPr>
                <w:rFonts w:hint="eastAsia"/>
                <w:sz w:val="24"/>
              </w:rPr>
              <w:t>）严格控制重污染项目建设，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r>
              <w:rPr>
                <w:sz w:val="24"/>
              </w:rPr>
              <w:t>2</w:t>
            </w:r>
            <w:r>
              <w:rPr>
                <w:rFonts w:hint="eastAsia"/>
                <w:sz w:val="24"/>
              </w:rPr>
              <w:t>）强化涉重金属污染项目管理，重金属污染防治重点区域禁止新（改、扩）建增加重金属污染排放的项目，禁止在重要生态功能区和因重金属污染导致环境质量不能稳定达标的区域建设涉重金属污染项目。</w:t>
            </w:r>
            <w:r>
              <w:rPr>
                <w:sz w:val="24"/>
              </w:rPr>
              <w:t>3</w:t>
            </w:r>
            <w:r>
              <w:rPr>
                <w:rFonts w:hint="eastAsia"/>
                <w:sz w:val="24"/>
              </w:rPr>
              <w:t>）严格控制矿产资源开发利用项目建设，严格控制东江流域内矿产资源开发利用项目建设，严禁在饮用水源保护区、生态严格控制区、自然保护区、重要生态功能区等环境敏感地区内规划建设矿产资源开发利用项目（矿泉水和地热项目除外）。</w:t>
            </w:r>
            <w:r>
              <w:rPr>
                <w:sz w:val="24"/>
              </w:rPr>
              <w:t>4</w:t>
            </w:r>
            <w:r>
              <w:rPr>
                <w:rFonts w:hint="eastAsia"/>
                <w:sz w:val="24"/>
              </w:rPr>
              <w:t>）合理布局规模化禽畜养殖项目，东江流域内建设大中型畜禽养殖场（区）要科学规划、合理布局。</w:t>
            </w:r>
            <w:r>
              <w:rPr>
                <w:sz w:val="24"/>
              </w:rPr>
              <w:t>5</w:t>
            </w:r>
            <w:r>
              <w:rPr>
                <w:rFonts w:hint="eastAsia"/>
                <w:sz w:val="24"/>
              </w:rPr>
              <w:t>）严格控制支流污染增量，在淡水河（含龙岗河、坪山河等支流）、石马河（含观澜河、潼湖水等支流）、紧水河、稿树下水、东江（龙溪水）等支流和东江惠州博罗段江东、榕溪沥（罗阳）、廖洞、合竹洲、永平等</w:t>
            </w:r>
            <w:r>
              <w:rPr>
                <w:sz w:val="24"/>
              </w:rPr>
              <w:t>5</w:t>
            </w:r>
            <w:r>
              <w:rPr>
                <w:rFonts w:hint="eastAsia"/>
                <w:sz w:val="24"/>
              </w:rPr>
              <w:t>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48C76606">
            <w:pPr>
              <w:adjustRightInd w:val="0"/>
              <w:snapToGrid w:val="0"/>
              <w:spacing w:line="360" w:lineRule="auto"/>
              <w:ind w:firstLine="480" w:firstLineChars="200"/>
              <w:textAlignment w:val="baseline"/>
              <w:rPr>
                <w:sz w:val="24"/>
              </w:rPr>
            </w:pPr>
            <w:r>
              <w:rPr>
                <w:rFonts w:hint="eastAsia"/>
                <w:sz w:val="24"/>
                <w:szCs w:val="24"/>
              </w:rPr>
              <w:t>（</w:t>
            </w:r>
            <w:r>
              <w:rPr>
                <w:sz w:val="24"/>
                <w:szCs w:val="24"/>
              </w:rPr>
              <w:t>2</w:t>
            </w:r>
            <w:r>
              <w:rPr>
                <w:rFonts w:hint="eastAsia"/>
                <w:sz w:val="24"/>
                <w:szCs w:val="24"/>
              </w:rPr>
              <w:t>）《广东省人民政府关于严格限制东江流域水污染项目建设进一步做好东江水质保护工作的补充通知》（粤府函〔</w:t>
            </w:r>
            <w:r>
              <w:rPr>
                <w:sz w:val="24"/>
                <w:szCs w:val="24"/>
              </w:rPr>
              <w:t>2013</w:t>
            </w:r>
            <w:r>
              <w:rPr>
                <w:rFonts w:hint="eastAsia"/>
                <w:sz w:val="24"/>
                <w:szCs w:val="24"/>
              </w:rPr>
              <w:t>〕</w:t>
            </w:r>
            <w:r>
              <w:rPr>
                <w:sz w:val="24"/>
                <w:szCs w:val="24"/>
              </w:rPr>
              <w:t>231</w:t>
            </w:r>
            <w:r>
              <w:rPr>
                <w:rFonts w:hint="eastAsia"/>
                <w:sz w:val="24"/>
                <w:szCs w:val="24"/>
              </w:rPr>
              <w:t>号）的相关要求：符合下列条件之一的建设项目，不列入禁止建设和暂停审批范围：</w:t>
            </w:r>
            <w:r>
              <w:rPr>
                <w:sz w:val="24"/>
                <w:szCs w:val="24"/>
              </w:rPr>
              <w:t>1</w:t>
            </w:r>
            <w:r>
              <w:rPr>
                <w:rFonts w:hint="eastAsia"/>
                <w:sz w:val="24"/>
                <w:szCs w:val="24"/>
              </w:rPr>
              <w:t>）建设地点位于东江流域，但不排放废</w:t>
            </w:r>
            <w:r>
              <w:rPr>
                <w:rFonts w:hint="eastAsia"/>
                <w:sz w:val="24"/>
              </w:rPr>
              <w:t>水或废水不排入东江及其支流，不会对东江水质和水环境安全构成影响的项目；</w:t>
            </w:r>
            <w:r>
              <w:rPr>
                <w:sz w:val="24"/>
              </w:rPr>
              <w:t>2</w:t>
            </w:r>
            <w:r>
              <w:rPr>
                <w:rFonts w:hint="eastAsia"/>
                <w:sz w:val="24"/>
              </w:rPr>
              <w:t>）通过提高清洁生产和污染防治水平，能够做到增产不增污、增产减污、技改减污的改（扩）建项目及同流域内迁建减污项目；</w:t>
            </w:r>
            <w:r>
              <w:rPr>
                <w:sz w:val="24"/>
              </w:rPr>
              <w:t>3</w:t>
            </w:r>
            <w:r>
              <w:rPr>
                <w:rFonts w:hint="eastAsia"/>
                <w:sz w:val="24"/>
              </w:rPr>
              <w:t>）流域内拟迁入重污染行业统一规划、统一定点基地，且符合基地规划环评审查意见的建设项目。</w:t>
            </w:r>
          </w:p>
          <w:p w14:paraId="7EE14593">
            <w:pPr>
              <w:adjustRightInd w:val="0"/>
              <w:snapToGrid w:val="0"/>
              <w:spacing w:line="360" w:lineRule="auto"/>
              <w:ind w:firstLine="480" w:firstLineChars="200"/>
              <w:textAlignment w:val="baseline"/>
              <w:rPr>
                <w:sz w:val="24"/>
                <w:szCs w:val="24"/>
              </w:rPr>
            </w:pPr>
            <w:r>
              <w:rPr>
                <w:rFonts w:hint="eastAsia"/>
                <w:sz w:val="24"/>
                <w:szCs w:val="24"/>
              </w:rPr>
              <w:t>（</w:t>
            </w:r>
            <w:r>
              <w:rPr>
                <w:sz w:val="24"/>
                <w:szCs w:val="24"/>
              </w:rPr>
              <w:t>3</w:t>
            </w:r>
            <w:r>
              <w:rPr>
                <w:rFonts w:hint="eastAsia"/>
                <w:sz w:val="24"/>
                <w:szCs w:val="24"/>
              </w:rPr>
              <w:t>）</w:t>
            </w:r>
            <w:r>
              <w:rPr>
                <w:rFonts w:hint="eastAsia"/>
                <w:bCs/>
                <w:sz w:val="24"/>
                <w:szCs w:val="24"/>
              </w:rPr>
              <w:t>相符性分析</w:t>
            </w:r>
          </w:p>
          <w:p w14:paraId="2E6AE2B0">
            <w:pPr>
              <w:snapToGrid w:val="0"/>
              <w:spacing w:line="360" w:lineRule="auto"/>
              <w:ind w:firstLine="480" w:firstLineChars="200"/>
              <w:textAlignment w:val="baseline"/>
              <w:rPr>
                <w:sz w:val="24"/>
              </w:rPr>
            </w:pPr>
            <w:r>
              <w:rPr>
                <w:rFonts w:hint="eastAsia"/>
                <w:sz w:val="24"/>
                <w:szCs w:val="24"/>
              </w:rPr>
              <w:t>本项目位于</w:t>
            </w:r>
            <w:r>
              <w:rPr>
                <w:sz w:val="24"/>
              </w:rPr>
              <w:t>惠州市博罗县湖镇镇水心围村委会水心围小组</w:t>
            </w:r>
            <w:r>
              <w:rPr>
                <w:rFonts w:hint="eastAsia"/>
                <w:sz w:val="24"/>
                <w:szCs w:val="24"/>
              </w:rPr>
              <w:t>，主要</w:t>
            </w:r>
            <w:r>
              <w:rPr>
                <w:rFonts w:hint="eastAsia"/>
                <w:sz w:val="24"/>
              </w:rPr>
              <w:t>从事废白土的处理，属一般工业固体废物治理，不属于严格控制和禁止审批的重污染项目，不属于涉重金属项目，不属于矿产资源开发利用和禽畜养殖项目，也不属于禁止审批和暂停审批的相关项目。本项目无生产废水排放；项目生活污水依托现有污水处理设施处理后达到《城镇污水处理厂污染物排放标准》</w:t>
            </w:r>
            <w:r>
              <w:rPr>
                <w:sz w:val="24"/>
              </w:rPr>
              <w:t>(GB18918-2002)</w:t>
            </w:r>
            <w:r>
              <w:rPr>
                <w:rFonts w:hint="eastAsia"/>
                <w:sz w:val="24"/>
              </w:rPr>
              <w:t>二级标准及广东省《水污染物排放限值》</w:t>
            </w:r>
            <w:r>
              <w:rPr>
                <w:sz w:val="24"/>
              </w:rPr>
              <w:t>(DB44/26-2001)</w:t>
            </w:r>
            <w:r>
              <w:rPr>
                <w:rFonts w:hint="eastAsia"/>
                <w:sz w:val="24"/>
              </w:rPr>
              <w:t>第二时段二级标准较严者后，用于山林灌溉。项目不属于新增超标或超总量污染物的项目，不会对东江水质和水环境安全构成影响。</w:t>
            </w:r>
          </w:p>
          <w:p w14:paraId="7B3121D2">
            <w:pPr>
              <w:snapToGrid w:val="0"/>
              <w:spacing w:line="360" w:lineRule="auto"/>
              <w:ind w:firstLine="480" w:firstLineChars="200"/>
              <w:textAlignment w:val="baseline"/>
              <w:rPr>
                <w:sz w:val="24"/>
              </w:rPr>
            </w:pPr>
            <w:r>
              <w:rPr>
                <w:rFonts w:hint="eastAsia"/>
                <w:sz w:val="24"/>
              </w:rPr>
              <w:t>因此，项目选址符合《广东省人民政府关于严格限制东江流域水污染项目建设进一步做好东江水质保护工作的通知》（粤府函</w:t>
            </w:r>
            <w:r>
              <w:rPr>
                <w:sz w:val="24"/>
              </w:rPr>
              <w:t>〔2011〕339</w:t>
            </w:r>
            <w:r>
              <w:rPr>
                <w:rFonts w:hint="eastAsia"/>
                <w:sz w:val="24"/>
              </w:rPr>
              <w:t>号）、《广东省人民政府关于严格限制东江流域水污染项目建设进一步做好东江水质保护工作的补充通知》（粤府函〔</w:t>
            </w:r>
            <w:r>
              <w:rPr>
                <w:sz w:val="24"/>
              </w:rPr>
              <w:t>2013</w:t>
            </w:r>
            <w:r>
              <w:rPr>
                <w:rFonts w:hint="eastAsia"/>
                <w:sz w:val="24"/>
              </w:rPr>
              <w:t>〕</w:t>
            </w:r>
            <w:r>
              <w:rPr>
                <w:sz w:val="24"/>
              </w:rPr>
              <w:t>231</w:t>
            </w:r>
            <w:r>
              <w:rPr>
                <w:rFonts w:hint="eastAsia"/>
                <w:sz w:val="24"/>
              </w:rPr>
              <w:t>号）的政策要求。</w:t>
            </w:r>
          </w:p>
          <w:p w14:paraId="11A37E28">
            <w:pPr>
              <w:snapToGrid w:val="0"/>
              <w:spacing w:line="360" w:lineRule="auto"/>
              <w:ind w:firstLine="482" w:firstLineChars="200"/>
              <w:textAlignment w:val="baseline"/>
              <w:rPr>
                <w:b/>
                <w:bCs/>
                <w:sz w:val="24"/>
                <w:szCs w:val="22"/>
              </w:rPr>
            </w:pPr>
            <w:r>
              <w:rPr>
                <w:rFonts w:hint="eastAsia"/>
                <w:b/>
                <w:bCs/>
                <w:sz w:val="24"/>
              </w:rPr>
              <w:t>7、</w:t>
            </w:r>
            <w:r>
              <w:rPr>
                <w:rFonts w:hint="eastAsia"/>
                <w:b/>
                <w:bCs/>
                <w:sz w:val="24"/>
                <w:szCs w:val="22"/>
              </w:rPr>
              <w:t>与《广东省大气污染防治条例》（</w:t>
            </w:r>
            <w:r>
              <w:rPr>
                <w:b/>
                <w:bCs/>
                <w:sz w:val="24"/>
                <w:szCs w:val="22"/>
              </w:rPr>
              <w:t>2022</w:t>
            </w:r>
            <w:r>
              <w:rPr>
                <w:rFonts w:hint="eastAsia"/>
                <w:b/>
                <w:bCs/>
                <w:sz w:val="24"/>
                <w:szCs w:val="22"/>
              </w:rPr>
              <w:t>年</w:t>
            </w:r>
            <w:r>
              <w:rPr>
                <w:b/>
                <w:bCs/>
                <w:sz w:val="24"/>
                <w:szCs w:val="22"/>
              </w:rPr>
              <w:t>11</w:t>
            </w:r>
            <w:r>
              <w:rPr>
                <w:rFonts w:hint="eastAsia"/>
                <w:b/>
                <w:bCs/>
                <w:sz w:val="24"/>
                <w:szCs w:val="22"/>
              </w:rPr>
              <w:t>月</w:t>
            </w:r>
            <w:r>
              <w:rPr>
                <w:b/>
                <w:bCs/>
                <w:sz w:val="24"/>
                <w:szCs w:val="22"/>
              </w:rPr>
              <w:t>30</w:t>
            </w:r>
            <w:r>
              <w:rPr>
                <w:rFonts w:hint="eastAsia"/>
                <w:b/>
                <w:bCs/>
                <w:sz w:val="24"/>
                <w:szCs w:val="22"/>
              </w:rPr>
              <w:t>日修改版）相符性分析</w:t>
            </w:r>
          </w:p>
          <w:p w14:paraId="482B6D38">
            <w:pPr>
              <w:snapToGrid w:val="0"/>
              <w:spacing w:line="360" w:lineRule="auto"/>
              <w:ind w:firstLine="480" w:firstLineChars="200"/>
              <w:textAlignment w:val="baseline"/>
              <w:rPr>
                <w:sz w:val="24"/>
                <w:szCs w:val="22"/>
              </w:rPr>
            </w:pPr>
            <w:r>
              <w:rPr>
                <w:rFonts w:hint="eastAsia"/>
                <w:sz w:val="24"/>
                <w:szCs w:val="22"/>
              </w:rPr>
              <w:t>《广东省大气污染防治条例》</w:t>
            </w:r>
            <w:r>
              <w:rPr>
                <w:rFonts w:hint="eastAsia"/>
                <w:sz w:val="24"/>
              </w:rPr>
              <w:t>相关规定如下：</w:t>
            </w:r>
          </w:p>
          <w:p w14:paraId="4509C905">
            <w:pPr>
              <w:snapToGrid w:val="0"/>
              <w:spacing w:line="360" w:lineRule="auto"/>
              <w:ind w:firstLine="480" w:firstLineChars="200"/>
              <w:textAlignment w:val="baseline"/>
              <w:rPr>
                <w:sz w:val="24"/>
                <w:szCs w:val="22"/>
              </w:rPr>
            </w:pPr>
            <w:r>
              <w:rPr>
                <w:rFonts w:hint="eastAsia"/>
                <w:sz w:val="24"/>
                <w:szCs w:val="22"/>
              </w:rPr>
              <w:t>第十三条</w:t>
            </w:r>
            <w:r>
              <w:rPr>
                <w:sz w:val="24"/>
                <w:szCs w:val="22"/>
              </w:rPr>
              <w:t xml:space="preserve"> </w:t>
            </w:r>
            <w:r>
              <w:rPr>
                <w:rFonts w:hint="eastAsia"/>
                <w:sz w:val="24"/>
                <w:szCs w:val="22"/>
              </w:rPr>
              <w:t>新建、改建、扩建新增排放重点大气污染物的建设项目，建设单位应当在报批环境影响评价文件前按照规定向生态环境主管部门申请取得重点大气污染物排放总量控制指标。</w:t>
            </w:r>
            <w:r>
              <w:rPr>
                <w:sz w:val="24"/>
                <w:szCs w:val="22"/>
              </w:rPr>
              <w:t>……</w:t>
            </w:r>
          </w:p>
          <w:p w14:paraId="3EF14A59">
            <w:pPr>
              <w:snapToGrid w:val="0"/>
              <w:spacing w:line="360" w:lineRule="auto"/>
              <w:ind w:firstLine="480" w:firstLineChars="200"/>
              <w:textAlignment w:val="baseline"/>
              <w:rPr>
                <w:sz w:val="24"/>
                <w:szCs w:val="22"/>
              </w:rPr>
            </w:pPr>
            <w:r>
              <w:rPr>
                <w:rFonts w:hint="eastAsia"/>
                <w:sz w:val="24"/>
                <w:szCs w:val="22"/>
              </w:rPr>
              <w:t>第二十六条</w:t>
            </w:r>
            <w:r>
              <w:rPr>
                <w:sz w:val="24"/>
                <w:szCs w:val="22"/>
              </w:rPr>
              <w:t xml:space="preserve"> </w:t>
            </w:r>
            <w:r>
              <w:rPr>
                <w:rFonts w:hint="eastAsia"/>
                <w:sz w:val="24"/>
                <w:szCs w:val="22"/>
              </w:rPr>
              <w:t>新建、改建、扩建排放挥发性有机物的建设项目，应当使用污染防治先进可行技术。</w:t>
            </w:r>
          </w:p>
          <w:p w14:paraId="49BE1E76">
            <w:pPr>
              <w:snapToGrid w:val="0"/>
              <w:spacing w:line="360" w:lineRule="auto"/>
              <w:ind w:firstLine="480" w:firstLineChars="200"/>
              <w:textAlignment w:val="baseline"/>
              <w:rPr>
                <w:sz w:val="24"/>
                <w:szCs w:val="22"/>
              </w:rPr>
            </w:pPr>
            <w:r>
              <w:rPr>
                <w:rFonts w:hint="eastAsia"/>
                <w:sz w:val="24"/>
                <w:szCs w:val="22"/>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1DA35E73">
            <w:pPr>
              <w:snapToGrid w:val="0"/>
              <w:spacing w:line="360" w:lineRule="auto"/>
              <w:ind w:firstLine="480" w:firstLineChars="200"/>
              <w:textAlignment w:val="baseline"/>
              <w:rPr>
                <w:sz w:val="24"/>
                <w:szCs w:val="22"/>
              </w:rPr>
            </w:pPr>
            <w:r>
              <w:rPr>
                <w:rFonts w:hint="eastAsia"/>
                <w:sz w:val="24"/>
                <w:szCs w:val="22"/>
              </w:rPr>
              <w:t>（一）石油、化工、煤炭加工与转化等含挥发性有机物原料的生产；</w:t>
            </w:r>
          </w:p>
          <w:p w14:paraId="1F6B237E">
            <w:pPr>
              <w:snapToGrid w:val="0"/>
              <w:spacing w:line="360" w:lineRule="auto"/>
              <w:ind w:firstLine="480" w:firstLineChars="200"/>
              <w:textAlignment w:val="baseline"/>
              <w:rPr>
                <w:sz w:val="24"/>
                <w:szCs w:val="22"/>
              </w:rPr>
            </w:pPr>
            <w:r>
              <w:rPr>
                <w:rFonts w:hint="eastAsia"/>
                <w:sz w:val="24"/>
                <w:szCs w:val="22"/>
              </w:rPr>
              <w:t>（二）燃油、溶剂的储存、运输和销售；</w:t>
            </w:r>
          </w:p>
          <w:p w14:paraId="6C3D57B6">
            <w:pPr>
              <w:snapToGrid w:val="0"/>
              <w:spacing w:line="360" w:lineRule="auto"/>
              <w:ind w:firstLine="480" w:firstLineChars="200"/>
              <w:textAlignment w:val="baseline"/>
              <w:rPr>
                <w:sz w:val="24"/>
                <w:szCs w:val="22"/>
              </w:rPr>
            </w:pPr>
            <w:r>
              <w:rPr>
                <w:rFonts w:hint="eastAsia"/>
                <w:sz w:val="24"/>
                <w:szCs w:val="22"/>
              </w:rPr>
              <w:t>（三）涂料、油墨、胶粘剂、农药等以挥发性有机物为原料的生产；</w:t>
            </w:r>
          </w:p>
          <w:p w14:paraId="085AD124">
            <w:pPr>
              <w:snapToGrid w:val="0"/>
              <w:spacing w:line="360" w:lineRule="auto"/>
              <w:ind w:firstLine="480" w:firstLineChars="200"/>
              <w:textAlignment w:val="baseline"/>
              <w:rPr>
                <w:sz w:val="24"/>
                <w:szCs w:val="22"/>
              </w:rPr>
            </w:pPr>
            <w:r>
              <w:rPr>
                <w:rFonts w:hint="eastAsia"/>
                <w:sz w:val="24"/>
                <w:szCs w:val="22"/>
              </w:rPr>
              <w:t>（四）涂装、印刷、粘合、工业清洗等使用含挥发性有机物产品的生产活动；</w:t>
            </w:r>
          </w:p>
          <w:p w14:paraId="1F15F479">
            <w:pPr>
              <w:snapToGrid w:val="0"/>
              <w:spacing w:line="360" w:lineRule="auto"/>
              <w:ind w:firstLine="480" w:firstLineChars="200"/>
              <w:textAlignment w:val="baseline"/>
              <w:rPr>
                <w:sz w:val="24"/>
                <w:szCs w:val="22"/>
              </w:rPr>
            </w:pPr>
            <w:r>
              <w:rPr>
                <w:rFonts w:hint="eastAsia"/>
                <w:sz w:val="24"/>
                <w:szCs w:val="22"/>
              </w:rPr>
              <w:t>（五）其他产生挥发性有机物的生产和服务活动。</w:t>
            </w:r>
          </w:p>
          <w:p w14:paraId="7204D924">
            <w:pPr>
              <w:snapToGrid w:val="0"/>
              <w:spacing w:line="360" w:lineRule="auto"/>
              <w:ind w:firstLine="480" w:firstLineChars="200"/>
              <w:textAlignment w:val="baseline"/>
              <w:rPr>
                <w:sz w:val="24"/>
                <w:szCs w:val="22"/>
              </w:rPr>
            </w:pPr>
            <w:r>
              <w:rPr>
                <w:rFonts w:hint="eastAsia"/>
                <w:bCs/>
                <w:sz w:val="24"/>
                <w:szCs w:val="22"/>
              </w:rPr>
              <w:t>相符性分析：本</w:t>
            </w:r>
            <w:r>
              <w:rPr>
                <w:rFonts w:hint="eastAsia"/>
                <w:sz w:val="24"/>
                <w:szCs w:val="22"/>
              </w:rPr>
              <w:t>项目有机废气总量由惠州市生态环境局博罗分局调配；项目</w:t>
            </w:r>
            <w:r>
              <w:rPr>
                <w:rFonts w:hint="eastAsia"/>
                <w:sz w:val="24"/>
                <w:szCs w:val="24"/>
              </w:rPr>
              <w:t>生产过程产生的</w:t>
            </w:r>
            <w:r>
              <w:rPr>
                <w:rFonts w:hint="eastAsia"/>
                <w:sz w:val="24"/>
                <w:szCs w:val="22"/>
              </w:rPr>
              <w:t>废气收集后经“二级活性炭吸附”工艺处理后通过15m高排气筒DA001排放，废气达标排放，对周边大气环境影响不大。因此，符合《广东省大气污染防治条例》的相关要求。</w:t>
            </w:r>
          </w:p>
          <w:p w14:paraId="55C3668F">
            <w:pPr>
              <w:snapToGrid w:val="0"/>
              <w:spacing w:line="360" w:lineRule="auto"/>
              <w:ind w:firstLine="482" w:firstLineChars="200"/>
              <w:textAlignment w:val="baseline"/>
              <w:rPr>
                <w:b/>
                <w:bCs/>
                <w:sz w:val="24"/>
              </w:rPr>
            </w:pPr>
            <w:r>
              <w:rPr>
                <w:rFonts w:hint="eastAsia"/>
                <w:b/>
                <w:bCs/>
                <w:sz w:val="24"/>
                <w:szCs w:val="22"/>
              </w:rPr>
              <w:t>8、</w:t>
            </w:r>
            <w:r>
              <w:rPr>
                <w:rFonts w:hint="eastAsia"/>
                <w:b/>
                <w:bCs/>
                <w:sz w:val="24"/>
              </w:rPr>
              <w:t>与《关于印发〈惠州市</w:t>
            </w:r>
            <w:r>
              <w:rPr>
                <w:b/>
                <w:bCs/>
                <w:sz w:val="24"/>
              </w:rPr>
              <w:t>2023</w:t>
            </w:r>
            <w:r>
              <w:rPr>
                <w:rFonts w:hint="eastAsia"/>
                <w:b/>
                <w:bCs/>
                <w:sz w:val="24"/>
              </w:rPr>
              <w:t>年水污染防治攻坚战工作方案〉的通知》（惠市环〔</w:t>
            </w:r>
            <w:r>
              <w:rPr>
                <w:b/>
                <w:bCs/>
                <w:sz w:val="24"/>
              </w:rPr>
              <w:t>2023</w:t>
            </w:r>
            <w:r>
              <w:rPr>
                <w:rFonts w:hint="eastAsia"/>
                <w:b/>
                <w:bCs/>
                <w:sz w:val="24"/>
              </w:rPr>
              <w:t>〕</w:t>
            </w:r>
            <w:r>
              <w:rPr>
                <w:b/>
                <w:bCs/>
                <w:sz w:val="24"/>
              </w:rPr>
              <w:t>17</w:t>
            </w:r>
            <w:r>
              <w:rPr>
                <w:rFonts w:hint="eastAsia"/>
                <w:b/>
                <w:bCs/>
                <w:sz w:val="24"/>
              </w:rPr>
              <w:t>号）的相符性分析</w:t>
            </w:r>
          </w:p>
          <w:p w14:paraId="43BBEBB2">
            <w:pPr>
              <w:snapToGrid w:val="0"/>
              <w:spacing w:line="360" w:lineRule="auto"/>
              <w:ind w:firstLine="480" w:firstLineChars="200"/>
              <w:textAlignment w:val="baseline"/>
              <w:rPr>
                <w:sz w:val="24"/>
                <w:szCs w:val="22"/>
              </w:rPr>
            </w:pPr>
            <w:r>
              <w:rPr>
                <w:rFonts w:hint="eastAsia"/>
                <w:sz w:val="24"/>
                <w:szCs w:val="22"/>
              </w:rPr>
              <w:t>方案要求，持续开展工业污染防治。落实“三线一单”生态环境分区管控要求，严格建设项目生态环境准入。全面推行排污许可制度，加强排污许可证后监管，加大环境违法行为查处力度，按照“双随机、一公开”原则对工矿企业、工业及其他各类园区或开发区污水处理厂、城镇污水处理厂入河排污口定期开展监督检查，加快完成白花新材料产业园污水处理厂建设。提升清洁生产水平，优化工业废水处理工艺，抓好金属表面处理、化工、印染、造纸、食品加工等重点行业绿色升级以及工业废水处理设施稳定达标改造。</w:t>
            </w:r>
          </w:p>
          <w:p w14:paraId="173C2E19">
            <w:pPr>
              <w:snapToGrid w:val="0"/>
              <w:spacing w:line="360" w:lineRule="auto"/>
              <w:ind w:firstLine="480" w:firstLineChars="200"/>
              <w:textAlignment w:val="baseline"/>
              <w:rPr>
                <w:sz w:val="24"/>
                <w:szCs w:val="22"/>
              </w:rPr>
            </w:pPr>
            <w:r>
              <w:rPr>
                <w:rFonts w:hint="eastAsia"/>
                <w:sz w:val="24"/>
                <w:szCs w:val="22"/>
              </w:rPr>
              <w:t>项目生产废水不外排；</w:t>
            </w:r>
            <w:r>
              <w:rPr>
                <w:rFonts w:hint="eastAsia"/>
                <w:sz w:val="24"/>
              </w:rPr>
              <w:t>生活污水依托现有污水处理设施处理后达到《城镇污水处理厂污染物排放标准》</w:t>
            </w:r>
            <w:r>
              <w:rPr>
                <w:sz w:val="24"/>
              </w:rPr>
              <w:t>(GB18918-2002)</w:t>
            </w:r>
            <w:r>
              <w:rPr>
                <w:rFonts w:hint="eastAsia"/>
                <w:sz w:val="24"/>
              </w:rPr>
              <w:t>二级标准及广东省《水污染物排放限值》</w:t>
            </w:r>
            <w:r>
              <w:rPr>
                <w:sz w:val="24"/>
              </w:rPr>
              <w:t>(DB44/26-2001)</w:t>
            </w:r>
            <w:r>
              <w:rPr>
                <w:rFonts w:hint="eastAsia"/>
                <w:sz w:val="24"/>
              </w:rPr>
              <w:t>第二时段二级标准较严者后，用于山林灌溉。</w:t>
            </w:r>
            <w:r>
              <w:rPr>
                <w:rFonts w:hint="eastAsia"/>
                <w:sz w:val="24"/>
                <w:szCs w:val="22"/>
              </w:rPr>
              <w:t>项目建设符合《关于印发〈惠州市</w:t>
            </w:r>
            <w:r>
              <w:rPr>
                <w:sz w:val="24"/>
                <w:szCs w:val="22"/>
              </w:rPr>
              <w:t>2023</w:t>
            </w:r>
            <w:r>
              <w:rPr>
                <w:rFonts w:hint="eastAsia"/>
                <w:sz w:val="24"/>
                <w:szCs w:val="22"/>
              </w:rPr>
              <w:t>年水污染防治攻坚战实施方案〉的通知》的要求。</w:t>
            </w:r>
          </w:p>
          <w:p w14:paraId="60155DEC">
            <w:pPr>
              <w:snapToGrid w:val="0"/>
              <w:spacing w:line="360" w:lineRule="auto"/>
              <w:ind w:firstLine="482" w:firstLineChars="200"/>
              <w:textAlignment w:val="baseline"/>
              <w:rPr>
                <w:b/>
                <w:bCs/>
                <w:sz w:val="24"/>
                <w:szCs w:val="22"/>
              </w:rPr>
            </w:pPr>
            <w:r>
              <w:rPr>
                <w:rFonts w:hint="eastAsia"/>
                <w:b/>
                <w:bCs/>
                <w:sz w:val="24"/>
                <w:szCs w:val="22"/>
              </w:rPr>
              <w:t>9、与《关于印发〈惠州市</w:t>
            </w:r>
            <w:r>
              <w:rPr>
                <w:b/>
                <w:bCs/>
                <w:sz w:val="24"/>
                <w:szCs w:val="22"/>
              </w:rPr>
              <w:t>2023</w:t>
            </w:r>
            <w:r>
              <w:rPr>
                <w:rFonts w:hint="eastAsia"/>
                <w:b/>
                <w:bCs/>
                <w:sz w:val="24"/>
                <w:szCs w:val="22"/>
              </w:rPr>
              <w:t>年大气污染防治工作方案〉的通知》（惠市环〔</w:t>
            </w:r>
            <w:r>
              <w:rPr>
                <w:b/>
                <w:bCs/>
                <w:sz w:val="24"/>
                <w:szCs w:val="22"/>
              </w:rPr>
              <w:t>2023</w:t>
            </w:r>
            <w:r>
              <w:rPr>
                <w:rFonts w:hint="eastAsia"/>
                <w:b/>
                <w:bCs/>
                <w:sz w:val="24"/>
                <w:szCs w:val="22"/>
              </w:rPr>
              <w:t>〕</w:t>
            </w:r>
            <w:r>
              <w:rPr>
                <w:b/>
                <w:bCs/>
                <w:sz w:val="24"/>
                <w:szCs w:val="22"/>
              </w:rPr>
              <w:t xml:space="preserve">11 </w:t>
            </w:r>
            <w:r>
              <w:rPr>
                <w:rFonts w:hint="eastAsia"/>
                <w:b/>
                <w:bCs/>
                <w:sz w:val="24"/>
                <w:szCs w:val="22"/>
              </w:rPr>
              <w:t>号）的相符性分析</w:t>
            </w:r>
          </w:p>
          <w:p w14:paraId="3CDE1D79">
            <w:pPr>
              <w:snapToGrid w:val="0"/>
              <w:spacing w:line="360" w:lineRule="auto"/>
              <w:ind w:firstLine="480" w:firstLineChars="200"/>
              <w:textAlignment w:val="baseline"/>
              <w:rPr>
                <w:sz w:val="24"/>
                <w:szCs w:val="22"/>
              </w:rPr>
            </w:pPr>
            <w:r>
              <w:rPr>
                <w:rFonts w:hint="eastAsia"/>
                <w:sz w:val="24"/>
                <w:szCs w:val="22"/>
              </w:rPr>
              <w:t>方案要求：</w:t>
            </w:r>
            <w:r>
              <w:rPr>
                <w:sz w:val="24"/>
                <w:szCs w:val="22"/>
              </w:rPr>
              <w:t>1</w:t>
            </w:r>
            <w:r>
              <w:rPr>
                <w:rFonts w:hint="eastAsia"/>
                <w:sz w:val="24"/>
                <w:szCs w:val="22"/>
              </w:rPr>
              <w:t>、加强低</w:t>
            </w:r>
            <w:r>
              <w:rPr>
                <w:sz w:val="24"/>
                <w:szCs w:val="22"/>
              </w:rPr>
              <w:t>VOCs</w:t>
            </w:r>
            <w:r>
              <w:rPr>
                <w:rFonts w:hint="eastAsia"/>
                <w:sz w:val="24"/>
                <w:szCs w:val="22"/>
              </w:rPr>
              <w:t>含量原辅材料应用。</w:t>
            </w:r>
            <w:r>
              <w:rPr>
                <w:sz w:val="24"/>
                <w:szCs w:val="22"/>
              </w:rPr>
              <w:t>2</w:t>
            </w:r>
            <w:r>
              <w:rPr>
                <w:rFonts w:hint="eastAsia"/>
                <w:sz w:val="24"/>
                <w:szCs w:val="22"/>
              </w:rPr>
              <w:t>、新、改、扩建项目限制使用光催化、光氧化、水喷淋（吸收可溶性</w:t>
            </w:r>
            <w:r>
              <w:rPr>
                <w:sz w:val="24"/>
                <w:szCs w:val="22"/>
              </w:rPr>
              <w:t>VOCs</w:t>
            </w:r>
            <w:r>
              <w:rPr>
                <w:rFonts w:hint="eastAsia"/>
                <w:sz w:val="24"/>
                <w:szCs w:val="22"/>
              </w:rPr>
              <w:t>除外）、低温等离子等低效</w:t>
            </w:r>
            <w:r>
              <w:rPr>
                <w:sz w:val="24"/>
                <w:szCs w:val="22"/>
              </w:rPr>
              <w:t xml:space="preserve">VOCs </w:t>
            </w:r>
            <w:r>
              <w:rPr>
                <w:rFonts w:hint="eastAsia"/>
                <w:sz w:val="24"/>
                <w:szCs w:val="22"/>
              </w:rPr>
              <w:t>治理设施（恶臭处理除外）。</w:t>
            </w:r>
          </w:p>
          <w:p w14:paraId="756B6F93">
            <w:pPr>
              <w:snapToGrid w:val="0"/>
              <w:spacing w:line="360" w:lineRule="auto"/>
              <w:ind w:firstLine="480" w:firstLineChars="200"/>
              <w:textAlignment w:val="baseline"/>
              <w:rPr>
                <w:sz w:val="24"/>
              </w:rPr>
            </w:pPr>
            <w:r>
              <w:rPr>
                <w:rFonts w:hint="eastAsia"/>
                <w:sz w:val="24"/>
              </w:rPr>
              <w:t>本项目对废白土进行处理，废白土不属于高</w:t>
            </w:r>
            <w:r>
              <w:rPr>
                <w:sz w:val="24"/>
              </w:rPr>
              <w:t>VOCs</w:t>
            </w:r>
            <w:r>
              <w:rPr>
                <w:rFonts w:hint="eastAsia"/>
                <w:sz w:val="24"/>
              </w:rPr>
              <w:t>排放类原料。项目使用的植物油抽提溶剂作为油脂浸出溶剂，通过蒸发、冷凝后回收循环利用，冷凝过程产生的少量不凝气通过活性炭吸附后排放，符合《惠州市</w:t>
            </w:r>
            <w:r>
              <w:rPr>
                <w:sz w:val="24"/>
              </w:rPr>
              <w:t xml:space="preserve">2023 </w:t>
            </w:r>
            <w:r>
              <w:rPr>
                <w:rFonts w:hint="eastAsia"/>
                <w:sz w:val="24"/>
              </w:rPr>
              <w:t>年大气污染防治工作方案》的通知（惠市环〔</w:t>
            </w:r>
            <w:r>
              <w:rPr>
                <w:sz w:val="24"/>
              </w:rPr>
              <w:t>2023</w:t>
            </w:r>
            <w:r>
              <w:rPr>
                <w:rFonts w:hint="eastAsia"/>
                <w:sz w:val="24"/>
              </w:rPr>
              <w:t>〕</w:t>
            </w:r>
            <w:r>
              <w:rPr>
                <w:sz w:val="24"/>
              </w:rPr>
              <w:t xml:space="preserve">11 </w:t>
            </w:r>
            <w:r>
              <w:rPr>
                <w:rFonts w:hint="eastAsia"/>
                <w:sz w:val="24"/>
              </w:rPr>
              <w:t>号）的要求。</w:t>
            </w:r>
          </w:p>
          <w:p w14:paraId="75F06879">
            <w:pPr>
              <w:snapToGrid w:val="0"/>
              <w:spacing w:line="360" w:lineRule="auto"/>
              <w:ind w:firstLine="482" w:firstLineChars="200"/>
              <w:textAlignment w:val="baseline"/>
              <w:rPr>
                <w:b/>
                <w:bCs/>
                <w:sz w:val="24"/>
              </w:rPr>
            </w:pPr>
            <w:r>
              <w:rPr>
                <w:rFonts w:hint="eastAsia"/>
                <w:b/>
                <w:bCs/>
                <w:sz w:val="24"/>
              </w:rPr>
              <w:t>10、与《惠州市人民政府关于印发惠州市生态环境保护“十四五”规划的通知》（惠府〔</w:t>
            </w:r>
            <w:r>
              <w:rPr>
                <w:b/>
                <w:bCs/>
                <w:sz w:val="24"/>
              </w:rPr>
              <w:t>2022</w:t>
            </w:r>
            <w:r>
              <w:rPr>
                <w:rFonts w:hint="eastAsia"/>
                <w:b/>
                <w:bCs/>
                <w:sz w:val="24"/>
              </w:rPr>
              <w:t>〕</w:t>
            </w:r>
            <w:r>
              <w:rPr>
                <w:b/>
                <w:bCs/>
                <w:sz w:val="24"/>
              </w:rPr>
              <w:t>11</w:t>
            </w:r>
            <w:r>
              <w:rPr>
                <w:rFonts w:hint="eastAsia"/>
                <w:b/>
                <w:bCs/>
                <w:sz w:val="24"/>
              </w:rPr>
              <w:t>号）的相符性分析</w:t>
            </w:r>
          </w:p>
          <w:p w14:paraId="190EE09C">
            <w:pPr>
              <w:snapToGrid w:val="0"/>
              <w:spacing w:line="360" w:lineRule="auto"/>
              <w:ind w:firstLine="480" w:firstLineChars="200"/>
              <w:textAlignment w:val="baseline"/>
              <w:rPr>
                <w:sz w:val="24"/>
              </w:rPr>
            </w:pPr>
            <w:r>
              <w:rPr>
                <w:rFonts w:hint="eastAsia"/>
                <w:sz w:val="24"/>
              </w:rPr>
              <w:t>惠州市生态环境保护“十四五”规划提出：推动工业固体废物资源化利用，强化重点监管单位管控。强化源头控制管理，推进工业固体废物重点企业清洁生产审计，促进企业加强技术改进、降低能耗和物耗，减少固体废物产生，促进废物在企业内部的循环使用和综合利用。</w:t>
            </w:r>
            <w:r>
              <w:rPr>
                <w:sz w:val="24"/>
              </w:rPr>
              <w:t>加快推进</w:t>
            </w:r>
            <w:r>
              <w:rPr>
                <w:rFonts w:hint="eastAsia"/>
                <w:sz w:val="24"/>
              </w:rPr>
              <w:t>“</w:t>
            </w:r>
            <w:r>
              <w:rPr>
                <w:sz w:val="24"/>
              </w:rPr>
              <w:t>无废城市</w:t>
            </w:r>
            <w:r>
              <w:rPr>
                <w:rFonts w:hint="eastAsia"/>
                <w:sz w:val="24"/>
              </w:rPr>
              <w:t>”</w:t>
            </w:r>
            <w:r>
              <w:rPr>
                <w:sz w:val="24"/>
              </w:rPr>
              <w:t>试点建设，提升固体废物处理处置效能</w:t>
            </w:r>
            <w:r>
              <w:rPr>
                <w:rFonts w:hint="eastAsia"/>
                <w:sz w:val="24"/>
              </w:rPr>
              <w:t>。推动“无废城市”建设工程，在推行绿色工业、绿色生活以及培育固体废物处置产业、推行固体废物多元共治方面进行探索，在实施绿色园区、绿色矿山、绿色农业以及提高风险防控能力等方面进行探索。推进“无废园区”“无废社区”等细胞工程。</w:t>
            </w:r>
          </w:p>
          <w:p w14:paraId="69DDEF01">
            <w:pPr>
              <w:snapToGrid w:val="0"/>
              <w:spacing w:line="360" w:lineRule="auto"/>
              <w:ind w:firstLine="480" w:firstLineChars="200"/>
              <w:textAlignment w:val="baseline"/>
              <w:rPr>
                <w:sz w:val="24"/>
              </w:rPr>
            </w:pPr>
            <w:r>
              <w:rPr>
                <w:rFonts w:hint="eastAsia"/>
                <w:sz w:val="24"/>
              </w:rPr>
              <w:t>本项目主要从事一般工业固体废物废白土的综合利用，可推动工业固体废物资源化利用，促进“无废城市”建设。项目无生产废水产生；废气通过处理达标后有组织排放。本项目的建设符合《惠州市生态环境保护“十四五”规划》的相关规定。</w:t>
            </w:r>
          </w:p>
          <w:p w14:paraId="2B3E4CFD">
            <w:pPr>
              <w:snapToGrid w:val="0"/>
              <w:spacing w:line="360" w:lineRule="auto"/>
              <w:ind w:firstLine="482" w:firstLineChars="200"/>
              <w:textAlignment w:val="baseline"/>
              <w:rPr>
                <w:sz w:val="24"/>
              </w:rPr>
            </w:pPr>
            <w:r>
              <w:rPr>
                <w:rFonts w:hint="eastAsia"/>
                <w:b/>
                <w:bCs/>
                <w:sz w:val="24"/>
              </w:rPr>
              <w:t>11、与《惠州市人民政府关于划定惠州市高污染燃料禁燃区的通告》（惠府〔2023〕2号）的相符性分析</w:t>
            </w:r>
          </w:p>
          <w:p w14:paraId="2DBB5E53">
            <w:pPr>
              <w:snapToGrid w:val="0"/>
              <w:spacing w:line="360" w:lineRule="auto"/>
              <w:ind w:firstLine="480" w:firstLineChars="200"/>
              <w:textAlignment w:val="baseline"/>
              <w:rPr>
                <w:sz w:val="24"/>
              </w:rPr>
            </w:pPr>
            <w:r>
              <w:rPr>
                <w:rFonts w:hint="eastAsia"/>
                <w:sz w:val="24"/>
              </w:rPr>
              <w:t>根据通告：</w:t>
            </w:r>
          </w:p>
          <w:p w14:paraId="0B8D481C">
            <w:pPr>
              <w:snapToGrid w:val="0"/>
              <w:spacing w:line="360" w:lineRule="auto"/>
              <w:ind w:firstLine="480" w:firstLineChars="200"/>
              <w:textAlignment w:val="baseline"/>
              <w:rPr>
                <w:sz w:val="24"/>
              </w:rPr>
            </w:pPr>
            <w:r>
              <w:rPr>
                <w:rFonts w:hint="eastAsia"/>
                <w:sz w:val="24"/>
              </w:rPr>
              <w:t>一、禁燃区范围划定</w:t>
            </w:r>
          </w:p>
          <w:p w14:paraId="4614093A">
            <w:pPr>
              <w:snapToGrid w:val="0"/>
              <w:spacing w:line="360" w:lineRule="auto"/>
              <w:ind w:firstLine="480" w:firstLineChars="200"/>
              <w:textAlignment w:val="baseline"/>
              <w:rPr>
                <w:sz w:val="24"/>
              </w:rPr>
            </w:pPr>
            <w:r>
              <w:rPr>
                <w:rFonts w:hint="eastAsia"/>
                <w:sz w:val="24"/>
              </w:rPr>
              <w:t>惠州市全市行政区域均划定为高污染燃料禁燃区。</w:t>
            </w:r>
          </w:p>
          <w:p w14:paraId="09B2D29C">
            <w:pPr>
              <w:snapToGrid w:val="0"/>
              <w:spacing w:line="360" w:lineRule="auto"/>
              <w:ind w:firstLine="480" w:firstLineChars="200"/>
              <w:textAlignment w:val="baseline"/>
              <w:rPr>
                <w:sz w:val="24"/>
              </w:rPr>
            </w:pPr>
            <w:r>
              <w:rPr>
                <w:sz w:val="24"/>
              </w:rPr>
              <w:t>……</w:t>
            </w:r>
          </w:p>
          <w:p w14:paraId="2C466AAA">
            <w:pPr>
              <w:snapToGrid w:val="0"/>
              <w:spacing w:line="360" w:lineRule="auto"/>
              <w:ind w:firstLine="480" w:firstLineChars="200"/>
              <w:textAlignment w:val="baseline"/>
              <w:rPr>
                <w:sz w:val="24"/>
              </w:rPr>
            </w:pPr>
            <w:r>
              <w:rPr>
                <w:rFonts w:hint="eastAsia"/>
                <w:sz w:val="24"/>
              </w:rPr>
              <w:t>（二）其他燃烧设施禁止燃用的燃料：</w:t>
            </w:r>
          </w:p>
          <w:p w14:paraId="2476B3E2">
            <w:pPr>
              <w:snapToGrid w:val="0"/>
              <w:spacing w:line="360" w:lineRule="auto"/>
              <w:ind w:firstLine="480" w:firstLineChars="200"/>
              <w:textAlignment w:val="baseline"/>
              <w:rPr>
                <w:sz w:val="24"/>
              </w:rPr>
            </w:pPr>
            <w:r>
              <w:rPr>
                <w:sz w:val="24"/>
              </w:rPr>
              <w:t>……</w:t>
            </w:r>
          </w:p>
          <w:p w14:paraId="78DF9A73">
            <w:pPr>
              <w:snapToGrid w:val="0"/>
              <w:spacing w:line="360" w:lineRule="auto"/>
              <w:ind w:firstLine="480" w:firstLineChars="200"/>
              <w:textAlignment w:val="baseline"/>
              <w:rPr>
                <w:sz w:val="24"/>
              </w:rPr>
            </w:pPr>
            <w:r>
              <w:rPr>
                <w:rFonts w:hint="eastAsia"/>
                <w:sz w:val="24"/>
              </w:rPr>
              <w:t>2. 惠东县、博罗县、龙门县：</w:t>
            </w:r>
          </w:p>
          <w:p w14:paraId="35351435">
            <w:pPr>
              <w:snapToGrid w:val="0"/>
              <w:spacing w:line="360" w:lineRule="auto"/>
              <w:ind w:firstLine="480" w:firstLineChars="200"/>
              <w:textAlignment w:val="baseline"/>
              <w:rPr>
                <w:sz w:val="24"/>
              </w:rPr>
            </w:pPr>
            <w:r>
              <w:rPr>
                <w:rFonts w:hint="eastAsia"/>
                <w:sz w:val="24"/>
              </w:rPr>
              <w:t>——惠东县平山街道全域，博罗县罗阳街道全域，龙门县龙城街道全域，按照《高污染燃料目录》第III类燃料组合类别执行。</w:t>
            </w:r>
          </w:p>
          <w:p w14:paraId="5054F46B">
            <w:pPr>
              <w:snapToGrid w:val="0"/>
              <w:spacing w:line="360" w:lineRule="auto"/>
              <w:ind w:firstLine="480" w:firstLineChars="200"/>
              <w:textAlignment w:val="baseline"/>
              <w:rPr>
                <w:sz w:val="24"/>
              </w:rPr>
            </w:pPr>
            <w:r>
              <w:rPr>
                <w:rFonts w:hint="eastAsia"/>
                <w:sz w:val="24"/>
              </w:rPr>
              <w:t>——惠东县大岭街道、白花镇，博罗县园洲镇、石湾镇、龙溪街道、泰美镇，2025年12月31日前按照《高污染燃料目录》第Ⅱ类燃料组合类别执行；2026年1月1日起，按照《高污染燃料目录》第III类燃料组合类别执行。</w:t>
            </w:r>
          </w:p>
          <w:p w14:paraId="66318B6E">
            <w:pPr>
              <w:snapToGrid w:val="0"/>
              <w:spacing w:line="360" w:lineRule="auto"/>
              <w:ind w:firstLine="480" w:firstLineChars="200"/>
              <w:textAlignment w:val="baseline"/>
              <w:rPr>
                <w:sz w:val="24"/>
              </w:rPr>
            </w:pPr>
            <w:r>
              <w:rPr>
                <w:rFonts w:hint="eastAsia"/>
                <w:sz w:val="24"/>
              </w:rPr>
              <w:t>——惠东县、博罗县、龙门县除上述区域外的其他地区，2025年12月31日前按照《高污染燃料目录》第Ⅰ类燃料组合类别执行；2026年1月1日起，按照《高污染燃料目录》第III类燃料组合类别执行。</w:t>
            </w:r>
          </w:p>
          <w:p w14:paraId="656F1F3D">
            <w:pPr>
              <w:snapToGrid w:val="0"/>
              <w:spacing w:line="360" w:lineRule="auto"/>
              <w:ind w:firstLine="480" w:firstLineChars="200"/>
              <w:textAlignment w:val="baseline"/>
              <w:rPr>
                <w:sz w:val="24"/>
              </w:rPr>
            </w:pPr>
            <w:r>
              <w:rPr>
                <w:sz w:val="24"/>
              </w:rPr>
              <w:t>……</w:t>
            </w:r>
          </w:p>
          <w:p w14:paraId="7023F4B5">
            <w:pPr>
              <w:snapToGrid w:val="0"/>
              <w:spacing w:line="360" w:lineRule="auto"/>
              <w:ind w:firstLine="480" w:firstLineChars="200"/>
              <w:textAlignment w:val="baseline"/>
              <w:rPr>
                <w:sz w:val="24"/>
              </w:rPr>
            </w:pPr>
            <w:r>
              <w:rPr>
                <w:rFonts w:hint="eastAsia"/>
                <w:sz w:val="24"/>
              </w:rPr>
              <w:t>三、本通告有关专用词汇说明</w:t>
            </w:r>
          </w:p>
          <w:p w14:paraId="17BFB887">
            <w:pPr>
              <w:snapToGrid w:val="0"/>
              <w:spacing w:line="360" w:lineRule="auto"/>
              <w:ind w:firstLine="480" w:firstLineChars="200"/>
              <w:textAlignment w:val="baseline"/>
              <w:rPr>
                <w:sz w:val="24"/>
              </w:rPr>
            </w:pPr>
            <w:r>
              <w:rPr>
                <w:rFonts w:hint="eastAsia"/>
                <w:sz w:val="24"/>
              </w:rPr>
              <w:t>（一）生物质成型燃料锅炉的高效除尘设施，是指袋式除尘设施，或旋风加袋式除尘、电袋除尘等两级、多级除尘高效治理设施；配套静电除尘等其他类型除尘设施的，要确保锅炉烟尘排放浓度稳定达到《锅炉大气污染物排放标准》（DB44/765-2019）对应排放标准。</w:t>
            </w:r>
          </w:p>
          <w:p w14:paraId="651C938D">
            <w:pPr>
              <w:snapToGrid w:val="0"/>
              <w:spacing w:line="360" w:lineRule="auto"/>
              <w:ind w:firstLine="480" w:firstLineChars="200"/>
              <w:textAlignment w:val="baseline"/>
              <w:rPr>
                <w:sz w:val="24"/>
              </w:rPr>
            </w:pPr>
            <w:r>
              <w:rPr>
                <w:sz w:val="24"/>
              </w:rPr>
              <w:t>……</w:t>
            </w:r>
          </w:p>
          <w:p w14:paraId="044B40F6">
            <w:pPr>
              <w:snapToGrid w:val="0"/>
              <w:spacing w:line="360" w:lineRule="auto"/>
              <w:ind w:firstLine="480" w:firstLineChars="200"/>
              <w:textAlignment w:val="baseline"/>
              <w:rPr>
                <w:sz w:val="24"/>
              </w:rPr>
            </w:pPr>
            <w:r>
              <w:rPr>
                <w:rFonts w:hint="eastAsia"/>
                <w:sz w:val="24"/>
              </w:rPr>
              <w:t>其中第III类高污染燃料组合类别为：</w:t>
            </w:r>
          </w:p>
          <w:p w14:paraId="78E3E699">
            <w:pPr>
              <w:snapToGrid w:val="0"/>
              <w:spacing w:line="360" w:lineRule="auto"/>
              <w:ind w:firstLine="480" w:firstLineChars="200"/>
              <w:textAlignment w:val="baseline"/>
              <w:rPr>
                <w:sz w:val="24"/>
              </w:rPr>
            </w:pPr>
            <w:r>
              <w:rPr>
                <w:rFonts w:hint="eastAsia"/>
                <w:sz w:val="24"/>
              </w:rPr>
              <w:t>（一）煤炭及其制品。</w:t>
            </w:r>
          </w:p>
          <w:p w14:paraId="5A128659">
            <w:pPr>
              <w:snapToGrid w:val="0"/>
              <w:spacing w:line="360" w:lineRule="auto"/>
              <w:ind w:firstLine="480" w:firstLineChars="200"/>
              <w:textAlignment w:val="baseline"/>
              <w:rPr>
                <w:sz w:val="24"/>
              </w:rPr>
            </w:pPr>
            <w:r>
              <w:rPr>
                <w:rFonts w:hint="eastAsia"/>
                <w:sz w:val="24"/>
              </w:rPr>
              <w:t>（二）石油焦、油页岩、原油、重油、渣油、煤焦油。</w:t>
            </w:r>
          </w:p>
          <w:p w14:paraId="13B8ED76">
            <w:pPr>
              <w:snapToGrid w:val="0"/>
              <w:spacing w:line="360" w:lineRule="auto"/>
              <w:ind w:firstLine="480" w:firstLineChars="200"/>
              <w:textAlignment w:val="baseline"/>
              <w:rPr>
                <w:sz w:val="24"/>
              </w:rPr>
            </w:pPr>
            <w:r>
              <w:rPr>
                <w:rFonts w:hint="eastAsia"/>
                <w:sz w:val="24"/>
              </w:rPr>
              <w:t>（三）非专用锅炉或未配置高效除尘设施的专用锅炉燃用的生物质成型燃料。</w:t>
            </w:r>
          </w:p>
          <w:p w14:paraId="53369DED">
            <w:pPr>
              <w:snapToGrid w:val="0"/>
              <w:spacing w:line="360" w:lineRule="auto"/>
              <w:ind w:firstLine="480" w:firstLineChars="200"/>
              <w:textAlignment w:val="baseline"/>
              <w:rPr>
                <w:sz w:val="24"/>
              </w:rPr>
            </w:pPr>
            <w:r>
              <w:rPr>
                <w:rFonts w:hint="eastAsia"/>
                <w:sz w:val="24"/>
              </w:rPr>
              <w:t>本项目配套建设1台6蒸吨/小时生物质成型燃料锅炉，使用配置高效除尘设施的专用锅炉，</w:t>
            </w:r>
            <w:r>
              <w:rPr>
                <w:rFonts w:hint="eastAsia"/>
                <w:bCs/>
                <w:sz w:val="24"/>
              </w:rPr>
              <w:t>锅炉烟气采用</w:t>
            </w:r>
            <w:r>
              <w:rPr>
                <w:bCs/>
                <w:sz w:val="24"/>
              </w:rPr>
              <w:t>低氮燃烧</w:t>
            </w:r>
            <w:r>
              <w:rPr>
                <w:rFonts w:hint="eastAsia"/>
                <w:bCs/>
                <w:sz w:val="24"/>
              </w:rPr>
              <w:t>+袋式除尘器+</w:t>
            </w:r>
            <w:r>
              <w:rPr>
                <w:bCs/>
                <w:sz w:val="24"/>
              </w:rPr>
              <w:t>SCR</w:t>
            </w:r>
            <w:r>
              <w:rPr>
                <w:rFonts w:hint="eastAsia"/>
                <w:bCs/>
                <w:sz w:val="24"/>
              </w:rPr>
              <w:t>装置处理，</w:t>
            </w:r>
            <w:r>
              <w:rPr>
                <w:rFonts w:hint="eastAsia"/>
                <w:sz w:val="24"/>
              </w:rPr>
              <w:t>生物质成型燃料锅炉烟尘排放可稳定达到广东省《锅炉大气污染物排放标准》（DB44/765-2019）表3特别排放限值的要求。因此本项目生物质成型燃料锅炉的建设符合</w:t>
            </w:r>
            <w:r>
              <w:rPr>
                <w:sz w:val="24"/>
              </w:rPr>
              <w:t>《</w:t>
            </w:r>
            <w:r>
              <w:rPr>
                <w:rFonts w:hint="eastAsia"/>
                <w:sz w:val="24"/>
              </w:rPr>
              <w:t>惠州市人民政府关于划定惠州市高污染燃料禁燃区的通告》（惠府〔2023〕2号）的要求。</w:t>
            </w:r>
          </w:p>
          <w:p w14:paraId="1B19EE98">
            <w:pPr>
              <w:autoSpaceDE w:val="0"/>
              <w:autoSpaceDN w:val="0"/>
              <w:adjustRightInd w:val="0"/>
              <w:spacing w:line="360" w:lineRule="auto"/>
              <w:ind w:firstLine="482" w:firstLineChars="200"/>
              <w:rPr>
                <w:b/>
                <w:bCs/>
                <w:sz w:val="24"/>
                <w:szCs w:val="24"/>
              </w:rPr>
            </w:pPr>
            <w:r>
              <w:rPr>
                <w:rFonts w:hint="eastAsia"/>
                <w:b/>
                <w:bCs/>
                <w:sz w:val="24"/>
                <w:szCs w:val="24"/>
              </w:rPr>
              <w:t>综上所述，本项目符合</w:t>
            </w:r>
            <w:r>
              <w:rPr>
                <w:b/>
                <w:bCs/>
                <w:sz w:val="24"/>
                <w:szCs w:val="24"/>
              </w:rPr>
              <w:t>“</w:t>
            </w:r>
            <w:r>
              <w:rPr>
                <w:rFonts w:hint="eastAsia"/>
                <w:b/>
                <w:bCs/>
                <w:sz w:val="24"/>
                <w:szCs w:val="24"/>
              </w:rPr>
              <w:t>三线一单</w:t>
            </w:r>
            <w:r>
              <w:rPr>
                <w:b/>
                <w:bCs/>
                <w:sz w:val="24"/>
                <w:szCs w:val="24"/>
              </w:rPr>
              <w:t>”</w:t>
            </w:r>
            <w:r>
              <w:rPr>
                <w:rFonts w:hint="eastAsia"/>
                <w:b/>
                <w:bCs/>
                <w:sz w:val="24"/>
                <w:szCs w:val="24"/>
              </w:rPr>
              <w:t>和相关产业政策、环保政策的要求。</w:t>
            </w:r>
          </w:p>
          <w:p w14:paraId="3C188D3B">
            <w:pPr>
              <w:autoSpaceDE w:val="0"/>
              <w:autoSpaceDN w:val="0"/>
              <w:adjustRightInd w:val="0"/>
              <w:spacing w:line="360" w:lineRule="auto"/>
              <w:ind w:firstLine="482" w:firstLineChars="200"/>
              <w:rPr>
                <w:b/>
                <w:bCs/>
                <w:sz w:val="24"/>
                <w:szCs w:val="24"/>
              </w:rPr>
            </w:pPr>
          </w:p>
          <w:p w14:paraId="2DB92129">
            <w:pPr>
              <w:autoSpaceDE w:val="0"/>
              <w:autoSpaceDN w:val="0"/>
              <w:adjustRightInd w:val="0"/>
              <w:spacing w:line="360" w:lineRule="auto"/>
              <w:ind w:firstLine="482" w:firstLineChars="200"/>
              <w:rPr>
                <w:b/>
                <w:bCs/>
                <w:sz w:val="24"/>
                <w:szCs w:val="24"/>
              </w:rPr>
            </w:pPr>
          </w:p>
          <w:p w14:paraId="516EC6A2">
            <w:pPr>
              <w:autoSpaceDE w:val="0"/>
              <w:autoSpaceDN w:val="0"/>
              <w:adjustRightInd w:val="0"/>
              <w:spacing w:line="360" w:lineRule="auto"/>
              <w:ind w:firstLine="482" w:firstLineChars="200"/>
              <w:rPr>
                <w:b/>
                <w:bCs/>
                <w:sz w:val="24"/>
                <w:szCs w:val="24"/>
              </w:rPr>
            </w:pPr>
          </w:p>
          <w:p w14:paraId="6AE4E0FB">
            <w:pPr>
              <w:autoSpaceDE w:val="0"/>
              <w:autoSpaceDN w:val="0"/>
              <w:adjustRightInd w:val="0"/>
              <w:spacing w:line="360" w:lineRule="auto"/>
              <w:ind w:firstLine="482" w:firstLineChars="200"/>
              <w:rPr>
                <w:b/>
                <w:bCs/>
                <w:sz w:val="24"/>
                <w:szCs w:val="24"/>
              </w:rPr>
            </w:pPr>
          </w:p>
          <w:p w14:paraId="059BBF67">
            <w:pPr>
              <w:autoSpaceDE w:val="0"/>
              <w:autoSpaceDN w:val="0"/>
              <w:adjustRightInd w:val="0"/>
              <w:spacing w:line="360" w:lineRule="auto"/>
              <w:ind w:firstLine="482" w:firstLineChars="200"/>
              <w:rPr>
                <w:b/>
                <w:bCs/>
                <w:sz w:val="24"/>
                <w:szCs w:val="24"/>
              </w:rPr>
            </w:pPr>
          </w:p>
          <w:p w14:paraId="0890F368">
            <w:pPr>
              <w:autoSpaceDE w:val="0"/>
              <w:autoSpaceDN w:val="0"/>
              <w:adjustRightInd w:val="0"/>
              <w:spacing w:line="360" w:lineRule="auto"/>
              <w:ind w:firstLine="482" w:firstLineChars="200"/>
              <w:rPr>
                <w:b/>
                <w:bCs/>
                <w:sz w:val="24"/>
                <w:szCs w:val="24"/>
              </w:rPr>
            </w:pPr>
          </w:p>
          <w:p w14:paraId="318E63F8">
            <w:pPr>
              <w:autoSpaceDE w:val="0"/>
              <w:autoSpaceDN w:val="0"/>
              <w:adjustRightInd w:val="0"/>
              <w:spacing w:line="360" w:lineRule="auto"/>
              <w:ind w:firstLine="482" w:firstLineChars="200"/>
              <w:rPr>
                <w:b/>
                <w:bCs/>
                <w:sz w:val="24"/>
                <w:szCs w:val="24"/>
              </w:rPr>
            </w:pPr>
          </w:p>
          <w:p w14:paraId="771CD3DD">
            <w:pPr>
              <w:autoSpaceDE w:val="0"/>
              <w:autoSpaceDN w:val="0"/>
              <w:adjustRightInd w:val="0"/>
              <w:spacing w:line="360" w:lineRule="auto"/>
              <w:ind w:firstLine="482" w:firstLineChars="200"/>
              <w:rPr>
                <w:b/>
                <w:bCs/>
                <w:sz w:val="24"/>
                <w:szCs w:val="24"/>
              </w:rPr>
            </w:pPr>
          </w:p>
          <w:p w14:paraId="26CA2244">
            <w:pPr>
              <w:autoSpaceDE w:val="0"/>
              <w:autoSpaceDN w:val="0"/>
              <w:adjustRightInd w:val="0"/>
              <w:spacing w:line="360" w:lineRule="auto"/>
              <w:ind w:firstLine="482" w:firstLineChars="200"/>
              <w:rPr>
                <w:b/>
                <w:bCs/>
                <w:sz w:val="24"/>
                <w:szCs w:val="24"/>
              </w:rPr>
            </w:pPr>
          </w:p>
          <w:p w14:paraId="6A696A13">
            <w:pPr>
              <w:autoSpaceDE w:val="0"/>
              <w:autoSpaceDN w:val="0"/>
              <w:adjustRightInd w:val="0"/>
              <w:spacing w:line="360" w:lineRule="auto"/>
              <w:ind w:firstLine="482" w:firstLineChars="200"/>
              <w:rPr>
                <w:b/>
                <w:bCs/>
                <w:sz w:val="24"/>
                <w:szCs w:val="24"/>
              </w:rPr>
            </w:pPr>
          </w:p>
          <w:p w14:paraId="6ADC3C44">
            <w:pPr>
              <w:autoSpaceDE w:val="0"/>
              <w:autoSpaceDN w:val="0"/>
              <w:adjustRightInd w:val="0"/>
              <w:spacing w:line="360" w:lineRule="auto"/>
              <w:ind w:firstLine="482" w:firstLineChars="200"/>
              <w:rPr>
                <w:b/>
                <w:bCs/>
                <w:sz w:val="24"/>
                <w:szCs w:val="24"/>
              </w:rPr>
            </w:pPr>
          </w:p>
          <w:p w14:paraId="226CB613">
            <w:pPr>
              <w:autoSpaceDE w:val="0"/>
              <w:autoSpaceDN w:val="0"/>
              <w:adjustRightInd w:val="0"/>
              <w:spacing w:line="360" w:lineRule="auto"/>
              <w:ind w:firstLine="482" w:firstLineChars="200"/>
              <w:rPr>
                <w:b/>
                <w:bCs/>
                <w:sz w:val="24"/>
                <w:szCs w:val="24"/>
              </w:rPr>
            </w:pPr>
          </w:p>
          <w:p w14:paraId="3B9ABDCF">
            <w:pPr>
              <w:autoSpaceDE w:val="0"/>
              <w:autoSpaceDN w:val="0"/>
              <w:adjustRightInd w:val="0"/>
              <w:spacing w:line="360" w:lineRule="auto"/>
              <w:ind w:firstLine="480" w:firstLineChars="200"/>
              <w:rPr>
                <w:sz w:val="24"/>
                <w:szCs w:val="24"/>
              </w:rPr>
            </w:pPr>
          </w:p>
        </w:tc>
      </w:tr>
    </w:tbl>
    <w:p w14:paraId="0DBD8526">
      <w:pPr>
        <w:pStyle w:val="42"/>
        <w:rPr>
          <w:color w:val="auto"/>
        </w:rPr>
      </w:pPr>
    </w:p>
    <w:p w14:paraId="00B9A051">
      <w:pPr>
        <w:pStyle w:val="12"/>
        <w:ind w:left="1260" w:hanging="420"/>
        <w:sectPr>
          <w:footerReference r:id="rId7" w:type="default"/>
          <w:pgSz w:w="11906" w:h="16838"/>
          <w:pgMar w:top="1418" w:right="1134" w:bottom="1418" w:left="1418" w:header="851" w:footer="992" w:gutter="0"/>
          <w:pgNumType w:fmt="decimal" w:start="1"/>
          <w:cols w:space="425" w:num="1"/>
          <w:docGrid w:linePitch="312" w:charSpace="0"/>
        </w:sectPr>
      </w:pPr>
    </w:p>
    <w:p w14:paraId="6C47E823">
      <w:pPr>
        <w:pStyle w:val="32"/>
        <w:spacing w:before="0" w:beforeAutospacing="0" w:after="0" w:afterAutospacing="0"/>
        <w:jc w:val="center"/>
        <w:outlineLvl w:val="0"/>
        <w:rPr>
          <w:rFonts w:hint="eastAsia" w:ascii="黑体" w:hAnsi="黑体" w:eastAsia="黑体"/>
          <w:snapToGrid w:val="0"/>
          <w:sz w:val="30"/>
          <w:szCs w:val="30"/>
        </w:rPr>
      </w:pPr>
      <w:bookmarkStart w:id="6" w:name="_Toc209949140"/>
      <w:r>
        <w:rPr>
          <w:rFonts w:ascii="黑体" w:hAnsi="黑体" w:eastAsia="黑体"/>
          <w:snapToGrid w:val="0"/>
          <w:sz w:val="30"/>
          <w:szCs w:val="30"/>
        </w:rPr>
        <w:t>二、建设项目工程分析</w:t>
      </w:r>
      <w:bookmarkEnd w:id="6"/>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5"/>
        <w:gridCol w:w="9185"/>
      </w:tblGrid>
      <w:tr w14:paraId="722A4D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45" w:type="pct"/>
            <w:vAlign w:val="center"/>
          </w:tcPr>
          <w:p w14:paraId="1DA18712">
            <w:pPr>
              <w:widowControl/>
              <w:adjustRightInd w:val="0"/>
              <w:snapToGrid w:val="0"/>
              <w:jc w:val="center"/>
              <w:rPr>
                <w:b/>
                <w:kern w:val="0"/>
              </w:rPr>
            </w:pPr>
            <w:r>
              <w:rPr>
                <w:b/>
                <w:kern w:val="0"/>
                <w:sz w:val="24"/>
                <w:szCs w:val="24"/>
              </w:rPr>
              <w:t>建设内容</w:t>
            </w:r>
          </w:p>
        </w:tc>
        <w:tc>
          <w:tcPr>
            <w:tcW w:w="4755" w:type="pct"/>
            <w:vAlign w:val="center"/>
          </w:tcPr>
          <w:p w14:paraId="58C78266">
            <w:pPr>
              <w:spacing w:before="120" w:beforeLines="50" w:line="360" w:lineRule="auto"/>
              <w:ind w:firstLine="482" w:firstLineChars="200"/>
              <w:rPr>
                <w:b/>
                <w:sz w:val="24"/>
                <w:szCs w:val="24"/>
              </w:rPr>
            </w:pPr>
            <w:r>
              <w:rPr>
                <w:b/>
                <w:sz w:val="24"/>
                <w:szCs w:val="24"/>
              </w:rPr>
              <w:t>1.</w:t>
            </w:r>
            <w:r>
              <w:rPr>
                <w:b/>
                <w:spacing w:val="6"/>
                <w:sz w:val="24"/>
                <w:szCs w:val="24"/>
              </w:rPr>
              <w:t>建设内容及规模</w:t>
            </w:r>
          </w:p>
          <w:p w14:paraId="5B8CC48F">
            <w:pPr>
              <w:spacing w:line="360" w:lineRule="auto"/>
              <w:ind w:firstLine="480" w:firstLineChars="200"/>
              <w:rPr>
                <w:sz w:val="24"/>
              </w:rPr>
            </w:pPr>
            <w:r>
              <w:rPr>
                <w:rFonts w:hint="eastAsia"/>
                <w:sz w:val="24"/>
              </w:rPr>
              <w:t>惠州市耀坤环保科技有限公司位于</w:t>
            </w:r>
            <w:r>
              <w:rPr>
                <w:sz w:val="24"/>
              </w:rPr>
              <w:t>惠州市博罗县湖镇镇水心围村委会水心围小组</w:t>
            </w:r>
            <w:r>
              <w:rPr>
                <w:rFonts w:hint="eastAsia"/>
                <w:sz w:val="24"/>
              </w:rPr>
              <w:t>（</w:t>
            </w:r>
            <w:r>
              <w:rPr>
                <w:rFonts w:hint="eastAsia"/>
                <w:bCs/>
                <w:sz w:val="24"/>
                <w:szCs w:val="24"/>
              </w:rPr>
              <w:t>地理位置见附图10</w:t>
            </w:r>
            <w:r>
              <w:rPr>
                <w:rFonts w:hint="eastAsia"/>
                <w:sz w:val="24"/>
              </w:rPr>
              <w:t>），主要</w:t>
            </w:r>
            <w:r>
              <w:rPr>
                <w:rFonts w:hint="eastAsia"/>
                <w:bCs/>
                <w:sz w:val="24"/>
                <w:szCs w:val="24"/>
              </w:rPr>
              <w:t>从事废白土的加工利用，从废白土中回收工业油脂。</w:t>
            </w:r>
            <w:r>
              <w:rPr>
                <w:rFonts w:hint="eastAsia"/>
                <w:sz w:val="24"/>
              </w:rPr>
              <w:t>2018年11月，《惠州市耀坤环保科技有限公司年加工6万吨废白土及2万吨废皂脚项目环境影响报告书》通过了原博罗县环境保护局的批复（博环建〔2018〕305号，见附件</w:t>
            </w:r>
            <w:r>
              <w:rPr>
                <w:rFonts w:hint="eastAsia"/>
                <w:sz w:val="24"/>
                <w:lang w:val="en-US" w:eastAsia="zh-CN"/>
              </w:rPr>
              <w:t>2</w:t>
            </w:r>
            <w:r>
              <w:rPr>
                <w:rFonts w:hint="eastAsia"/>
                <w:sz w:val="24"/>
              </w:rPr>
              <w:t>）同意建设；2019年7月，惠州市耀坤环保科技有限公司年加工</w:t>
            </w:r>
            <w:r>
              <w:rPr>
                <w:sz w:val="24"/>
              </w:rPr>
              <w:t>6</w:t>
            </w:r>
            <w:r>
              <w:rPr>
                <w:rFonts w:hint="eastAsia"/>
                <w:sz w:val="24"/>
              </w:rPr>
              <w:t>万吨废白土及</w:t>
            </w:r>
            <w:r>
              <w:rPr>
                <w:sz w:val="24"/>
              </w:rPr>
              <w:t>2</w:t>
            </w:r>
            <w:r>
              <w:rPr>
                <w:rFonts w:hint="eastAsia"/>
                <w:sz w:val="24"/>
              </w:rPr>
              <w:t>万吨废皂脚项目（一期）建成通过了竣工环保自主验收（见附件</w:t>
            </w:r>
            <w:r>
              <w:rPr>
                <w:rFonts w:hint="eastAsia"/>
                <w:sz w:val="24"/>
                <w:lang w:val="en-US" w:eastAsia="zh-CN"/>
              </w:rPr>
              <w:t>3</w:t>
            </w:r>
            <w:r>
              <w:rPr>
                <w:rFonts w:hint="eastAsia"/>
                <w:sz w:val="24"/>
              </w:rPr>
              <w:t>）并投入生产，一期主要建设内容为年加工</w:t>
            </w:r>
            <w:r>
              <w:rPr>
                <w:sz w:val="24"/>
              </w:rPr>
              <w:t>6</w:t>
            </w:r>
            <w:r>
              <w:rPr>
                <w:rFonts w:hint="eastAsia"/>
                <w:sz w:val="24"/>
              </w:rPr>
              <w:t>万吨废白土项目，年加工2万吨废皂脚项目至今未建设投产。公司已申领国家排污许可证（见附件</w:t>
            </w:r>
            <w:r>
              <w:rPr>
                <w:rFonts w:hint="eastAsia"/>
                <w:sz w:val="24"/>
                <w:lang w:val="en-US" w:eastAsia="zh-CN"/>
              </w:rPr>
              <w:t>4</w:t>
            </w:r>
            <w:r>
              <w:rPr>
                <w:rFonts w:hint="eastAsia"/>
                <w:sz w:val="24"/>
              </w:rPr>
              <w:t>），许可证编号：91441322MA4WBT8J9P001V。</w:t>
            </w:r>
          </w:p>
          <w:p w14:paraId="7044DFCE">
            <w:pPr>
              <w:spacing w:line="360" w:lineRule="auto"/>
              <w:ind w:firstLine="480" w:firstLineChars="200"/>
              <w:rPr>
                <w:bCs/>
                <w:sz w:val="24"/>
                <w:szCs w:val="24"/>
              </w:rPr>
            </w:pPr>
            <w:r>
              <w:rPr>
                <w:rFonts w:hint="eastAsia"/>
                <w:sz w:val="24"/>
              </w:rPr>
              <w:t>根据市场发展需求，惠州市耀坤环保科技有限公司拟在现有厂区进行改扩建，改扩建项目</w:t>
            </w:r>
            <w:r>
              <w:rPr>
                <w:rFonts w:hint="eastAsia"/>
                <w:bCs/>
                <w:sz w:val="24"/>
                <w:szCs w:val="24"/>
              </w:rPr>
              <w:t>位于现有项目西北侧，</w:t>
            </w:r>
            <w:r>
              <w:rPr>
                <w:bCs/>
                <w:sz w:val="24"/>
                <w:szCs w:val="24"/>
              </w:rPr>
              <w:t>地理位置中心坐标为：</w:t>
            </w:r>
            <w:r>
              <w:rPr>
                <w:sz w:val="24"/>
                <w:szCs w:val="24"/>
              </w:rPr>
              <w:t>东经</w:t>
            </w:r>
            <w:r>
              <w:rPr>
                <w:rFonts w:hint="eastAsia"/>
                <w:sz w:val="24"/>
                <w:szCs w:val="24"/>
              </w:rPr>
              <w:t>114</w:t>
            </w:r>
            <w:r>
              <w:rPr>
                <w:sz w:val="24"/>
                <w:szCs w:val="24"/>
              </w:rPr>
              <w:t>度</w:t>
            </w:r>
            <w:r>
              <w:rPr>
                <w:rFonts w:hint="eastAsia"/>
                <w:sz w:val="24"/>
                <w:szCs w:val="24"/>
              </w:rPr>
              <w:t>9</w:t>
            </w:r>
            <w:r>
              <w:rPr>
                <w:sz w:val="24"/>
                <w:szCs w:val="24"/>
              </w:rPr>
              <w:t>分</w:t>
            </w:r>
            <w:r>
              <w:rPr>
                <w:rFonts w:hint="eastAsia"/>
                <w:sz w:val="24"/>
                <w:szCs w:val="24"/>
              </w:rPr>
              <w:t>12.2832</w:t>
            </w:r>
            <w:r>
              <w:rPr>
                <w:sz w:val="24"/>
                <w:szCs w:val="24"/>
              </w:rPr>
              <w:t>秒，北纬23度</w:t>
            </w:r>
            <w:r>
              <w:rPr>
                <w:rFonts w:hint="eastAsia"/>
                <w:sz w:val="24"/>
                <w:szCs w:val="24"/>
              </w:rPr>
              <w:t>13</w:t>
            </w:r>
            <w:r>
              <w:rPr>
                <w:sz w:val="24"/>
                <w:szCs w:val="24"/>
              </w:rPr>
              <w:t>分</w:t>
            </w:r>
            <w:r>
              <w:rPr>
                <w:rFonts w:hint="eastAsia"/>
                <w:sz w:val="24"/>
                <w:szCs w:val="24"/>
              </w:rPr>
              <w:t>11.2296</w:t>
            </w:r>
            <w:r>
              <w:rPr>
                <w:sz w:val="24"/>
                <w:szCs w:val="24"/>
              </w:rPr>
              <w:t>秒</w:t>
            </w:r>
            <w:r>
              <w:rPr>
                <w:rFonts w:hint="eastAsia"/>
                <w:sz w:val="24"/>
                <w:szCs w:val="24"/>
              </w:rPr>
              <w:t>（东经</w:t>
            </w:r>
            <w:r>
              <w:rPr>
                <w:sz w:val="24"/>
                <w:szCs w:val="24"/>
              </w:rPr>
              <w:t>11</w:t>
            </w:r>
            <w:r>
              <w:rPr>
                <w:rFonts w:hint="eastAsia"/>
                <w:sz w:val="24"/>
                <w:szCs w:val="24"/>
              </w:rPr>
              <w:t>4</w:t>
            </w:r>
            <w:r>
              <w:rPr>
                <w:sz w:val="24"/>
                <w:szCs w:val="24"/>
              </w:rPr>
              <w:t>.</w:t>
            </w:r>
            <w:r>
              <w:rPr>
                <w:rFonts w:hint="eastAsia"/>
                <w:sz w:val="24"/>
                <w:szCs w:val="24"/>
              </w:rPr>
              <w:t>153412°，北纬</w:t>
            </w:r>
            <w:r>
              <w:rPr>
                <w:sz w:val="24"/>
                <w:szCs w:val="24"/>
              </w:rPr>
              <w:t>23.</w:t>
            </w:r>
            <w:r>
              <w:rPr>
                <w:rFonts w:hint="eastAsia"/>
                <w:sz w:val="24"/>
                <w:szCs w:val="24"/>
              </w:rPr>
              <w:t>219786°）</w:t>
            </w:r>
            <w:r>
              <w:rPr>
                <w:rFonts w:hint="eastAsia"/>
                <w:bCs/>
                <w:sz w:val="24"/>
                <w:szCs w:val="24"/>
              </w:rPr>
              <w:t>。厂区租用博罗县湖镇镇水心围村水心围村民小组的用地（见附件</w:t>
            </w:r>
            <w:r>
              <w:rPr>
                <w:rFonts w:hint="eastAsia"/>
                <w:bCs/>
                <w:sz w:val="24"/>
                <w:szCs w:val="24"/>
                <w:lang w:val="en-US" w:eastAsia="zh-CN"/>
              </w:rPr>
              <w:t>5</w:t>
            </w:r>
            <w:r>
              <w:rPr>
                <w:rFonts w:hint="eastAsia"/>
                <w:bCs/>
                <w:sz w:val="24"/>
                <w:szCs w:val="24"/>
              </w:rPr>
              <w:t>）。</w:t>
            </w:r>
          </w:p>
          <w:p w14:paraId="40014AB3">
            <w:pPr>
              <w:spacing w:line="360" w:lineRule="auto"/>
              <w:ind w:firstLine="480" w:firstLineChars="200"/>
              <w:rPr>
                <w:bCs/>
                <w:sz w:val="24"/>
                <w:szCs w:val="24"/>
              </w:rPr>
            </w:pPr>
            <w:r>
              <w:rPr>
                <w:rFonts w:hint="eastAsia"/>
                <w:bCs/>
                <w:sz w:val="24"/>
                <w:szCs w:val="24"/>
              </w:rPr>
              <w:t>改扩建</w:t>
            </w:r>
            <w:r>
              <w:rPr>
                <w:bCs/>
                <w:sz w:val="24"/>
                <w:szCs w:val="24"/>
              </w:rPr>
              <w:t>项目总投资</w:t>
            </w:r>
            <w:r>
              <w:rPr>
                <w:rFonts w:hint="eastAsia"/>
                <w:bCs/>
                <w:sz w:val="24"/>
                <w:szCs w:val="24"/>
              </w:rPr>
              <w:t>500</w:t>
            </w:r>
            <w:r>
              <w:rPr>
                <w:bCs/>
                <w:sz w:val="24"/>
                <w:szCs w:val="24"/>
              </w:rPr>
              <w:t>万元，其中环保投资</w:t>
            </w:r>
            <w:r>
              <w:rPr>
                <w:rFonts w:hint="eastAsia"/>
                <w:bCs/>
                <w:sz w:val="24"/>
                <w:szCs w:val="24"/>
              </w:rPr>
              <w:t>50</w:t>
            </w:r>
            <w:r>
              <w:rPr>
                <w:bCs/>
                <w:sz w:val="24"/>
                <w:szCs w:val="24"/>
              </w:rPr>
              <w:t>万元，</w:t>
            </w:r>
            <w:r>
              <w:rPr>
                <w:rFonts w:hint="eastAsia"/>
                <w:bCs/>
                <w:sz w:val="24"/>
                <w:szCs w:val="24"/>
              </w:rPr>
              <w:t>新增用地</w:t>
            </w:r>
            <w:r>
              <w:rPr>
                <w:bCs/>
                <w:sz w:val="24"/>
                <w:szCs w:val="24"/>
              </w:rPr>
              <w:t>面积约为</w:t>
            </w:r>
            <w:r>
              <w:rPr>
                <w:rFonts w:hint="eastAsia"/>
                <w:bCs/>
                <w:sz w:val="24"/>
                <w:szCs w:val="24"/>
              </w:rPr>
              <w:t>2243</w:t>
            </w:r>
            <w:r>
              <w:rPr>
                <w:bCs/>
                <w:sz w:val="24"/>
                <w:szCs w:val="24"/>
              </w:rPr>
              <w:t>m</w:t>
            </w:r>
            <w:r>
              <w:rPr>
                <w:bCs/>
                <w:sz w:val="24"/>
                <w:szCs w:val="24"/>
                <w:vertAlign w:val="superscript"/>
              </w:rPr>
              <w:t>2</w:t>
            </w:r>
            <w:r>
              <w:rPr>
                <w:rFonts w:hint="eastAsia"/>
                <w:bCs/>
                <w:sz w:val="24"/>
                <w:szCs w:val="24"/>
              </w:rPr>
              <w:t>，新增建筑面积约2280</w:t>
            </w:r>
            <w:r>
              <w:rPr>
                <w:bCs/>
                <w:sz w:val="24"/>
                <w:szCs w:val="24"/>
              </w:rPr>
              <w:t>m</w:t>
            </w:r>
            <w:r>
              <w:rPr>
                <w:bCs/>
                <w:sz w:val="24"/>
                <w:szCs w:val="24"/>
                <w:vertAlign w:val="superscript"/>
              </w:rPr>
              <w:t>2</w:t>
            </w:r>
            <w:r>
              <w:rPr>
                <w:bCs/>
                <w:sz w:val="24"/>
                <w:szCs w:val="24"/>
              </w:rPr>
              <w:t>。</w:t>
            </w:r>
            <w:r>
              <w:rPr>
                <w:rFonts w:hint="eastAsia"/>
                <w:bCs/>
                <w:sz w:val="24"/>
                <w:szCs w:val="24"/>
              </w:rPr>
              <w:t>改扩建项目设计加工废白土30000吨/年，生产工业油脂（酸化油）4500吨/年，同时将现有2蒸吨/小时生物质成型燃料锅炉拆除，改建为6蒸吨/小时生物质成型燃料锅炉供现有项目和本项目使用。改扩建项目拟定员工10人，均在厂内食宿。年工作300天，一天3班、每班8小时工作制。</w:t>
            </w:r>
          </w:p>
          <w:p w14:paraId="1EA833A7">
            <w:pPr>
              <w:spacing w:line="360" w:lineRule="auto"/>
              <w:ind w:firstLine="480" w:firstLineChars="200"/>
              <w:rPr>
                <w:sz w:val="24"/>
                <w:szCs w:val="24"/>
              </w:rPr>
            </w:pPr>
            <w:r>
              <w:rPr>
                <w:rFonts w:hint="eastAsia"/>
                <w:sz w:val="24"/>
                <w:szCs w:val="24"/>
              </w:rPr>
              <w:t>改扩建</w:t>
            </w:r>
            <w:r>
              <w:rPr>
                <w:sz w:val="24"/>
                <w:szCs w:val="24"/>
              </w:rPr>
              <w:t>项目</w:t>
            </w:r>
            <w:r>
              <w:rPr>
                <w:rFonts w:hint="eastAsia"/>
                <w:sz w:val="24"/>
                <w:szCs w:val="24"/>
              </w:rPr>
              <w:t>主要建筑物包括新建1栋单层生产车间、储罐区和改建锅炉房，现有项目和改扩建项目</w:t>
            </w:r>
            <w:r>
              <w:rPr>
                <w:sz w:val="24"/>
                <w:szCs w:val="24"/>
              </w:rPr>
              <w:t>工程组成情况见表</w:t>
            </w:r>
            <w:r>
              <w:rPr>
                <w:rFonts w:hint="eastAsia"/>
                <w:sz w:val="24"/>
                <w:szCs w:val="24"/>
              </w:rPr>
              <w:t>2-1</w:t>
            </w:r>
            <w:r>
              <w:rPr>
                <w:rFonts w:hint="eastAsia"/>
                <w:bCs/>
                <w:sz w:val="24"/>
                <w:szCs w:val="24"/>
              </w:rPr>
              <w:t>。</w:t>
            </w:r>
          </w:p>
          <w:p w14:paraId="0F654B56">
            <w:pPr>
              <w:pStyle w:val="14"/>
              <w:spacing w:before="0" w:beforeLines="0" w:after="0" w:afterLines="0" w:line="360" w:lineRule="auto"/>
              <w:rPr>
                <w:rFonts w:eastAsia="宋体"/>
                <w:b/>
                <w:sz w:val="21"/>
              </w:rPr>
            </w:pPr>
            <w:r>
              <w:rPr>
                <w:rFonts w:hint="eastAsia" w:eastAsia="宋体"/>
                <w:b/>
                <w:sz w:val="21"/>
              </w:rPr>
              <w:t>表2-1 改扩建前后</w:t>
            </w:r>
            <w:r>
              <w:rPr>
                <w:rFonts w:eastAsia="宋体"/>
                <w:b/>
                <w:bCs/>
                <w:sz w:val="21"/>
                <w:szCs w:val="21"/>
              </w:rPr>
              <w:t>项目工程</w:t>
            </w:r>
            <w:r>
              <w:rPr>
                <w:rFonts w:hint="eastAsia" w:eastAsia="宋体"/>
                <w:b/>
                <w:bCs/>
                <w:sz w:val="21"/>
                <w:szCs w:val="21"/>
              </w:rPr>
              <w:t>组成</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735"/>
              <w:gridCol w:w="2641"/>
              <w:gridCol w:w="2641"/>
              <w:gridCol w:w="2227"/>
            </w:tblGrid>
            <w:tr w14:paraId="2C5E7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restart"/>
                  <w:vAlign w:val="center"/>
                </w:tcPr>
                <w:p w14:paraId="6F0CF213">
                  <w:pPr>
                    <w:pStyle w:val="50"/>
                    <w:adjustRightInd w:val="0"/>
                    <w:snapToGrid w:val="0"/>
                    <w:spacing w:line="240" w:lineRule="auto"/>
                    <w:rPr>
                      <w:rFonts w:eastAsiaTheme="minorEastAsia"/>
                      <w:szCs w:val="21"/>
                    </w:rPr>
                  </w:pPr>
                  <w:r>
                    <w:rPr>
                      <w:rFonts w:hint="eastAsia" w:eastAsiaTheme="minorEastAsia"/>
                      <w:szCs w:val="21"/>
                    </w:rPr>
                    <w:t>工程类别</w:t>
                  </w:r>
                </w:p>
              </w:tc>
              <w:tc>
                <w:tcPr>
                  <w:tcW w:w="410" w:type="pct"/>
                  <w:vMerge w:val="restart"/>
                  <w:vAlign w:val="center"/>
                </w:tcPr>
                <w:p w14:paraId="5EAFC7D3">
                  <w:pPr>
                    <w:pStyle w:val="50"/>
                    <w:adjustRightInd w:val="0"/>
                    <w:snapToGrid w:val="0"/>
                    <w:spacing w:line="240" w:lineRule="auto"/>
                    <w:rPr>
                      <w:rFonts w:eastAsiaTheme="minorEastAsia"/>
                      <w:szCs w:val="21"/>
                    </w:rPr>
                  </w:pPr>
                  <w:r>
                    <w:rPr>
                      <w:rFonts w:hint="eastAsia" w:eastAsiaTheme="minorEastAsia"/>
                      <w:szCs w:val="21"/>
                    </w:rPr>
                    <w:t>工程名称</w:t>
                  </w:r>
                </w:p>
              </w:tc>
              <w:tc>
                <w:tcPr>
                  <w:tcW w:w="4191" w:type="pct"/>
                  <w:gridSpan w:val="3"/>
                  <w:vAlign w:val="center"/>
                </w:tcPr>
                <w:p w14:paraId="7A5CEB19">
                  <w:pPr>
                    <w:pStyle w:val="50"/>
                    <w:adjustRightInd w:val="0"/>
                    <w:snapToGrid w:val="0"/>
                    <w:spacing w:line="240" w:lineRule="auto"/>
                  </w:pPr>
                  <w:r>
                    <w:t>建设内容</w:t>
                  </w:r>
                </w:p>
              </w:tc>
            </w:tr>
            <w:tr w14:paraId="055DD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23FE4F3B">
                  <w:pPr>
                    <w:pStyle w:val="50"/>
                    <w:adjustRightInd w:val="0"/>
                    <w:snapToGrid w:val="0"/>
                    <w:spacing w:line="240" w:lineRule="auto"/>
                    <w:rPr>
                      <w:rFonts w:eastAsiaTheme="minorEastAsia"/>
                      <w:szCs w:val="21"/>
                    </w:rPr>
                  </w:pPr>
                </w:p>
              </w:tc>
              <w:tc>
                <w:tcPr>
                  <w:tcW w:w="410" w:type="pct"/>
                  <w:vMerge w:val="continue"/>
                  <w:vAlign w:val="center"/>
                </w:tcPr>
                <w:p w14:paraId="6E325A01">
                  <w:pPr>
                    <w:pStyle w:val="50"/>
                    <w:adjustRightInd w:val="0"/>
                    <w:snapToGrid w:val="0"/>
                    <w:spacing w:line="240" w:lineRule="auto"/>
                    <w:rPr>
                      <w:rFonts w:eastAsiaTheme="minorEastAsia"/>
                      <w:szCs w:val="21"/>
                    </w:rPr>
                  </w:pPr>
                </w:p>
              </w:tc>
              <w:tc>
                <w:tcPr>
                  <w:tcW w:w="1474" w:type="pct"/>
                  <w:vAlign w:val="center"/>
                </w:tcPr>
                <w:p w14:paraId="1CB3D4D2">
                  <w:pPr>
                    <w:pStyle w:val="50"/>
                    <w:adjustRightInd w:val="0"/>
                    <w:snapToGrid w:val="0"/>
                    <w:spacing w:line="240" w:lineRule="auto"/>
                  </w:pPr>
                  <w:r>
                    <w:rPr>
                      <w:rFonts w:hint="eastAsia"/>
                    </w:rPr>
                    <w:t>现有项目</w:t>
                  </w:r>
                </w:p>
              </w:tc>
              <w:tc>
                <w:tcPr>
                  <w:tcW w:w="1474" w:type="pct"/>
                  <w:vAlign w:val="center"/>
                </w:tcPr>
                <w:p w14:paraId="39F84AE4">
                  <w:pPr>
                    <w:pStyle w:val="50"/>
                    <w:adjustRightInd w:val="0"/>
                    <w:snapToGrid w:val="0"/>
                    <w:spacing w:line="240" w:lineRule="auto"/>
                  </w:pPr>
                  <w:r>
                    <w:rPr>
                      <w:rFonts w:hint="eastAsia"/>
                    </w:rPr>
                    <w:t>本次改扩建项目</w:t>
                  </w:r>
                </w:p>
              </w:tc>
              <w:tc>
                <w:tcPr>
                  <w:tcW w:w="1243" w:type="pct"/>
                  <w:vAlign w:val="center"/>
                </w:tcPr>
                <w:p w14:paraId="6D317151">
                  <w:pPr>
                    <w:pStyle w:val="50"/>
                    <w:adjustRightInd w:val="0"/>
                    <w:snapToGrid w:val="0"/>
                    <w:spacing w:line="240" w:lineRule="auto"/>
                  </w:pPr>
                  <w:r>
                    <w:rPr>
                      <w:rFonts w:hint="eastAsia"/>
                    </w:rPr>
                    <w:t>改扩建后全厂</w:t>
                  </w:r>
                </w:p>
              </w:tc>
            </w:tr>
            <w:tr w14:paraId="641CE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Align w:val="center"/>
                </w:tcPr>
                <w:p w14:paraId="36A774C1">
                  <w:pPr>
                    <w:pStyle w:val="50"/>
                    <w:adjustRightInd w:val="0"/>
                    <w:snapToGrid w:val="0"/>
                    <w:spacing w:line="240" w:lineRule="auto"/>
                    <w:rPr>
                      <w:rFonts w:eastAsiaTheme="minorEastAsia"/>
                      <w:szCs w:val="21"/>
                    </w:rPr>
                  </w:pPr>
                  <w:r>
                    <w:rPr>
                      <w:rFonts w:eastAsiaTheme="minorEastAsia"/>
                      <w:szCs w:val="21"/>
                    </w:rPr>
                    <w:t>主体工程</w:t>
                  </w:r>
                </w:p>
              </w:tc>
              <w:tc>
                <w:tcPr>
                  <w:tcW w:w="410" w:type="pct"/>
                  <w:vAlign w:val="center"/>
                </w:tcPr>
                <w:p w14:paraId="5136E528">
                  <w:pPr>
                    <w:pStyle w:val="50"/>
                    <w:adjustRightInd w:val="0"/>
                    <w:snapToGrid w:val="0"/>
                    <w:spacing w:line="240" w:lineRule="auto"/>
                    <w:rPr>
                      <w:rFonts w:eastAsiaTheme="minorEastAsia"/>
                      <w:szCs w:val="21"/>
                    </w:rPr>
                  </w:pPr>
                  <w:r>
                    <w:rPr>
                      <w:rFonts w:hint="eastAsia" w:eastAsiaTheme="minorEastAsia"/>
                      <w:szCs w:val="21"/>
                    </w:rPr>
                    <w:t>生产车间</w:t>
                  </w:r>
                </w:p>
              </w:tc>
              <w:tc>
                <w:tcPr>
                  <w:tcW w:w="1474" w:type="pct"/>
                  <w:vAlign w:val="center"/>
                </w:tcPr>
                <w:p w14:paraId="42020F97">
                  <w:pPr>
                    <w:pStyle w:val="50"/>
                    <w:adjustRightInd w:val="0"/>
                    <w:snapToGrid w:val="0"/>
                    <w:spacing w:line="240" w:lineRule="auto"/>
                    <w:jc w:val="both"/>
                    <w:rPr>
                      <w:szCs w:val="21"/>
                    </w:rPr>
                  </w:pPr>
                  <w:r>
                    <w:rPr>
                      <w:rFonts w:hint="eastAsia"/>
                      <w:szCs w:val="21"/>
                    </w:rPr>
                    <w:t>1栋单层生产车间，高12m。占地面积约1400</w:t>
                  </w:r>
                  <w:r>
                    <w:rPr>
                      <w:bCs/>
                      <w:szCs w:val="21"/>
                    </w:rPr>
                    <w:t>m</w:t>
                  </w:r>
                  <w:r>
                    <w:rPr>
                      <w:bCs/>
                      <w:szCs w:val="21"/>
                      <w:vertAlign w:val="superscript"/>
                    </w:rPr>
                    <w:t>2</w:t>
                  </w:r>
                  <w:r>
                    <w:rPr>
                      <w:rFonts w:hint="eastAsia"/>
                      <w:szCs w:val="21"/>
                    </w:rPr>
                    <w:t>，建筑面积约1400</w:t>
                  </w:r>
                  <w:r>
                    <w:rPr>
                      <w:bCs/>
                      <w:szCs w:val="21"/>
                    </w:rPr>
                    <w:t>m</w:t>
                  </w:r>
                  <w:r>
                    <w:rPr>
                      <w:bCs/>
                      <w:szCs w:val="21"/>
                      <w:vertAlign w:val="superscript"/>
                    </w:rPr>
                    <w:t>2</w:t>
                  </w:r>
                  <w:r>
                    <w:rPr>
                      <w:rFonts w:hint="eastAsia"/>
                    </w:rPr>
                    <w:t>。主要</w:t>
                  </w:r>
                  <w:r>
                    <w:rPr>
                      <w:rFonts w:hint="eastAsia"/>
                      <w:szCs w:val="21"/>
                    </w:rPr>
                    <w:t>布置原料区、</w:t>
                  </w:r>
                  <w:r>
                    <w:rPr>
                      <w:rFonts w:hint="eastAsia"/>
                      <w:snapToGrid w:val="0"/>
                      <w:szCs w:val="21"/>
                    </w:rPr>
                    <w:t>废白土加工区</w:t>
                  </w:r>
                  <w:r>
                    <w:rPr>
                      <w:rFonts w:hint="eastAsia"/>
                      <w:szCs w:val="21"/>
                    </w:rPr>
                    <w:t>等。</w:t>
                  </w:r>
                </w:p>
              </w:tc>
              <w:tc>
                <w:tcPr>
                  <w:tcW w:w="1474" w:type="pct"/>
                  <w:vAlign w:val="center"/>
                </w:tcPr>
                <w:p w14:paraId="37F4035D">
                  <w:pPr>
                    <w:pStyle w:val="50"/>
                    <w:adjustRightInd w:val="0"/>
                    <w:snapToGrid w:val="0"/>
                    <w:spacing w:line="240" w:lineRule="auto"/>
                    <w:jc w:val="both"/>
                    <w:rPr>
                      <w:szCs w:val="21"/>
                    </w:rPr>
                  </w:pPr>
                  <w:r>
                    <w:rPr>
                      <w:rFonts w:hint="eastAsia"/>
                      <w:szCs w:val="21"/>
                    </w:rPr>
                    <w:t>新建1栋单层厂房，局部二层，高12m。占地面积约1800</w:t>
                  </w:r>
                  <w:r>
                    <w:rPr>
                      <w:bCs/>
                      <w:szCs w:val="21"/>
                    </w:rPr>
                    <w:t>m</w:t>
                  </w:r>
                  <w:r>
                    <w:rPr>
                      <w:bCs/>
                      <w:szCs w:val="21"/>
                      <w:vertAlign w:val="superscript"/>
                    </w:rPr>
                    <w:t>2</w:t>
                  </w:r>
                  <w:r>
                    <w:rPr>
                      <w:rFonts w:hint="eastAsia"/>
                      <w:szCs w:val="21"/>
                    </w:rPr>
                    <w:t>，建筑面积约2280</w:t>
                  </w:r>
                  <w:r>
                    <w:rPr>
                      <w:bCs/>
                      <w:szCs w:val="21"/>
                    </w:rPr>
                    <w:t>m</w:t>
                  </w:r>
                  <w:r>
                    <w:rPr>
                      <w:bCs/>
                      <w:szCs w:val="21"/>
                      <w:vertAlign w:val="superscript"/>
                    </w:rPr>
                    <w:t>2</w:t>
                  </w:r>
                  <w:r>
                    <w:rPr>
                      <w:rFonts w:hint="eastAsia"/>
                    </w:rPr>
                    <w:t>。主要</w:t>
                  </w:r>
                  <w:r>
                    <w:rPr>
                      <w:rFonts w:hint="eastAsia"/>
                      <w:szCs w:val="21"/>
                    </w:rPr>
                    <w:t>布置原料堆放区、造粒区、浸出区、蒸发冷凝区等。</w:t>
                  </w:r>
                </w:p>
              </w:tc>
              <w:tc>
                <w:tcPr>
                  <w:tcW w:w="1243" w:type="pct"/>
                  <w:vAlign w:val="center"/>
                </w:tcPr>
                <w:p w14:paraId="37EE56B9">
                  <w:pPr>
                    <w:pStyle w:val="50"/>
                    <w:adjustRightInd w:val="0"/>
                    <w:snapToGrid w:val="0"/>
                    <w:spacing w:line="240" w:lineRule="auto"/>
                    <w:jc w:val="both"/>
                    <w:rPr>
                      <w:szCs w:val="21"/>
                    </w:rPr>
                  </w:pPr>
                  <w:r>
                    <w:rPr>
                      <w:rFonts w:hint="eastAsia"/>
                      <w:szCs w:val="21"/>
                    </w:rPr>
                    <w:t>共2栋单层生产车间。</w:t>
                  </w:r>
                </w:p>
              </w:tc>
            </w:tr>
            <w:tr w14:paraId="5F48D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restart"/>
                  <w:vAlign w:val="center"/>
                </w:tcPr>
                <w:p w14:paraId="5F92720E">
                  <w:pPr>
                    <w:pStyle w:val="50"/>
                    <w:adjustRightInd w:val="0"/>
                    <w:snapToGrid w:val="0"/>
                    <w:spacing w:line="240" w:lineRule="auto"/>
                    <w:rPr>
                      <w:rFonts w:eastAsiaTheme="minorEastAsia"/>
                      <w:szCs w:val="21"/>
                    </w:rPr>
                  </w:pPr>
                  <w:r>
                    <w:rPr>
                      <w:rFonts w:eastAsiaTheme="minorEastAsia"/>
                      <w:szCs w:val="21"/>
                    </w:rPr>
                    <w:t>辅助工程</w:t>
                  </w:r>
                </w:p>
              </w:tc>
              <w:tc>
                <w:tcPr>
                  <w:tcW w:w="410" w:type="pct"/>
                  <w:vAlign w:val="center"/>
                </w:tcPr>
                <w:p w14:paraId="102E7CB3">
                  <w:pPr>
                    <w:pStyle w:val="50"/>
                    <w:adjustRightInd w:val="0"/>
                    <w:snapToGrid w:val="0"/>
                    <w:spacing w:line="240" w:lineRule="auto"/>
                    <w:rPr>
                      <w:rFonts w:eastAsiaTheme="minorEastAsia"/>
                      <w:szCs w:val="21"/>
                    </w:rPr>
                  </w:pPr>
                  <w:r>
                    <w:rPr>
                      <w:rFonts w:eastAsiaTheme="minorEastAsia"/>
                      <w:szCs w:val="21"/>
                    </w:rPr>
                    <w:t>办公</w:t>
                  </w:r>
                  <w:r>
                    <w:rPr>
                      <w:rFonts w:hint="eastAsia" w:eastAsiaTheme="minorEastAsia"/>
                      <w:szCs w:val="21"/>
                    </w:rPr>
                    <w:t>楼</w:t>
                  </w:r>
                </w:p>
              </w:tc>
              <w:tc>
                <w:tcPr>
                  <w:tcW w:w="1474" w:type="pct"/>
                  <w:vAlign w:val="center"/>
                </w:tcPr>
                <w:p w14:paraId="62728AEF">
                  <w:pPr>
                    <w:pStyle w:val="50"/>
                    <w:adjustRightInd w:val="0"/>
                    <w:snapToGrid w:val="0"/>
                    <w:spacing w:line="240" w:lineRule="auto"/>
                    <w:jc w:val="both"/>
                    <w:rPr>
                      <w:rFonts w:eastAsiaTheme="minorEastAsia"/>
                      <w:szCs w:val="21"/>
                    </w:rPr>
                  </w:pPr>
                  <w:r>
                    <w:rPr>
                      <w:rFonts w:hint="eastAsia"/>
                      <w:szCs w:val="21"/>
                    </w:rPr>
                    <w:t>1栋单层办公楼</w:t>
                  </w:r>
                  <w:r>
                    <w:rPr>
                      <w:rFonts w:hint="eastAsia" w:eastAsiaTheme="minorEastAsia"/>
                      <w:szCs w:val="21"/>
                    </w:rPr>
                    <w:t>，</w:t>
                  </w:r>
                  <w:r>
                    <w:rPr>
                      <w:rFonts w:eastAsiaTheme="minorEastAsia"/>
                      <w:szCs w:val="21"/>
                    </w:rPr>
                    <w:t>位于</w:t>
                  </w:r>
                  <w:r>
                    <w:rPr>
                      <w:rFonts w:hint="eastAsia" w:eastAsiaTheme="minorEastAsia"/>
                      <w:szCs w:val="21"/>
                    </w:rPr>
                    <w:t>现有生产车间东北面，</w:t>
                  </w:r>
                  <w:r>
                    <w:rPr>
                      <w:rFonts w:hint="eastAsia"/>
                      <w:szCs w:val="21"/>
                    </w:rPr>
                    <w:t>占地面积约200</w:t>
                  </w:r>
                  <w:r>
                    <w:rPr>
                      <w:bCs/>
                      <w:szCs w:val="21"/>
                    </w:rPr>
                    <w:t>m</w:t>
                  </w:r>
                  <w:r>
                    <w:rPr>
                      <w:bCs/>
                      <w:szCs w:val="21"/>
                      <w:vertAlign w:val="superscript"/>
                    </w:rPr>
                    <w:t>2</w:t>
                  </w:r>
                  <w:r>
                    <w:rPr>
                      <w:rFonts w:hint="eastAsia" w:eastAsiaTheme="minorEastAsia"/>
                      <w:szCs w:val="21"/>
                    </w:rPr>
                    <w:t>。</w:t>
                  </w:r>
                </w:p>
              </w:tc>
              <w:tc>
                <w:tcPr>
                  <w:tcW w:w="1474" w:type="pct"/>
                  <w:vAlign w:val="center"/>
                </w:tcPr>
                <w:p w14:paraId="3CBA4BDF">
                  <w:pPr>
                    <w:pStyle w:val="50"/>
                    <w:adjustRightInd w:val="0"/>
                    <w:snapToGrid w:val="0"/>
                    <w:spacing w:line="240" w:lineRule="auto"/>
                    <w:jc w:val="both"/>
                    <w:rPr>
                      <w:rFonts w:eastAsiaTheme="minorEastAsia"/>
                      <w:szCs w:val="21"/>
                    </w:rPr>
                  </w:pPr>
                  <w:r>
                    <w:rPr>
                      <w:rFonts w:hint="eastAsia" w:eastAsiaTheme="minorEastAsia"/>
                      <w:szCs w:val="21"/>
                    </w:rPr>
                    <w:t>依托现有办公楼。</w:t>
                  </w:r>
                </w:p>
              </w:tc>
              <w:tc>
                <w:tcPr>
                  <w:tcW w:w="1243" w:type="pct"/>
                  <w:vAlign w:val="center"/>
                </w:tcPr>
                <w:p w14:paraId="08A22682">
                  <w:pPr>
                    <w:pStyle w:val="50"/>
                    <w:adjustRightInd w:val="0"/>
                    <w:snapToGrid w:val="0"/>
                    <w:spacing w:line="240" w:lineRule="auto"/>
                    <w:jc w:val="both"/>
                    <w:rPr>
                      <w:rFonts w:eastAsiaTheme="minorEastAsia"/>
                      <w:szCs w:val="21"/>
                    </w:rPr>
                  </w:pPr>
                  <w:r>
                    <w:rPr>
                      <w:rFonts w:hint="eastAsia"/>
                      <w:szCs w:val="21"/>
                    </w:rPr>
                    <w:t>1栋单层办公楼。</w:t>
                  </w:r>
                </w:p>
              </w:tc>
            </w:tr>
            <w:tr w14:paraId="39E15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44163BA4">
                  <w:pPr>
                    <w:pStyle w:val="50"/>
                    <w:adjustRightInd w:val="0"/>
                    <w:snapToGrid w:val="0"/>
                    <w:spacing w:line="240" w:lineRule="auto"/>
                    <w:rPr>
                      <w:rFonts w:eastAsiaTheme="minorEastAsia"/>
                      <w:szCs w:val="21"/>
                    </w:rPr>
                  </w:pPr>
                </w:p>
              </w:tc>
              <w:tc>
                <w:tcPr>
                  <w:tcW w:w="410" w:type="pct"/>
                  <w:vAlign w:val="center"/>
                </w:tcPr>
                <w:p w14:paraId="23FAD8BF">
                  <w:pPr>
                    <w:pStyle w:val="50"/>
                    <w:adjustRightInd w:val="0"/>
                    <w:snapToGrid w:val="0"/>
                    <w:spacing w:line="240" w:lineRule="auto"/>
                    <w:rPr>
                      <w:rFonts w:eastAsiaTheme="minorEastAsia"/>
                      <w:szCs w:val="21"/>
                    </w:rPr>
                  </w:pPr>
                  <w:r>
                    <w:rPr>
                      <w:rFonts w:hint="eastAsia" w:eastAsiaTheme="minorEastAsia"/>
                      <w:szCs w:val="21"/>
                    </w:rPr>
                    <w:t>宿舍楼</w:t>
                  </w:r>
                </w:p>
              </w:tc>
              <w:tc>
                <w:tcPr>
                  <w:tcW w:w="1474" w:type="pct"/>
                  <w:vAlign w:val="center"/>
                </w:tcPr>
                <w:p w14:paraId="6959ECE1">
                  <w:pPr>
                    <w:pStyle w:val="50"/>
                    <w:adjustRightInd w:val="0"/>
                    <w:snapToGrid w:val="0"/>
                    <w:spacing w:line="240" w:lineRule="auto"/>
                    <w:jc w:val="both"/>
                    <w:rPr>
                      <w:rFonts w:eastAsiaTheme="minorEastAsia"/>
                      <w:szCs w:val="21"/>
                    </w:rPr>
                  </w:pPr>
                  <w:r>
                    <w:rPr>
                      <w:rFonts w:hint="eastAsia" w:eastAsiaTheme="minorEastAsia"/>
                      <w:szCs w:val="21"/>
                    </w:rPr>
                    <w:t>1栋单层宿舍</w:t>
                  </w:r>
                  <w:r>
                    <w:rPr>
                      <w:rFonts w:eastAsiaTheme="minorEastAsia"/>
                      <w:szCs w:val="21"/>
                    </w:rPr>
                    <w:t>，位于</w:t>
                  </w:r>
                  <w:r>
                    <w:rPr>
                      <w:rFonts w:hint="eastAsia" w:eastAsiaTheme="minorEastAsia"/>
                      <w:szCs w:val="21"/>
                    </w:rPr>
                    <w:t>办公楼西南面，</w:t>
                  </w:r>
                  <w:r>
                    <w:rPr>
                      <w:rFonts w:hint="eastAsia"/>
                      <w:szCs w:val="21"/>
                    </w:rPr>
                    <w:t>占地面积约400</w:t>
                  </w:r>
                  <w:r>
                    <w:rPr>
                      <w:bCs/>
                      <w:szCs w:val="21"/>
                    </w:rPr>
                    <w:t>m</w:t>
                  </w:r>
                  <w:r>
                    <w:rPr>
                      <w:bCs/>
                      <w:szCs w:val="21"/>
                      <w:vertAlign w:val="superscript"/>
                    </w:rPr>
                    <w:t>2</w:t>
                  </w:r>
                  <w:r>
                    <w:rPr>
                      <w:rFonts w:hint="eastAsia" w:eastAsiaTheme="minorEastAsia"/>
                      <w:szCs w:val="21"/>
                    </w:rPr>
                    <w:t>。</w:t>
                  </w:r>
                </w:p>
              </w:tc>
              <w:tc>
                <w:tcPr>
                  <w:tcW w:w="1474" w:type="pct"/>
                  <w:vAlign w:val="center"/>
                </w:tcPr>
                <w:p w14:paraId="0395EC71">
                  <w:pPr>
                    <w:pStyle w:val="50"/>
                    <w:adjustRightInd w:val="0"/>
                    <w:snapToGrid w:val="0"/>
                    <w:spacing w:line="240" w:lineRule="auto"/>
                    <w:jc w:val="both"/>
                    <w:rPr>
                      <w:rFonts w:eastAsiaTheme="minorEastAsia"/>
                      <w:szCs w:val="21"/>
                    </w:rPr>
                  </w:pPr>
                  <w:r>
                    <w:rPr>
                      <w:rFonts w:hint="eastAsia" w:eastAsiaTheme="minorEastAsia"/>
                      <w:szCs w:val="21"/>
                    </w:rPr>
                    <w:t>依托现有宿舍楼。</w:t>
                  </w:r>
                </w:p>
              </w:tc>
              <w:tc>
                <w:tcPr>
                  <w:tcW w:w="1243" w:type="pct"/>
                  <w:vAlign w:val="center"/>
                </w:tcPr>
                <w:p w14:paraId="155AA7EF">
                  <w:pPr>
                    <w:pStyle w:val="50"/>
                    <w:adjustRightInd w:val="0"/>
                    <w:snapToGrid w:val="0"/>
                    <w:spacing w:line="240" w:lineRule="auto"/>
                    <w:jc w:val="both"/>
                    <w:rPr>
                      <w:rFonts w:eastAsiaTheme="minorEastAsia"/>
                      <w:szCs w:val="21"/>
                    </w:rPr>
                  </w:pPr>
                  <w:r>
                    <w:rPr>
                      <w:rFonts w:hint="eastAsia" w:eastAsiaTheme="minorEastAsia"/>
                      <w:szCs w:val="21"/>
                    </w:rPr>
                    <w:t>1栋单层宿舍。</w:t>
                  </w:r>
                </w:p>
              </w:tc>
            </w:tr>
            <w:tr w14:paraId="3D848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46370109">
                  <w:pPr>
                    <w:pStyle w:val="50"/>
                    <w:adjustRightInd w:val="0"/>
                    <w:snapToGrid w:val="0"/>
                    <w:spacing w:line="240" w:lineRule="auto"/>
                    <w:rPr>
                      <w:rFonts w:eastAsiaTheme="minorEastAsia"/>
                      <w:szCs w:val="21"/>
                    </w:rPr>
                  </w:pPr>
                </w:p>
              </w:tc>
              <w:tc>
                <w:tcPr>
                  <w:tcW w:w="410" w:type="pct"/>
                  <w:vAlign w:val="center"/>
                </w:tcPr>
                <w:p w14:paraId="472FA2EA">
                  <w:pPr>
                    <w:pStyle w:val="50"/>
                    <w:adjustRightInd w:val="0"/>
                    <w:snapToGrid w:val="0"/>
                    <w:spacing w:line="240" w:lineRule="auto"/>
                    <w:rPr>
                      <w:rFonts w:eastAsiaTheme="minorEastAsia"/>
                      <w:szCs w:val="21"/>
                    </w:rPr>
                  </w:pPr>
                  <w:r>
                    <w:rPr>
                      <w:rFonts w:hint="eastAsia" w:eastAsiaTheme="minorEastAsia"/>
                      <w:szCs w:val="21"/>
                    </w:rPr>
                    <w:t>食堂</w:t>
                  </w:r>
                </w:p>
              </w:tc>
              <w:tc>
                <w:tcPr>
                  <w:tcW w:w="1474" w:type="pct"/>
                  <w:vAlign w:val="center"/>
                </w:tcPr>
                <w:p w14:paraId="0989D363">
                  <w:pPr>
                    <w:pStyle w:val="50"/>
                    <w:adjustRightInd w:val="0"/>
                    <w:snapToGrid w:val="0"/>
                    <w:spacing w:line="240" w:lineRule="auto"/>
                    <w:jc w:val="both"/>
                    <w:rPr>
                      <w:rFonts w:eastAsiaTheme="minorEastAsia"/>
                      <w:szCs w:val="21"/>
                    </w:rPr>
                  </w:pPr>
                  <w:r>
                    <w:rPr>
                      <w:rFonts w:eastAsiaTheme="minorEastAsia"/>
                      <w:szCs w:val="21"/>
                    </w:rPr>
                    <w:t>位于</w:t>
                  </w:r>
                  <w:r>
                    <w:rPr>
                      <w:rFonts w:hint="eastAsia" w:eastAsiaTheme="minorEastAsia"/>
                      <w:szCs w:val="21"/>
                    </w:rPr>
                    <w:t>宿舍东面，</w:t>
                  </w:r>
                  <w:r>
                    <w:rPr>
                      <w:rFonts w:hint="eastAsia"/>
                      <w:szCs w:val="21"/>
                    </w:rPr>
                    <w:t>占地面积约50</w:t>
                  </w:r>
                  <w:r>
                    <w:rPr>
                      <w:bCs/>
                      <w:szCs w:val="21"/>
                    </w:rPr>
                    <w:t>m</w:t>
                  </w:r>
                  <w:r>
                    <w:rPr>
                      <w:bCs/>
                      <w:szCs w:val="21"/>
                      <w:vertAlign w:val="superscript"/>
                    </w:rPr>
                    <w:t>2</w:t>
                  </w:r>
                  <w:r>
                    <w:rPr>
                      <w:rFonts w:hint="eastAsia" w:eastAsiaTheme="minorEastAsia"/>
                      <w:szCs w:val="21"/>
                    </w:rPr>
                    <w:t>。</w:t>
                  </w:r>
                </w:p>
              </w:tc>
              <w:tc>
                <w:tcPr>
                  <w:tcW w:w="1474" w:type="pct"/>
                  <w:vAlign w:val="center"/>
                </w:tcPr>
                <w:p w14:paraId="077F316B">
                  <w:pPr>
                    <w:pStyle w:val="50"/>
                    <w:adjustRightInd w:val="0"/>
                    <w:snapToGrid w:val="0"/>
                    <w:spacing w:line="240" w:lineRule="auto"/>
                    <w:jc w:val="both"/>
                    <w:rPr>
                      <w:rFonts w:eastAsiaTheme="minorEastAsia"/>
                      <w:szCs w:val="21"/>
                    </w:rPr>
                  </w:pPr>
                  <w:r>
                    <w:rPr>
                      <w:rFonts w:hint="eastAsia" w:eastAsiaTheme="minorEastAsia"/>
                      <w:szCs w:val="21"/>
                    </w:rPr>
                    <w:t>依托现有食堂。</w:t>
                  </w:r>
                </w:p>
              </w:tc>
              <w:tc>
                <w:tcPr>
                  <w:tcW w:w="1243" w:type="pct"/>
                  <w:vAlign w:val="center"/>
                </w:tcPr>
                <w:p w14:paraId="7C3272D6">
                  <w:pPr>
                    <w:pStyle w:val="50"/>
                    <w:adjustRightInd w:val="0"/>
                    <w:snapToGrid w:val="0"/>
                    <w:spacing w:line="240" w:lineRule="auto"/>
                    <w:jc w:val="both"/>
                    <w:rPr>
                      <w:rFonts w:eastAsiaTheme="minorEastAsia"/>
                      <w:szCs w:val="21"/>
                    </w:rPr>
                  </w:pPr>
                  <w:r>
                    <w:rPr>
                      <w:rFonts w:eastAsiaTheme="minorEastAsia"/>
                      <w:szCs w:val="21"/>
                    </w:rPr>
                    <w:t>位于</w:t>
                  </w:r>
                  <w:r>
                    <w:rPr>
                      <w:rFonts w:hint="eastAsia" w:eastAsiaTheme="minorEastAsia"/>
                      <w:szCs w:val="21"/>
                    </w:rPr>
                    <w:t>宿舍东面，</w:t>
                  </w:r>
                  <w:r>
                    <w:rPr>
                      <w:rFonts w:hint="eastAsia"/>
                      <w:szCs w:val="21"/>
                    </w:rPr>
                    <w:t>占地面积约50</w:t>
                  </w:r>
                  <w:r>
                    <w:rPr>
                      <w:bCs/>
                      <w:szCs w:val="21"/>
                    </w:rPr>
                    <w:t>m</w:t>
                  </w:r>
                  <w:r>
                    <w:rPr>
                      <w:bCs/>
                      <w:szCs w:val="21"/>
                      <w:vertAlign w:val="superscript"/>
                    </w:rPr>
                    <w:t>2</w:t>
                  </w:r>
                  <w:r>
                    <w:rPr>
                      <w:rFonts w:hint="eastAsia" w:eastAsiaTheme="minorEastAsia"/>
                      <w:szCs w:val="21"/>
                    </w:rPr>
                    <w:t>。</w:t>
                  </w:r>
                </w:p>
              </w:tc>
            </w:tr>
            <w:tr w14:paraId="320C0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restart"/>
                  <w:vAlign w:val="center"/>
                </w:tcPr>
                <w:p w14:paraId="74E815F8">
                  <w:pPr>
                    <w:pStyle w:val="50"/>
                    <w:adjustRightInd w:val="0"/>
                    <w:snapToGrid w:val="0"/>
                    <w:spacing w:line="240" w:lineRule="auto"/>
                    <w:rPr>
                      <w:rFonts w:eastAsiaTheme="minorEastAsia"/>
                      <w:szCs w:val="21"/>
                    </w:rPr>
                  </w:pPr>
                  <w:r>
                    <w:rPr>
                      <w:rFonts w:eastAsiaTheme="minorEastAsia"/>
                      <w:szCs w:val="21"/>
                    </w:rPr>
                    <w:t>储运工程</w:t>
                  </w:r>
                </w:p>
              </w:tc>
              <w:tc>
                <w:tcPr>
                  <w:tcW w:w="410" w:type="pct"/>
                  <w:vAlign w:val="center"/>
                </w:tcPr>
                <w:p w14:paraId="069FC9A7">
                  <w:pPr>
                    <w:pStyle w:val="50"/>
                    <w:adjustRightInd w:val="0"/>
                    <w:snapToGrid w:val="0"/>
                    <w:spacing w:line="240" w:lineRule="auto"/>
                    <w:rPr>
                      <w:rFonts w:eastAsiaTheme="minorEastAsia"/>
                      <w:szCs w:val="21"/>
                    </w:rPr>
                  </w:pPr>
                  <w:r>
                    <w:rPr>
                      <w:rFonts w:eastAsiaTheme="minorEastAsia"/>
                      <w:szCs w:val="21"/>
                    </w:rPr>
                    <w:t>原料</w:t>
                  </w:r>
                  <w:r>
                    <w:rPr>
                      <w:rFonts w:hint="eastAsia" w:eastAsiaTheme="minorEastAsia"/>
                      <w:szCs w:val="21"/>
                    </w:rPr>
                    <w:t>仓库</w:t>
                  </w:r>
                </w:p>
              </w:tc>
              <w:tc>
                <w:tcPr>
                  <w:tcW w:w="1474" w:type="pct"/>
                  <w:vAlign w:val="center"/>
                </w:tcPr>
                <w:p w14:paraId="3B07B734">
                  <w:pPr>
                    <w:pStyle w:val="50"/>
                    <w:adjustRightInd w:val="0"/>
                    <w:snapToGrid w:val="0"/>
                    <w:spacing w:line="240" w:lineRule="auto"/>
                    <w:jc w:val="both"/>
                    <w:rPr>
                      <w:rFonts w:eastAsiaTheme="minorEastAsia"/>
                      <w:szCs w:val="21"/>
                    </w:rPr>
                  </w:pPr>
                  <w:r>
                    <w:rPr>
                      <w:rFonts w:eastAsiaTheme="minorEastAsia"/>
                      <w:szCs w:val="21"/>
                    </w:rPr>
                    <w:t>位于</w:t>
                  </w:r>
                  <w:r>
                    <w:rPr>
                      <w:rFonts w:hint="eastAsia" w:eastAsiaTheme="minorEastAsia"/>
                      <w:szCs w:val="21"/>
                    </w:rPr>
                    <w:t>现有生产车间内南侧</w:t>
                  </w:r>
                  <w:r>
                    <w:rPr>
                      <w:rFonts w:eastAsiaTheme="minorEastAsia"/>
                      <w:szCs w:val="21"/>
                    </w:rPr>
                    <w:t>，</w:t>
                  </w:r>
                  <w:r>
                    <w:rPr>
                      <w:rFonts w:hint="eastAsia"/>
                      <w:szCs w:val="21"/>
                    </w:rPr>
                    <w:t>占地</w:t>
                  </w:r>
                  <w:r>
                    <w:rPr>
                      <w:rFonts w:eastAsiaTheme="minorEastAsia"/>
                      <w:szCs w:val="21"/>
                    </w:rPr>
                    <w:t>面积约</w:t>
                  </w:r>
                  <w:r>
                    <w:rPr>
                      <w:rFonts w:hint="eastAsia" w:eastAsiaTheme="minorEastAsia"/>
                      <w:szCs w:val="21"/>
                    </w:rPr>
                    <w:t>450</w:t>
                  </w:r>
                  <w:r>
                    <w:rPr>
                      <w:rFonts w:eastAsiaTheme="minorEastAsia"/>
                      <w:szCs w:val="21"/>
                    </w:rPr>
                    <w:t>m</w:t>
                  </w:r>
                  <w:r>
                    <w:rPr>
                      <w:rFonts w:eastAsiaTheme="minorEastAsia"/>
                      <w:szCs w:val="21"/>
                      <w:vertAlign w:val="superscript"/>
                    </w:rPr>
                    <w:t>2</w:t>
                  </w:r>
                  <w:r>
                    <w:rPr>
                      <w:rFonts w:hint="eastAsia" w:eastAsiaTheme="minorEastAsia"/>
                      <w:szCs w:val="21"/>
                    </w:rPr>
                    <w:t>，用于贮存原辅材料。</w:t>
                  </w:r>
                </w:p>
              </w:tc>
              <w:tc>
                <w:tcPr>
                  <w:tcW w:w="1474" w:type="pct"/>
                  <w:vAlign w:val="center"/>
                </w:tcPr>
                <w:p w14:paraId="712D9854">
                  <w:pPr>
                    <w:pStyle w:val="50"/>
                    <w:adjustRightInd w:val="0"/>
                    <w:snapToGrid w:val="0"/>
                    <w:spacing w:line="240" w:lineRule="auto"/>
                    <w:jc w:val="both"/>
                    <w:rPr>
                      <w:rFonts w:eastAsiaTheme="minorEastAsia"/>
                      <w:szCs w:val="21"/>
                    </w:rPr>
                  </w:pPr>
                  <w:r>
                    <w:rPr>
                      <w:rFonts w:eastAsiaTheme="minorEastAsia"/>
                      <w:szCs w:val="21"/>
                    </w:rPr>
                    <w:t>位于</w:t>
                  </w:r>
                  <w:r>
                    <w:rPr>
                      <w:rFonts w:hint="eastAsia" w:eastAsiaTheme="minorEastAsia"/>
                      <w:szCs w:val="21"/>
                    </w:rPr>
                    <w:t>新建生产车间内东侧</w:t>
                  </w:r>
                  <w:r>
                    <w:rPr>
                      <w:rFonts w:eastAsiaTheme="minorEastAsia"/>
                      <w:szCs w:val="21"/>
                    </w:rPr>
                    <w:t>，</w:t>
                  </w:r>
                  <w:r>
                    <w:rPr>
                      <w:rFonts w:hint="eastAsia"/>
                      <w:szCs w:val="21"/>
                    </w:rPr>
                    <w:t>占地</w:t>
                  </w:r>
                  <w:r>
                    <w:rPr>
                      <w:rFonts w:eastAsiaTheme="minorEastAsia"/>
                      <w:szCs w:val="21"/>
                    </w:rPr>
                    <w:t>面积约</w:t>
                  </w:r>
                  <w:r>
                    <w:rPr>
                      <w:rFonts w:hint="eastAsia" w:eastAsiaTheme="minorEastAsia"/>
                      <w:szCs w:val="21"/>
                    </w:rPr>
                    <w:t>450</w:t>
                  </w:r>
                  <w:r>
                    <w:rPr>
                      <w:rFonts w:eastAsiaTheme="minorEastAsia"/>
                      <w:szCs w:val="21"/>
                    </w:rPr>
                    <w:t>m</w:t>
                  </w:r>
                  <w:r>
                    <w:rPr>
                      <w:rFonts w:eastAsiaTheme="minorEastAsia"/>
                      <w:szCs w:val="21"/>
                      <w:vertAlign w:val="superscript"/>
                    </w:rPr>
                    <w:t>2</w:t>
                  </w:r>
                  <w:r>
                    <w:rPr>
                      <w:rFonts w:hint="eastAsia" w:eastAsiaTheme="minorEastAsia"/>
                      <w:szCs w:val="21"/>
                    </w:rPr>
                    <w:t>，用于贮存原辅材料</w:t>
                  </w:r>
                </w:p>
              </w:tc>
              <w:tc>
                <w:tcPr>
                  <w:tcW w:w="1243" w:type="pct"/>
                  <w:vAlign w:val="center"/>
                </w:tcPr>
                <w:p w14:paraId="7A3DABB2">
                  <w:pPr>
                    <w:pStyle w:val="50"/>
                    <w:adjustRightInd w:val="0"/>
                    <w:snapToGrid w:val="0"/>
                    <w:spacing w:line="240" w:lineRule="auto"/>
                    <w:jc w:val="both"/>
                    <w:rPr>
                      <w:rFonts w:eastAsiaTheme="minorEastAsia"/>
                      <w:szCs w:val="21"/>
                    </w:rPr>
                  </w:pPr>
                  <w:r>
                    <w:rPr>
                      <w:rFonts w:hint="eastAsia" w:eastAsiaTheme="minorEastAsia"/>
                      <w:szCs w:val="21"/>
                    </w:rPr>
                    <w:t>现有生产车间内原料仓库占地面积约450</w:t>
                  </w:r>
                  <w:r>
                    <w:rPr>
                      <w:rFonts w:eastAsiaTheme="minorEastAsia"/>
                      <w:szCs w:val="21"/>
                    </w:rPr>
                    <w:t>m</w:t>
                  </w:r>
                  <w:r>
                    <w:rPr>
                      <w:rFonts w:eastAsiaTheme="minorEastAsia"/>
                      <w:szCs w:val="21"/>
                      <w:vertAlign w:val="superscript"/>
                    </w:rPr>
                    <w:t>2</w:t>
                  </w:r>
                  <w:r>
                    <w:rPr>
                      <w:rFonts w:hint="eastAsia" w:eastAsiaTheme="minorEastAsia"/>
                      <w:szCs w:val="21"/>
                    </w:rPr>
                    <w:t>，新建生产车间内原料仓库</w:t>
                  </w:r>
                  <w:r>
                    <w:rPr>
                      <w:rFonts w:hint="eastAsia"/>
                      <w:szCs w:val="21"/>
                    </w:rPr>
                    <w:t>占地</w:t>
                  </w:r>
                  <w:r>
                    <w:rPr>
                      <w:rFonts w:eastAsiaTheme="minorEastAsia"/>
                      <w:szCs w:val="21"/>
                    </w:rPr>
                    <w:t>面积约</w:t>
                  </w:r>
                  <w:r>
                    <w:rPr>
                      <w:rFonts w:hint="eastAsia" w:eastAsiaTheme="minorEastAsia"/>
                      <w:szCs w:val="21"/>
                    </w:rPr>
                    <w:t>450</w:t>
                  </w:r>
                  <w:r>
                    <w:rPr>
                      <w:rFonts w:eastAsiaTheme="minorEastAsia"/>
                      <w:szCs w:val="21"/>
                    </w:rPr>
                    <w:t>m</w:t>
                  </w:r>
                  <w:r>
                    <w:rPr>
                      <w:rFonts w:eastAsiaTheme="minorEastAsia"/>
                      <w:szCs w:val="21"/>
                      <w:vertAlign w:val="superscript"/>
                    </w:rPr>
                    <w:t>2</w:t>
                  </w:r>
                  <w:r>
                    <w:rPr>
                      <w:rFonts w:hint="eastAsia" w:eastAsiaTheme="minorEastAsia"/>
                      <w:szCs w:val="21"/>
                    </w:rPr>
                    <w:t>。</w:t>
                  </w:r>
                </w:p>
              </w:tc>
            </w:tr>
            <w:tr w14:paraId="74B05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759AD61F">
                  <w:pPr>
                    <w:pStyle w:val="50"/>
                    <w:adjustRightInd w:val="0"/>
                    <w:snapToGrid w:val="0"/>
                    <w:spacing w:line="240" w:lineRule="auto"/>
                    <w:rPr>
                      <w:rFonts w:eastAsiaTheme="minorEastAsia"/>
                      <w:szCs w:val="21"/>
                    </w:rPr>
                  </w:pPr>
                </w:p>
              </w:tc>
              <w:tc>
                <w:tcPr>
                  <w:tcW w:w="410" w:type="pct"/>
                  <w:vAlign w:val="center"/>
                </w:tcPr>
                <w:p w14:paraId="50154F88">
                  <w:pPr>
                    <w:pStyle w:val="50"/>
                    <w:adjustRightInd w:val="0"/>
                    <w:snapToGrid w:val="0"/>
                    <w:spacing w:line="240" w:lineRule="auto"/>
                    <w:rPr>
                      <w:rFonts w:eastAsiaTheme="minorEastAsia"/>
                      <w:szCs w:val="21"/>
                    </w:rPr>
                  </w:pPr>
                  <w:r>
                    <w:rPr>
                      <w:rFonts w:eastAsiaTheme="minorEastAsia"/>
                      <w:szCs w:val="21"/>
                    </w:rPr>
                    <w:t>成品</w:t>
                  </w:r>
                  <w:r>
                    <w:rPr>
                      <w:rFonts w:hint="eastAsia" w:eastAsiaTheme="minorEastAsia"/>
                      <w:szCs w:val="21"/>
                    </w:rPr>
                    <w:t>储罐</w:t>
                  </w:r>
                </w:p>
              </w:tc>
              <w:tc>
                <w:tcPr>
                  <w:tcW w:w="1474" w:type="pct"/>
                  <w:vAlign w:val="center"/>
                </w:tcPr>
                <w:p w14:paraId="5C990060">
                  <w:pPr>
                    <w:pStyle w:val="50"/>
                    <w:adjustRightInd w:val="0"/>
                    <w:snapToGrid w:val="0"/>
                    <w:spacing w:line="240" w:lineRule="auto"/>
                    <w:jc w:val="both"/>
                    <w:rPr>
                      <w:rFonts w:eastAsiaTheme="minorEastAsia"/>
                      <w:szCs w:val="21"/>
                    </w:rPr>
                  </w:pPr>
                  <w:r>
                    <w:rPr>
                      <w:rFonts w:eastAsiaTheme="minorEastAsia"/>
                      <w:szCs w:val="21"/>
                    </w:rPr>
                    <w:t>位于</w:t>
                  </w:r>
                  <w:r>
                    <w:rPr>
                      <w:rFonts w:hint="eastAsia" w:eastAsiaTheme="minorEastAsia"/>
                      <w:szCs w:val="21"/>
                    </w:rPr>
                    <w:t>现有生产车间西北面</w:t>
                  </w:r>
                  <w:r>
                    <w:rPr>
                      <w:rFonts w:eastAsiaTheme="minorEastAsia"/>
                      <w:szCs w:val="21"/>
                    </w:rPr>
                    <w:t>，</w:t>
                  </w:r>
                  <w:r>
                    <w:rPr>
                      <w:rFonts w:hint="eastAsia"/>
                      <w:szCs w:val="21"/>
                    </w:rPr>
                    <w:t>占地</w:t>
                  </w:r>
                  <w:r>
                    <w:rPr>
                      <w:rFonts w:eastAsiaTheme="minorEastAsia"/>
                      <w:szCs w:val="21"/>
                    </w:rPr>
                    <w:t>面积约</w:t>
                  </w:r>
                  <w:r>
                    <w:rPr>
                      <w:rFonts w:hint="eastAsia" w:eastAsiaTheme="minorEastAsia"/>
                      <w:szCs w:val="21"/>
                    </w:rPr>
                    <w:t>600</w:t>
                  </w:r>
                  <w:r>
                    <w:rPr>
                      <w:rFonts w:eastAsiaTheme="minorEastAsia"/>
                      <w:szCs w:val="21"/>
                    </w:rPr>
                    <w:t>m</w:t>
                  </w:r>
                  <w:r>
                    <w:rPr>
                      <w:rFonts w:eastAsiaTheme="minorEastAsia"/>
                      <w:szCs w:val="21"/>
                      <w:vertAlign w:val="superscript"/>
                    </w:rPr>
                    <w:t>2</w:t>
                  </w:r>
                  <w:r>
                    <w:rPr>
                      <w:rFonts w:hint="eastAsia" w:eastAsiaTheme="minorEastAsia"/>
                      <w:szCs w:val="21"/>
                    </w:rPr>
                    <w:t>，现有2个50m</w:t>
                  </w:r>
                  <w:r>
                    <w:rPr>
                      <w:rFonts w:hint="eastAsia" w:eastAsiaTheme="minorEastAsia"/>
                      <w:szCs w:val="21"/>
                      <w:vertAlign w:val="superscript"/>
                    </w:rPr>
                    <w:t>3</w:t>
                  </w:r>
                  <w:r>
                    <w:rPr>
                      <w:rFonts w:hint="eastAsia" w:eastAsiaTheme="minorEastAsia"/>
                      <w:szCs w:val="21"/>
                    </w:rPr>
                    <w:t>储罐、2个100m</w:t>
                  </w:r>
                  <w:r>
                    <w:rPr>
                      <w:rFonts w:hint="eastAsia" w:eastAsiaTheme="minorEastAsia"/>
                      <w:szCs w:val="21"/>
                      <w:vertAlign w:val="superscript"/>
                    </w:rPr>
                    <w:t>3</w:t>
                  </w:r>
                  <w:r>
                    <w:rPr>
                      <w:rFonts w:hint="eastAsia" w:eastAsiaTheme="minorEastAsia"/>
                      <w:szCs w:val="21"/>
                    </w:rPr>
                    <w:t>储罐。</w:t>
                  </w:r>
                </w:p>
              </w:tc>
              <w:tc>
                <w:tcPr>
                  <w:tcW w:w="1474" w:type="pct"/>
                  <w:vAlign w:val="center"/>
                </w:tcPr>
                <w:p w14:paraId="2E2975AD">
                  <w:pPr>
                    <w:pStyle w:val="50"/>
                    <w:adjustRightInd w:val="0"/>
                    <w:snapToGrid w:val="0"/>
                    <w:spacing w:line="240" w:lineRule="auto"/>
                    <w:jc w:val="both"/>
                    <w:rPr>
                      <w:rFonts w:eastAsiaTheme="minorEastAsia"/>
                      <w:szCs w:val="21"/>
                    </w:rPr>
                  </w:pPr>
                  <w:r>
                    <w:rPr>
                      <w:rFonts w:hint="eastAsia" w:eastAsiaTheme="minorEastAsia"/>
                      <w:szCs w:val="21"/>
                    </w:rPr>
                    <w:t>在现有成品储罐区新建2个成品油储罐，单个储罐容积400m</w:t>
                  </w:r>
                  <w:r>
                    <w:rPr>
                      <w:rFonts w:hint="eastAsia" w:eastAsiaTheme="minorEastAsia"/>
                      <w:szCs w:val="21"/>
                      <w:vertAlign w:val="superscript"/>
                    </w:rPr>
                    <w:t>3</w:t>
                  </w:r>
                  <w:r>
                    <w:rPr>
                      <w:rFonts w:hint="eastAsia" w:eastAsiaTheme="minorEastAsia"/>
                      <w:szCs w:val="21"/>
                    </w:rPr>
                    <w:t>。</w:t>
                  </w:r>
                </w:p>
              </w:tc>
              <w:tc>
                <w:tcPr>
                  <w:tcW w:w="1243" w:type="pct"/>
                  <w:vAlign w:val="center"/>
                </w:tcPr>
                <w:p w14:paraId="72317C52">
                  <w:pPr>
                    <w:pStyle w:val="50"/>
                    <w:adjustRightInd w:val="0"/>
                    <w:snapToGrid w:val="0"/>
                    <w:spacing w:line="240" w:lineRule="auto"/>
                    <w:jc w:val="both"/>
                    <w:rPr>
                      <w:rFonts w:eastAsiaTheme="minorEastAsia"/>
                      <w:szCs w:val="21"/>
                    </w:rPr>
                  </w:pPr>
                  <w:r>
                    <w:rPr>
                      <w:rFonts w:hint="eastAsia" w:eastAsiaTheme="minorEastAsia"/>
                      <w:szCs w:val="21"/>
                    </w:rPr>
                    <w:t>储罐区共有2个50m</w:t>
                  </w:r>
                  <w:r>
                    <w:rPr>
                      <w:rFonts w:hint="eastAsia" w:eastAsiaTheme="minorEastAsia"/>
                      <w:szCs w:val="21"/>
                      <w:vertAlign w:val="superscript"/>
                    </w:rPr>
                    <w:t>3</w:t>
                  </w:r>
                  <w:r>
                    <w:rPr>
                      <w:rFonts w:hint="eastAsia" w:eastAsiaTheme="minorEastAsia"/>
                      <w:szCs w:val="21"/>
                    </w:rPr>
                    <w:t>储罐、2个100m</w:t>
                  </w:r>
                  <w:r>
                    <w:rPr>
                      <w:rFonts w:hint="eastAsia" w:eastAsiaTheme="minorEastAsia"/>
                      <w:szCs w:val="21"/>
                      <w:vertAlign w:val="superscript"/>
                    </w:rPr>
                    <w:t>3</w:t>
                  </w:r>
                  <w:r>
                    <w:rPr>
                      <w:rFonts w:hint="eastAsia" w:eastAsiaTheme="minorEastAsia"/>
                      <w:szCs w:val="21"/>
                    </w:rPr>
                    <w:t>储罐，2个400m</w:t>
                  </w:r>
                  <w:r>
                    <w:rPr>
                      <w:rFonts w:hint="eastAsia" w:eastAsiaTheme="minorEastAsia"/>
                      <w:szCs w:val="21"/>
                      <w:vertAlign w:val="superscript"/>
                    </w:rPr>
                    <w:t>3</w:t>
                  </w:r>
                  <w:r>
                    <w:rPr>
                      <w:rFonts w:hint="eastAsia" w:eastAsiaTheme="minorEastAsia"/>
                      <w:szCs w:val="21"/>
                    </w:rPr>
                    <w:t>储罐。</w:t>
                  </w:r>
                </w:p>
              </w:tc>
            </w:tr>
            <w:tr w14:paraId="277BF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1827A038">
                  <w:pPr>
                    <w:pStyle w:val="50"/>
                    <w:adjustRightInd w:val="0"/>
                    <w:snapToGrid w:val="0"/>
                    <w:spacing w:line="240" w:lineRule="auto"/>
                    <w:rPr>
                      <w:rFonts w:eastAsiaTheme="minorEastAsia"/>
                      <w:szCs w:val="21"/>
                    </w:rPr>
                  </w:pPr>
                </w:p>
              </w:tc>
              <w:tc>
                <w:tcPr>
                  <w:tcW w:w="410" w:type="pct"/>
                  <w:vAlign w:val="center"/>
                </w:tcPr>
                <w:p w14:paraId="433A459B">
                  <w:pPr>
                    <w:pStyle w:val="50"/>
                    <w:adjustRightInd w:val="0"/>
                    <w:snapToGrid w:val="0"/>
                    <w:spacing w:line="240" w:lineRule="auto"/>
                    <w:rPr>
                      <w:rFonts w:eastAsiaTheme="minorEastAsia"/>
                      <w:szCs w:val="21"/>
                    </w:rPr>
                  </w:pPr>
                  <w:r>
                    <w:rPr>
                      <w:rFonts w:hint="eastAsia" w:eastAsiaTheme="minorEastAsia"/>
                      <w:szCs w:val="21"/>
                    </w:rPr>
                    <w:t>溶剂油罐</w:t>
                  </w:r>
                </w:p>
              </w:tc>
              <w:tc>
                <w:tcPr>
                  <w:tcW w:w="1474" w:type="pct"/>
                  <w:vAlign w:val="center"/>
                </w:tcPr>
                <w:p w14:paraId="2D8D2D2B">
                  <w:pPr>
                    <w:pStyle w:val="50"/>
                    <w:adjustRightInd w:val="0"/>
                    <w:snapToGrid w:val="0"/>
                    <w:spacing w:line="240" w:lineRule="auto"/>
                    <w:jc w:val="both"/>
                    <w:rPr>
                      <w:rFonts w:eastAsiaTheme="minorEastAsia"/>
                      <w:szCs w:val="21"/>
                    </w:rPr>
                  </w:pPr>
                  <w:r>
                    <w:rPr>
                      <w:rFonts w:hint="eastAsia" w:eastAsiaTheme="minorEastAsia"/>
                      <w:szCs w:val="21"/>
                    </w:rPr>
                    <w:t>/</w:t>
                  </w:r>
                </w:p>
              </w:tc>
              <w:tc>
                <w:tcPr>
                  <w:tcW w:w="1474" w:type="pct"/>
                  <w:vAlign w:val="center"/>
                </w:tcPr>
                <w:p w14:paraId="1C0A86A4">
                  <w:pPr>
                    <w:pStyle w:val="50"/>
                    <w:adjustRightInd w:val="0"/>
                    <w:snapToGrid w:val="0"/>
                    <w:spacing w:line="240" w:lineRule="auto"/>
                    <w:jc w:val="both"/>
                    <w:rPr>
                      <w:rFonts w:eastAsiaTheme="minorEastAsia"/>
                      <w:szCs w:val="21"/>
                    </w:rPr>
                  </w:pPr>
                  <w:r>
                    <w:rPr>
                      <w:rFonts w:hint="eastAsia" w:eastAsiaTheme="minorEastAsia"/>
                      <w:szCs w:val="21"/>
                    </w:rPr>
                    <w:t>新建设置1座50m</w:t>
                  </w:r>
                  <w:r>
                    <w:rPr>
                      <w:rFonts w:hint="eastAsia" w:eastAsiaTheme="minorEastAsia"/>
                      <w:szCs w:val="21"/>
                      <w:vertAlign w:val="superscript"/>
                    </w:rPr>
                    <w:t>3</w:t>
                  </w:r>
                  <w:r>
                    <w:rPr>
                      <w:rFonts w:hint="eastAsia" w:eastAsiaTheme="minorEastAsia"/>
                      <w:szCs w:val="21"/>
                    </w:rPr>
                    <w:t>的溶剂油罐，用于储存植物油抽提溶剂。</w:t>
                  </w:r>
                </w:p>
              </w:tc>
              <w:tc>
                <w:tcPr>
                  <w:tcW w:w="1243" w:type="pct"/>
                  <w:vAlign w:val="center"/>
                </w:tcPr>
                <w:p w14:paraId="69E0E01E">
                  <w:pPr>
                    <w:pStyle w:val="50"/>
                    <w:adjustRightInd w:val="0"/>
                    <w:snapToGrid w:val="0"/>
                    <w:spacing w:line="240" w:lineRule="auto"/>
                    <w:jc w:val="both"/>
                    <w:rPr>
                      <w:rFonts w:eastAsiaTheme="minorEastAsia"/>
                      <w:szCs w:val="21"/>
                    </w:rPr>
                  </w:pPr>
                  <w:r>
                    <w:rPr>
                      <w:rFonts w:hint="eastAsia" w:eastAsiaTheme="minorEastAsia"/>
                      <w:szCs w:val="21"/>
                    </w:rPr>
                    <w:t>1座50m</w:t>
                  </w:r>
                  <w:r>
                    <w:rPr>
                      <w:rFonts w:hint="eastAsia" w:eastAsiaTheme="minorEastAsia"/>
                      <w:szCs w:val="21"/>
                      <w:vertAlign w:val="superscript"/>
                    </w:rPr>
                    <w:t>3</w:t>
                  </w:r>
                  <w:r>
                    <w:rPr>
                      <w:rFonts w:hint="eastAsia" w:eastAsiaTheme="minorEastAsia"/>
                      <w:szCs w:val="21"/>
                    </w:rPr>
                    <w:t>的溶剂油罐</w:t>
                  </w:r>
                </w:p>
              </w:tc>
            </w:tr>
            <w:tr w14:paraId="5DAFE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73747383">
                  <w:pPr>
                    <w:pStyle w:val="50"/>
                    <w:adjustRightInd w:val="0"/>
                    <w:snapToGrid w:val="0"/>
                    <w:spacing w:line="240" w:lineRule="auto"/>
                    <w:rPr>
                      <w:rFonts w:eastAsiaTheme="minorEastAsia"/>
                      <w:szCs w:val="21"/>
                    </w:rPr>
                  </w:pPr>
                </w:p>
              </w:tc>
              <w:tc>
                <w:tcPr>
                  <w:tcW w:w="410" w:type="pct"/>
                  <w:vAlign w:val="center"/>
                </w:tcPr>
                <w:p w14:paraId="55806964">
                  <w:pPr>
                    <w:pStyle w:val="50"/>
                    <w:adjustRightInd w:val="0"/>
                    <w:snapToGrid w:val="0"/>
                    <w:spacing w:line="240" w:lineRule="auto"/>
                    <w:rPr>
                      <w:rFonts w:eastAsiaTheme="minorEastAsia"/>
                      <w:szCs w:val="21"/>
                    </w:rPr>
                  </w:pPr>
                  <w:r>
                    <w:rPr>
                      <w:rFonts w:hint="eastAsia" w:eastAsiaTheme="minorEastAsia"/>
                      <w:szCs w:val="21"/>
                    </w:rPr>
                    <w:t>危废暂存间</w:t>
                  </w:r>
                </w:p>
              </w:tc>
              <w:tc>
                <w:tcPr>
                  <w:tcW w:w="1474" w:type="pct"/>
                  <w:vAlign w:val="center"/>
                </w:tcPr>
                <w:p w14:paraId="3A580475">
                  <w:pPr>
                    <w:pStyle w:val="50"/>
                    <w:adjustRightInd w:val="0"/>
                    <w:snapToGrid w:val="0"/>
                    <w:spacing w:line="240" w:lineRule="auto"/>
                    <w:jc w:val="both"/>
                    <w:rPr>
                      <w:rFonts w:eastAsiaTheme="minorEastAsia"/>
                      <w:szCs w:val="21"/>
                    </w:rPr>
                  </w:pPr>
                  <w:r>
                    <w:rPr>
                      <w:rFonts w:hint="eastAsia" w:eastAsiaTheme="minorEastAsia"/>
                      <w:szCs w:val="21"/>
                    </w:rPr>
                    <w:t>1间危废暂存间，位于现有生产车间东面，占地约20</w:t>
                  </w:r>
                  <w:r>
                    <w:rPr>
                      <w:rFonts w:eastAsiaTheme="minorEastAsia"/>
                      <w:szCs w:val="21"/>
                    </w:rPr>
                    <w:t>m</w:t>
                  </w:r>
                  <w:r>
                    <w:rPr>
                      <w:rFonts w:eastAsiaTheme="minorEastAsia"/>
                      <w:szCs w:val="21"/>
                      <w:vertAlign w:val="superscript"/>
                    </w:rPr>
                    <w:t>2</w:t>
                  </w:r>
                  <w:r>
                    <w:rPr>
                      <w:rFonts w:hint="eastAsia" w:eastAsiaTheme="minorEastAsia"/>
                      <w:szCs w:val="21"/>
                    </w:rPr>
                    <w:t>。</w:t>
                  </w:r>
                </w:p>
              </w:tc>
              <w:tc>
                <w:tcPr>
                  <w:tcW w:w="1474" w:type="pct"/>
                  <w:vAlign w:val="center"/>
                </w:tcPr>
                <w:p w14:paraId="5F1336A9">
                  <w:pPr>
                    <w:pStyle w:val="50"/>
                    <w:adjustRightInd w:val="0"/>
                    <w:snapToGrid w:val="0"/>
                    <w:spacing w:line="240" w:lineRule="auto"/>
                    <w:jc w:val="both"/>
                    <w:rPr>
                      <w:rFonts w:eastAsiaTheme="minorEastAsia"/>
                      <w:szCs w:val="21"/>
                    </w:rPr>
                  </w:pPr>
                  <w:r>
                    <w:rPr>
                      <w:rFonts w:hint="eastAsia" w:eastAsiaTheme="minorEastAsia"/>
                      <w:szCs w:val="21"/>
                    </w:rPr>
                    <w:t>依托现有危废暂存间。</w:t>
                  </w:r>
                </w:p>
              </w:tc>
              <w:tc>
                <w:tcPr>
                  <w:tcW w:w="1243" w:type="pct"/>
                  <w:vAlign w:val="center"/>
                </w:tcPr>
                <w:p w14:paraId="4F8941E0">
                  <w:pPr>
                    <w:pStyle w:val="50"/>
                    <w:adjustRightInd w:val="0"/>
                    <w:snapToGrid w:val="0"/>
                    <w:spacing w:line="240" w:lineRule="auto"/>
                    <w:jc w:val="both"/>
                    <w:rPr>
                      <w:rFonts w:eastAsiaTheme="minorEastAsia"/>
                      <w:szCs w:val="21"/>
                    </w:rPr>
                  </w:pPr>
                  <w:r>
                    <w:rPr>
                      <w:rFonts w:hint="eastAsia" w:eastAsiaTheme="minorEastAsia"/>
                      <w:szCs w:val="21"/>
                    </w:rPr>
                    <w:t>1间危废暂存间，位于现有生产车间东面，占地约20</w:t>
                  </w:r>
                  <w:r>
                    <w:rPr>
                      <w:rFonts w:eastAsiaTheme="minorEastAsia"/>
                      <w:szCs w:val="21"/>
                    </w:rPr>
                    <w:t>m</w:t>
                  </w:r>
                  <w:r>
                    <w:rPr>
                      <w:rFonts w:eastAsiaTheme="minorEastAsia"/>
                      <w:szCs w:val="21"/>
                      <w:vertAlign w:val="superscript"/>
                    </w:rPr>
                    <w:t>2</w:t>
                  </w:r>
                  <w:r>
                    <w:rPr>
                      <w:rFonts w:hint="eastAsia" w:eastAsiaTheme="minorEastAsia"/>
                      <w:szCs w:val="21"/>
                    </w:rPr>
                    <w:t>。</w:t>
                  </w:r>
                </w:p>
              </w:tc>
            </w:tr>
            <w:tr w14:paraId="39E19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57869495">
                  <w:pPr>
                    <w:pStyle w:val="50"/>
                    <w:adjustRightInd w:val="0"/>
                    <w:snapToGrid w:val="0"/>
                    <w:spacing w:line="240" w:lineRule="auto"/>
                    <w:rPr>
                      <w:rFonts w:eastAsiaTheme="minorEastAsia"/>
                      <w:szCs w:val="21"/>
                    </w:rPr>
                  </w:pPr>
                </w:p>
              </w:tc>
              <w:tc>
                <w:tcPr>
                  <w:tcW w:w="410" w:type="pct"/>
                  <w:vAlign w:val="center"/>
                </w:tcPr>
                <w:p w14:paraId="60FEFB8F">
                  <w:pPr>
                    <w:pStyle w:val="50"/>
                    <w:adjustRightInd w:val="0"/>
                    <w:snapToGrid w:val="0"/>
                    <w:spacing w:line="240" w:lineRule="auto"/>
                    <w:rPr>
                      <w:rFonts w:eastAsiaTheme="minorEastAsia"/>
                      <w:szCs w:val="21"/>
                    </w:rPr>
                  </w:pPr>
                  <w:r>
                    <w:t>一般固废</w:t>
                  </w:r>
                  <w:r>
                    <w:rPr>
                      <w:rFonts w:hint="eastAsia"/>
                    </w:rPr>
                    <w:t>区</w:t>
                  </w:r>
                </w:p>
              </w:tc>
              <w:tc>
                <w:tcPr>
                  <w:tcW w:w="1474" w:type="pct"/>
                  <w:vAlign w:val="center"/>
                </w:tcPr>
                <w:p w14:paraId="31057837">
                  <w:pPr>
                    <w:pStyle w:val="50"/>
                    <w:adjustRightInd w:val="0"/>
                    <w:snapToGrid w:val="0"/>
                    <w:spacing w:line="240" w:lineRule="auto"/>
                    <w:jc w:val="both"/>
                    <w:rPr>
                      <w:rFonts w:eastAsiaTheme="minorEastAsia"/>
                      <w:szCs w:val="21"/>
                    </w:rPr>
                  </w:pPr>
                  <w:r>
                    <w:rPr>
                      <w:rFonts w:eastAsiaTheme="minorEastAsia"/>
                      <w:szCs w:val="21"/>
                    </w:rPr>
                    <w:t>位于</w:t>
                  </w:r>
                  <w:r>
                    <w:rPr>
                      <w:rFonts w:hint="eastAsia" w:eastAsiaTheme="minorEastAsia"/>
                      <w:szCs w:val="21"/>
                    </w:rPr>
                    <w:t>现有生产车间内东侧</w:t>
                  </w:r>
                  <w:r>
                    <w:rPr>
                      <w:rFonts w:eastAsiaTheme="minorEastAsia"/>
                      <w:szCs w:val="21"/>
                    </w:rPr>
                    <w:t>，</w:t>
                  </w:r>
                  <w:r>
                    <w:rPr>
                      <w:rFonts w:hint="eastAsia"/>
                      <w:szCs w:val="21"/>
                    </w:rPr>
                    <w:t>占地</w:t>
                  </w:r>
                  <w:r>
                    <w:rPr>
                      <w:rFonts w:eastAsiaTheme="minorEastAsia"/>
                      <w:szCs w:val="21"/>
                    </w:rPr>
                    <w:t>面积约</w:t>
                  </w:r>
                  <w:r>
                    <w:rPr>
                      <w:rFonts w:hint="eastAsia" w:eastAsiaTheme="minorEastAsia"/>
                      <w:szCs w:val="21"/>
                    </w:rPr>
                    <w:t>350</w:t>
                  </w:r>
                  <w:r>
                    <w:rPr>
                      <w:rFonts w:eastAsiaTheme="minorEastAsia"/>
                      <w:szCs w:val="21"/>
                    </w:rPr>
                    <w:t>m</w:t>
                  </w:r>
                  <w:r>
                    <w:rPr>
                      <w:rFonts w:eastAsiaTheme="minorEastAsia"/>
                      <w:szCs w:val="21"/>
                      <w:vertAlign w:val="superscript"/>
                    </w:rPr>
                    <w:t>2</w:t>
                  </w:r>
                  <w:r>
                    <w:rPr>
                      <w:rFonts w:hint="eastAsia" w:eastAsiaTheme="minorEastAsia"/>
                      <w:szCs w:val="21"/>
                    </w:rPr>
                    <w:t>。</w:t>
                  </w:r>
                </w:p>
              </w:tc>
              <w:tc>
                <w:tcPr>
                  <w:tcW w:w="1474" w:type="pct"/>
                  <w:vAlign w:val="center"/>
                </w:tcPr>
                <w:p w14:paraId="41DA8B5D">
                  <w:pPr>
                    <w:pStyle w:val="50"/>
                    <w:adjustRightInd w:val="0"/>
                    <w:snapToGrid w:val="0"/>
                    <w:spacing w:line="240" w:lineRule="auto"/>
                    <w:jc w:val="both"/>
                    <w:rPr>
                      <w:rFonts w:eastAsiaTheme="minorEastAsia"/>
                      <w:szCs w:val="21"/>
                    </w:rPr>
                  </w:pPr>
                  <w:r>
                    <w:rPr>
                      <w:rFonts w:eastAsiaTheme="minorEastAsia"/>
                      <w:szCs w:val="21"/>
                    </w:rPr>
                    <w:t>位于</w:t>
                  </w:r>
                  <w:r>
                    <w:rPr>
                      <w:rFonts w:hint="eastAsia" w:eastAsiaTheme="minorEastAsia"/>
                      <w:szCs w:val="21"/>
                    </w:rPr>
                    <w:t>新建生产车间内东侧</w:t>
                  </w:r>
                  <w:r>
                    <w:rPr>
                      <w:rFonts w:eastAsiaTheme="minorEastAsia"/>
                      <w:szCs w:val="21"/>
                    </w:rPr>
                    <w:t>，</w:t>
                  </w:r>
                  <w:r>
                    <w:rPr>
                      <w:rFonts w:hint="eastAsia"/>
                      <w:szCs w:val="21"/>
                    </w:rPr>
                    <w:t>占地</w:t>
                  </w:r>
                  <w:r>
                    <w:rPr>
                      <w:rFonts w:eastAsiaTheme="minorEastAsia"/>
                      <w:szCs w:val="21"/>
                    </w:rPr>
                    <w:t>面积约</w:t>
                  </w:r>
                  <w:r>
                    <w:rPr>
                      <w:rFonts w:hint="eastAsia" w:eastAsiaTheme="minorEastAsia"/>
                      <w:szCs w:val="21"/>
                    </w:rPr>
                    <w:t>450</w:t>
                  </w:r>
                  <w:r>
                    <w:rPr>
                      <w:rFonts w:eastAsiaTheme="minorEastAsia"/>
                      <w:szCs w:val="21"/>
                    </w:rPr>
                    <w:t>m</w:t>
                  </w:r>
                  <w:r>
                    <w:rPr>
                      <w:rFonts w:eastAsiaTheme="minorEastAsia"/>
                      <w:szCs w:val="21"/>
                      <w:vertAlign w:val="superscript"/>
                    </w:rPr>
                    <w:t>2</w:t>
                  </w:r>
                  <w:r>
                    <w:rPr>
                      <w:rFonts w:hint="eastAsia" w:eastAsiaTheme="minorEastAsia"/>
                      <w:szCs w:val="21"/>
                    </w:rPr>
                    <w:t>。</w:t>
                  </w:r>
                </w:p>
              </w:tc>
              <w:tc>
                <w:tcPr>
                  <w:tcW w:w="1243" w:type="pct"/>
                  <w:vAlign w:val="center"/>
                </w:tcPr>
                <w:p w14:paraId="2818DAAF">
                  <w:pPr>
                    <w:pStyle w:val="50"/>
                    <w:adjustRightInd w:val="0"/>
                    <w:snapToGrid w:val="0"/>
                    <w:spacing w:line="240" w:lineRule="auto"/>
                    <w:jc w:val="both"/>
                    <w:rPr>
                      <w:rFonts w:eastAsiaTheme="minorEastAsia"/>
                      <w:szCs w:val="21"/>
                    </w:rPr>
                  </w:pPr>
                  <w:r>
                    <w:rPr>
                      <w:rFonts w:hint="eastAsia" w:eastAsiaTheme="minorEastAsia"/>
                      <w:szCs w:val="21"/>
                    </w:rPr>
                    <w:t>现有生产车间内</w:t>
                  </w:r>
                  <w:r>
                    <w:t>一般固废</w:t>
                  </w:r>
                  <w:r>
                    <w:rPr>
                      <w:rFonts w:hint="eastAsia"/>
                    </w:rPr>
                    <w:t>区</w:t>
                  </w:r>
                  <w:r>
                    <w:rPr>
                      <w:rFonts w:hint="eastAsia" w:eastAsiaTheme="minorEastAsia"/>
                      <w:szCs w:val="21"/>
                    </w:rPr>
                    <w:t>占地面积约350</w:t>
                  </w:r>
                  <w:r>
                    <w:rPr>
                      <w:rFonts w:eastAsiaTheme="minorEastAsia"/>
                      <w:szCs w:val="21"/>
                    </w:rPr>
                    <w:t>m</w:t>
                  </w:r>
                  <w:r>
                    <w:rPr>
                      <w:rFonts w:eastAsiaTheme="minorEastAsia"/>
                      <w:szCs w:val="21"/>
                      <w:vertAlign w:val="superscript"/>
                    </w:rPr>
                    <w:t>2</w:t>
                  </w:r>
                  <w:r>
                    <w:rPr>
                      <w:rFonts w:hint="eastAsia" w:eastAsiaTheme="minorEastAsia"/>
                      <w:szCs w:val="21"/>
                    </w:rPr>
                    <w:t>，新建生产车间内</w:t>
                  </w:r>
                  <w:r>
                    <w:t>一般固废</w:t>
                  </w:r>
                  <w:r>
                    <w:rPr>
                      <w:rFonts w:hint="eastAsia"/>
                    </w:rPr>
                    <w:t>区</w:t>
                  </w:r>
                  <w:r>
                    <w:rPr>
                      <w:rFonts w:hint="eastAsia"/>
                      <w:szCs w:val="21"/>
                    </w:rPr>
                    <w:t>占地</w:t>
                  </w:r>
                  <w:r>
                    <w:rPr>
                      <w:rFonts w:eastAsiaTheme="minorEastAsia"/>
                      <w:szCs w:val="21"/>
                    </w:rPr>
                    <w:t>面积约</w:t>
                  </w:r>
                  <w:r>
                    <w:rPr>
                      <w:rFonts w:hint="eastAsia" w:eastAsiaTheme="minorEastAsia"/>
                      <w:szCs w:val="21"/>
                    </w:rPr>
                    <w:t>450</w:t>
                  </w:r>
                  <w:r>
                    <w:rPr>
                      <w:rFonts w:eastAsiaTheme="minorEastAsia"/>
                      <w:szCs w:val="21"/>
                    </w:rPr>
                    <w:t>m</w:t>
                  </w:r>
                  <w:r>
                    <w:rPr>
                      <w:rFonts w:eastAsiaTheme="minorEastAsia"/>
                      <w:szCs w:val="21"/>
                      <w:vertAlign w:val="superscript"/>
                    </w:rPr>
                    <w:t>2</w:t>
                  </w:r>
                  <w:r>
                    <w:rPr>
                      <w:rFonts w:hint="eastAsia" w:eastAsiaTheme="minorEastAsia"/>
                      <w:szCs w:val="21"/>
                    </w:rPr>
                    <w:t>。</w:t>
                  </w:r>
                </w:p>
              </w:tc>
            </w:tr>
            <w:tr w14:paraId="375C0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restart"/>
                  <w:vAlign w:val="center"/>
                </w:tcPr>
                <w:p w14:paraId="2F3E5166">
                  <w:pPr>
                    <w:pStyle w:val="50"/>
                    <w:adjustRightInd w:val="0"/>
                    <w:snapToGrid w:val="0"/>
                    <w:spacing w:line="240" w:lineRule="auto"/>
                    <w:rPr>
                      <w:rFonts w:eastAsiaTheme="minorEastAsia"/>
                      <w:szCs w:val="21"/>
                    </w:rPr>
                  </w:pPr>
                  <w:r>
                    <w:rPr>
                      <w:rFonts w:eastAsiaTheme="minorEastAsia"/>
                      <w:szCs w:val="21"/>
                    </w:rPr>
                    <w:t>公用工程</w:t>
                  </w:r>
                </w:p>
              </w:tc>
              <w:tc>
                <w:tcPr>
                  <w:tcW w:w="410" w:type="pct"/>
                  <w:vAlign w:val="center"/>
                </w:tcPr>
                <w:p w14:paraId="04C58BA0">
                  <w:pPr>
                    <w:pStyle w:val="50"/>
                    <w:adjustRightInd w:val="0"/>
                    <w:snapToGrid w:val="0"/>
                    <w:spacing w:line="240" w:lineRule="auto"/>
                    <w:rPr>
                      <w:rFonts w:eastAsiaTheme="minorEastAsia"/>
                      <w:szCs w:val="21"/>
                    </w:rPr>
                  </w:pPr>
                  <w:r>
                    <w:rPr>
                      <w:rFonts w:eastAsiaTheme="minorEastAsia"/>
                      <w:szCs w:val="21"/>
                    </w:rPr>
                    <w:t>供水</w:t>
                  </w:r>
                </w:p>
              </w:tc>
              <w:tc>
                <w:tcPr>
                  <w:tcW w:w="1474" w:type="pct"/>
                  <w:vAlign w:val="center"/>
                </w:tcPr>
                <w:p w14:paraId="298A3D3D">
                  <w:pPr>
                    <w:pStyle w:val="50"/>
                    <w:adjustRightInd w:val="0"/>
                    <w:snapToGrid w:val="0"/>
                    <w:spacing w:line="240" w:lineRule="auto"/>
                    <w:jc w:val="both"/>
                    <w:rPr>
                      <w:rFonts w:eastAsiaTheme="minorEastAsia"/>
                      <w:szCs w:val="21"/>
                    </w:rPr>
                  </w:pPr>
                  <w:r>
                    <w:rPr>
                      <w:rFonts w:eastAsiaTheme="minorEastAsia"/>
                      <w:szCs w:val="21"/>
                    </w:rPr>
                    <w:t>市政</w:t>
                  </w:r>
                  <w:r>
                    <w:rPr>
                      <w:rFonts w:hint="eastAsia" w:eastAsiaTheme="minorEastAsia"/>
                      <w:szCs w:val="21"/>
                    </w:rPr>
                    <w:t>供水</w:t>
                  </w:r>
                </w:p>
              </w:tc>
              <w:tc>
                <w:tcPr>
                  <w:tcW w:w="1474" w:type="pct"/>
                  <w:vAlign w:val="center"/>
                </w:tcPr>
                <w:p w14:paraId="324D5862">
                  <w:pPr>
                    <w:pStyle w:val="50"/>
                    <w:adjustRightInd w:val="0"/>
                    <w:snapToGrid w:val="0"/>
                    <w:spacing w:line="240" w:lineRule="auto"/>
                    <w:jc w:val="both"/>
                    <w:rPr>
                      <w:rFonts w:eastAsiaTheme="minorEastAsia"/>
                      <w:szCs w:val="21"/>
                    </w:rPr>
                  </w:pPr>
                  <w:r>
                    <w:rPr>
                      <w:rFonts w:eastAsiaTheme="minorEastAsia"/>
                      <w:szCs w:val="21"/>
                    </w:rPr>
                    <w:t>市政</w:t>
                  </w:r>
                  <w:r>
                    <w:rPr>
                      <w:rFonts w:hint="eastAsia" w:eastAsiaTheme="minorEastAsia"/>
                      <w:szCs w:val="21"/>
                    </w:rPr>
                    <w:t>供水</w:t>
                  </w:r>
                </w:p>
              </w:tc>
              <w:tc>
                <w:tcPr>
                  <w:tcW w:w="1243" w:type="pct"/>
                  <w:vAlign w:val="center"/>
                </w:tcPr>
                <w:p w14:paraId="3F288A18">
                  <w:pPr>
                    <w:pStyle w:val="50"/>
                    <w:adjustRightInd w:val="0"/>
                    <w:snapToGrid w:val="0"/>
                    <w:spacing w:line="240" w:lineRule="auto"/>
                    <w:jc w:val="both"/>
                    <w:rPr>
                      <w:rFonts w:eastAsiaTheme="minorEastAsia"/>
                      <w:szCs w:val="21"/>
                    </w:rPr>
                  </w:pPr>
                  <w:r>
                    <w:rPr>
                      <w:rFonts w:eastAsiaTheme="minorEastAsia"/>
                      <w:szCs w:val="21"/>
                    </w:rPr>
                    <w:t>市政</w:t>
                  </w:r>
                  <w:r>
                    <w:rPr>
                      <w:rFonts w:hint="eastAsia" w:eastAsiaTheme="minorEastAsia"/>
                      <w:szCs w:val="21"/>
                    </w:rPr>
                    <w:t>供水</w:t>
                  </w:r>
                </w:p>
              </w:tc>
            </w:tr>
            <w:tr w14:paraId="1E920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6FD3F79F">
                  <w:pPr>
                    <w:pStyle w:val="50"/>
                    <w:adjustRightInd w:val="0"/>
                    <w:snapToGrid w:val="0"/>
                    <w:spacing w:line="240" w:lineRule="auto"/>
                    <w:rPr>
                      <w:rFonts w:eastAsiaTheme="minorEastAsia"/>
                      <w:szCs w:val="21"/>
                    </w:rPr>
                  </w:pPr>
                </w:p>
              </w:tc>
              <w:tc>
                <w:tcPr>
                  <w:tcW w:w="410" w:type="pct"/>
                  <w:vAlign w:val="center"/>
                </w:tcPr>
                <w:p w14:paraId="31CF7258">
                  <w:pPr>
                    <w:pStyle w:val="50"/>
                    <w:adjustRightInd w:val="0"/>
                    <w:snapToGrid w:val="0"/>
                    <w:spacing w:line="240" w:lineRule="auto"/>
                    <w:rPr>
                      <w:rFonts w:eastAsiaTheme="minorEastAsia"/>
                      <w:szCs w:val="21"/>
                    </w:rPr>
                  </w:pPr>
                  <w:r>
                    <w:rPr>
                      <w:rFonts w:eastAsiaTheme="minorEastAsia"/>
                      <w:szCs w:val="21"/>
                    </w:rPr>
                    <w:t>供电</w:t>
                  </w:r>
                </w:p>
              </w:tc>
              <w:tc>
                <w:tcPr>
                  <w:tcW w:w="1474" w:type="pct"/>
                  <w:vAlign w:val="center"/>
                </w:tcPr>
                <w:p w14:paraId="7E625CE0">
                  <w:pPr>
                    <w:pStyle w:val="50"/>
                    <w:adjustRightInd w:val="0"/>
                    <w:snapToGrid w:val="0"/>
                    <w:spacing w:line="240" w:lineRule="auto"/>
                    <w:jc w:val="both"/>
                    <w:rPr>
                      <w:rFonts w:eastAsiaTheme="minorEastAsia"/>
                      <w:szCs w:val="21"/>
                    </w:rPr>
                  </w:pPr>
                  <w:r>
                    <w:rPr>
                      <w:rFonts w:eastAsiaTheme="minorEastAsia"/>
                      <w:szCs w:val="21"/>
                    </w:rPr>
                    <w:t>市政供电</w:t>
                  </w:r>
                </w:p>
              </w:tc>
              <w:tc>
                <w:tcPr>
                  <w:tcW w:w="1474" w:type="pct"/>
                  <w:vAlign w:val="center"/>
                </w:tcPr>
                <w:p w14:paraId="46A8D174">
                  <w:pPr>
                    <w:pStyle w:val="50"/>
                    <w:adjustRightInd w:val="0"/>
                    <w:snapToGrid w:val="0"/>
                    <w:spacing w:line="240" w:lineRule="auto"/>
                    <w:jc w:val="both"/>
                    <w:rPr>
                      <w:rFonts w:eastAsiaTheme="minorEastAsia"/>
                      <w:szCs w:val="21"/>
                    </w:rPr>
                  </w:pPr>
                  <w:r>
                    <w:rPr>
                      <w:rFonts w:eastAsiaTheme="minorEastAsia"/>
                      <w:szCs w:val="21"/>
                    </w:rPr>
                    <w:t>市政供电</w:t>
                  </w:r>
                </w:p>
              </w:tc>
              <w:tc>
                <w:tcPr>
                  <w:tcW w:w="1243" w:type="pct"/>
                  <w:vAlign w:val="center"/>
                </w:tcPr>
                <w:p w14:paraId="5C257EF7">
                  <w:pPr>
                    <w:pStyle w:val="50"/>
                    <w:adjustRightInd w:val="0"/>
                    <w:snapToGrid w:val="0"/>
                    <w:spacing w:line="240" w:lineRule="auto"/>
                    <w:jc w:val="both"/>
                    <w:rPr>
                      <w:rFonts w:eastAsiaTheme="minorEastAsia"/>
                      <w:szCs w:val="21"/>
                    </w:rPr>
                  </w:pPr>
                  <w:r>
                    <w:rPr>
                      <w:rFonts w:eastAsiaTheme="minorEastAsia"/>
                      <w:szCs w:val="21"/>
                    </w:rPr>
                    <w:t>市政供电</w:t>
                  </w:r>
                </w:p>
              </w:tc>
            </w:tr>
            <w:tr w14:paraId="32CE1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0F7A03C5">
                  <w:pPr>
                    <w:pStyle w:val="50"/>
                    <w:adjustRightInd w:val="0"/>
                    <w:snapToGrid w:val="0"/>
                    <w:spacing w:line="240" w:lineRule="auto"/>
                    <w:rPr>
                      <w:rFonts w:eastAsiaTheme="minorEastAsia"/>
                      <w:szCs w:val="21"/>
                    </w:rPr>
                  </w:pPr>
                </w:p>
              </w:tc>
              <w:tc>
                <w:tcPr>
                  <w:tcW w:w="410" w:type="pct"/>
                  <w:vAlign w:val="center"/>
                </w:tcPr>
                <w:p w14:paraId="56EF66AB">
                  <w:pPr>
                    <w:pStyle w:val="50"/>
                    <w:adjustRightInd w:val="0"/>
                    <w:snapToGrid w:val="0"/>
                    <w:spacing w:line="240" w:lineRule="auto"/>
                    <w:rPr>
                      <w:rFonts w:eastAsiaTheme="minorEastAsia"/>
                      <w:szCs w:val="21"/>
                    </w:rPr>
                  </w:pPr>
                  <w:r>
                    <w:rPr>
                      <w:rFonts w:hint="eastAsia" w:eastAsiaTheme="minorEastAsia"/>
                      <w:szCs w:val="21"/>
                    </w:rPr>
                    <w:t>供热</w:t>
                  </w:r>
                </w:p>
              </w:tc>
              <w:tc>
                <w:tcPr>
                  <w:tcW w:w="1474" w:type="pct"/>
                  <w:vAlign w:val="center"/>
                </w:tcPr>
                <w:p w14:paraId="3942A09D">
                  <w:pPr>
                    <w:pStyle w:val="50"/>
                    <w:adjustRightInd w:val="0"/>
                    <w:snapToGrid w:val="0"/>
                    <w:spacing w:line="240" w:lineRule="auto"/>
                    <w:jc w:val="both"/>
                    <w:rPr>
                      <w:rFonts w:eastAsiaTheme="minorEastAsia"/>
                      <w:szCs w:val="21"/>
                    </w:rPr>
                  </w:pPr>
                  <w:r>
                    <w:rPr>
                      <w:rFonts w:hint="eastAsia" w:eastAsiaTheme="minorEastAsia"/>
                      <w:szCs w:val="21"/>
                    </w:rPr>
                    <w:t>1台2蒸吨/小时燃生物质成型燃料锅炉</w:t>
                  </w:r>
                </w:p>
              </w:tc>
              <w:tc>
                <w:tcPr>
                  <w:tcW w:w="1474" w:type="pct"/>
                  <w:vAlign w:val="center"/>
                </w:tcPr>
                <w:p w14:paraId="4C186F7E">
                  <w:pPr>
                    <w:pStyle w:val="50"/>
                    <w:adjustRightInd w:val="0"/>
                    <w:snapToGrid w:val="0"/>
                    <w:spacing w:line="240" w:lineRule="auto"/>
                    <w:jc w:val="both"/>
                    <w:rPr>
                      <w:rFonts w:eastAsiaTheme="minorEastAsia"/>
                      <w:szCs w:val="21"/>
                    </w:rPr>
                  </w:pPr>
                  <w:r>
                    <w:rPr>
                      <w:rFonts w:hint="eastAsia" w:eastAsiaTheme="minorEastAsia"/>
                      <w:szCs w:val="21"/>
                    </w:rPr>
                    <w:t>拆除现有1台2蒸吨/小时燃生物质成型燃料锅炉，改建为1台6蒸吨/小时燃生物质成型燃料锅炉</w:t>
                  </w:r>
                </w:p>
              </w:tc>
              <w:tc>
                <w:tcPr>
                  <w:tcW w:w="1243" w:type="pct"/>
                  <w:vAlign w:val="center"/>
                </w:tcPr>
                <w:p w14:paraId="6D3621B1">
                  <w:pPr>
                    <w:pStyle w:val="50"/>
                    <w:adjustRightInd w:val="0"/>
                    <w:snapToGrid w:val="0"/>
                    <w:spacing w:line="240" w:lineRule="auto"/>
                    <w:jc w:val="both"/>
                    <w:rPr>
                      <w:rFonts w:eastAsiaTheme="minorEastAsia"/>
                      <w:szCs w:val="21"/>
                    </w:rPr>
                  </w:pPr>
                  <w:r>
                    <w:rPr>
                      <w:rFonts w:hint="eastAsia" w:eastAsiaTheme="minorEastAsia"/>
                      <w:szCs w:val="21"/>
                    </w:rPr>
                    <w:t>1台6蒸吨/小时燃生物质成型燃料锅炉</w:t>
                  </w:r>
                </w:p>
              </w:tc>
            </w:tr>
            <w:tr w14:paraId="0148B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6EF85898">
                  <w:pPr>
                    <w:pStyle w:val="50"/>
                    <w:adjustRightInd w:val="0"/>
                    <w:snapToGrid w:val="0"/>
                    <w:spacing w:line="240" w:lineRule="auto"/>
                    <w:rPr>
                      <w:rFonts w:eastAsiaTheme="minorEastAsia"/>
                      <w:szCs w:val="21"/>
                    </w:rPr>
                  </w:pPr>
                </w:p>
              </w:tc>
              <w:tc>
                <w:tcPr>
                  <w:tcW w:w="410" w:type="pct"/>
                  <w:vAlign w:val="center"/>
                </w:tcPr>
                <w:p w14:paraId="486BB4C8">
                  <w:pPr>
                    <w:pStyle w:val="50"/>
                    <w:adjustRightInd w:val="0"/>
                    <w:snapToGrid w:val="0"/>
                    <w:spacing w:line="240" w:lineRule="auto"/>
                    <w:rPr>
                      <w:rFonts w:eastAsiaTheme="minorEastAsia"/>
                      <w:szCs w:val="21"/>
                    </w:rPr>
                  </w:pPr>
                  <w:r>
                    <w:rPr>
                      <w:rFonts w:hint="eastAsia" w:eastAsiaTheme="minorEastAsia"/>
                      <w:szCs w:val="21"/>
                    </w:rPr>
                    <w:t>排水</w:t>
                  </w:r>
                </w:p>
              </w:tc>
              <w:tc>
                <w:tcPr>
                  <w:tcW w:w="1474" w:type="pct"/>
                  <w:vAlign w:val="center"/>
                </w:tcPr>
                <w:p w14:paraId="67033658">
                  <w:pPr>
                    <w:pStyle w:val="50"/>
                    <w:adjustRightInd w:val="0"/>
                    <w:snapToGrid w:val="0"/>
                    <w:spacing w:line="240" w:lineRule="auto"/>
                    <w:jc w:val="both"/>
                    <w:rPr>
                      <w:rFonts w:eastAsiaTheme="minorEastAsia"/>
                      <w:szCs w:val="21"/>
                    </w:rPr>
                  </w:pPr>
                  <w:r>
                    <w:rPr>
                      <w:rFonts w:hint="eastAsia"/>
                      <w:szCs w:val="21"/>
                    </w:rPr>
                    <w:t>采用雨污分流制排放。现有项目原料加工分离出的工艺废水回用于蒸炒，锅炉</w:t>
                  </w:r>
                  <w:r>
                    <w:rPr>
                      <w:szCs w:val="21"/>
                    </w:rPr>
                    <w:t>排污水及软水制备浓水</w:t>
                  </w:r>
                  <w:r>
                    <w:rPr>
                      <w:rFonts w:hint="eastAsia"/>
                      <w:szCs w:val="21"/>
                    </w:rPr>
                    <w:t>用于山林灌溉，</w:t>
                  </w:r>
                  <w:r>
                    <w:rPr>
                      <w:rFonts w:eastAsiaTheme="minorEastAsia"/>
                      <w:szCs w:val="21"/>
                    </w:rPr>
                    <w:t>生活污水</w:t>
                  </w:r>
                  <w:r>
                    <w:rPr>
                      <w:rFonts w:hint="eastAsia" w:eastAsiaTheme="minorEastAsia"/>
                    </w:rPr>
                    <w:t>经“微生物处理</w:t>
                  </w:r>
                  <w:r>
                    <w:rPr>
                      <w:rFonts w:eastAsiaTheme="minorEastAsia"/>
                    </w:rPr>
                    <w:t>+</w:t>
                  </w:r>
                  <w:r>
                    <w:rPr>
                      <w:rFonts w:hint="eastAsia" w:eastAsiaTheme="minorEastAsia"/>
                    </w:rPr>
                    <w:t>人工湿地”处理</w:t>
                  </w:r>
                  <w:r>
                    <w:rPr>
                      <w:rFonts w:hint="eastAsia" w:eastAsiaTheme="minorEastAsia"/>
                      <w:szCs w:val="21"/>
                    </w:rPr>
                    <w:t>达标后，用于山林灌溉。初期雨水收集隔油、沉淀后排出厂外。</w:t>
                  </w:r>
                </w:p>
              </w:tc>
              <w:tc>
                <w:tcPr>
                  <w:tcW w:w="1474" w:type="pct"/>
                  <w:vAlign w:val="center"/>
                </w:tcPr>
                <w:p w14:paraId="7D89B9B2">
                  <w:pPr>
                    <w:pStyle w:val="50"/>
                    <w:adjustRightInd w:val="0"/>
                    <w:snapToGrid w:val="0"/>
                    <w:spacing w:line="240" w:lineRule="auto"/>
                    <w:jc w:val="both"/>
                    <w:rPr>
                      <w:szCs w:val="21"/>
                    </w:rPr>
                  </w:pPr>
                  <w:r>
                    <w:rPr>
                      <w:rFonts w:hint="eastAsia"/>
                      <w:szCs w:val="21"/>
                    </w:rPr>
                    <w:t>采用雨污分流制排放。改扩建项目工艺废水、锅炉</w:t>
                  </w:r>
                  <w:r>
                    <w:rPr>
                      <w:szCs w:val="21"/>
                    </w:rPr>
                    <w:t>排污水及软水制备浓水</w:t>
                  </w:r>
                  <w:r>
                    <w:rPr>
                      <w:rFonts w:hint="eastAsia"/>
                      <w:szCs w:val="21"/>
                    </w:rPr>
                    <w:t>全部回用于现有项目蒸炒</w:t>
                  </w:r>
                  <w:r>
                    <w:rPr>
                      <w:szCs w:val="21"/>
                    </w:rPr>
                    <w:t>，</w:t>
                  </w:r>
                  <w:r>
                    <w:rPr>
                      <w:rFonts w:eastAsiaTheme="minorEastAsia"/>
                      <w:szCs w:val="21"/>
                    </w:rPr>
                    <w:t>生活污水</w:t>
                  </w:r>
                  <w:r>
                    <w:rPr>
                      <w:rFonts w:hint="eastAsia" w:eastAsiaTheme="minorEastAsia"/>
                      <w:szCs w:val="21"/>
                    </w:rPr>
                    <w:t>依托现有项目</w:t>
                  </w:r>
                  <w:r>
                    <w:rPr>
                      <w:rFonts w:hint="eastAsia" w:eastAsiaTheme="minorEastAsia"/>
                    </w:rPr>
                    <w:t>“微生物处理</w:t>
                  </w:r>
                  <w:r>
                    <w:rPr>
                      <w:rFonts w:eastAsiaTheme="minorEastAsia"/>
                    </w:rPr>
                    <w:t>+</w:t>
                  </w:r>
                  <w:r>
                    <w:rPr>
                      <w:rFonts w:hint="eastAsia" w:eastAsiaTheme="minorEastAsia"/>
                    </w:rPr>
                    <w:t>人工湿地”处理</w:t>
                  </w:r>
                  <w:r>
                    <w:rPr>
                      <w:rFonts w:hint="eastAsia" w:eastAsiaTheme="minorEastAsia"/>
                      <w:szCs w:val="21"/>
                    </w:rPr>
                    <w:t>达标后，用于山林灌溉。初期雨水经收集隔油、沉淀后排出厂外。</w:t>
                  </w:r>
                </w:p>
              </w:tc>
              <w:tc>
                <w:tcPr>
                  <w:tcW w:w="1243" w:type="pct"/>
                  <w:vAlign w:val="center"/>
                </w:tcPr>
                <w:p w14:paraId="275FEA1A">
                  <w:pPr>
                    <w:pStyle w:val="50"/>
                    <w:adjustRightInd w:val="0"/>
                    <w:snapToGrid w:val="0"/>
                    <w:spacing w:line="240" w:lineRule="auto"/>
                    <w:jc w:val="both"/>
                    <w:rPr>
                      <w:szCs w:val="21"/>
                    </w:rPr>
                  </w:pPr>
                  <w:r>
                    <w:rPr>
                      <w:rFonts w:hint="eastAsia"/>
                      <w:szCs w:val="21"/>
                    </w:rPr>
                    <w:t>采用雨污分流制排放。全厂工艺废水、锅炉</w:t>
                  </w:r>
                  <w:r>
                    <w:rPr>
                      <w:szCs w:val="21"/>
                    </w:rPr>
                    <w:t>排污水及软水制备浓水</w:t>
                  </w:r>
                  <w:r>
                    <w:rPr>
                      <w:rFonts w:hint="eastAsia"/>
                      <w:szCs w:val="21"/>
                    </w:rPr>
                    <w:t>全部回用于现有项目蒸炒</w:t>
                  </w:r>
                  <w:r>
                    <w:rPr>
                      <w:szCs w:val="21"/>
                    </w:rPr>
                    <w:t>，</w:t>
                  </w:r>
                  <w:r>
                    <w:rPr>
                      <w:rFonts w:eastAsiaTheme="minorEastAsia"/>
                      <w:szCs w:val="21"/>
                    </w:rPr>
                    <w:t>生活污水</w:t>
                  </w:r>
                  <w:r>
                    <w:rPr>
                      <w:rFonts w:hint="eastAsia" w:eastAsiaTheme="minorEastAsia"/>
                      <w:szCs w:val="21"/>
                    </w:rPr>
                    <w:t>依托现有项目</w:t>
                  </w:r>
                  <w:r>
                    <w:rPr>
                      <w:rFonts w:hint="eastAsia" w:eastAsiaTheme="minorEastAsia"/>
                    </w:rPr>
                    <w:t>“微生物处理</w:t>
                  </w:r>
                  <w:r>
                    <w:rPr>
                      <w:rFonts w:eastAsiaTheme="minorEastAsia"/>
                    </w:rPr>
                    <w:t>+</w:t>
                  </w:r>
                  <w:r>
                    <w:rPr>
                      <w:rFonts w:hint="eastAsia" w:eastAsiaTheme="minorEastAsia"/>
                    </w:rPr>
                    <w:t>人工湿地”处理</w:t>
                  </w:r>
                  <w:r>
                    <w:rPr>
                      <w:rFonts w:hint="eastAsia" w:eastAsiaTheme="minorEastAsia"/>
                      <w:szCs w:val="21"/>
                    </w:rPr>
                    <w:t>达标后，用于山林灌溉。初期雨水经收集隔油、沉淀后排出厂外。</w:t>
                  </w:r>
                </w:p>
              </w:tc>
            </w:tr>
            <w:tr w14:paraId="4D515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33E4E3AD">
                  <w:pPr>
                    <w:pStyle w:val="50"/>
                    <w:adjustRightInd w:val="0"/>
                    <w:snapToGrid w:val="0"/>
                    <w:spacing w:line="240" w:lineRule="auto"/>
                    <w:rPr>
                      <w:rFonts w:eastAsiaTheme="minorEastAsia"/>
                      <w:szCs w:val="21"/>
                    </w:rPr>
                  </w:pPr>
                </w:p>
              </w:tc>
              <w:tc>
                <w:tcPr>
                  <w:tcW w:w="410" w:type="pct"/>
                  <w:vAlign w:val="center"/>
                </w:tcPr>
                <w:p w14:paraId="6EFF421B">
                  <w:pPr>
                    <w:pStyle w:val="50"/>
                    <w:adjustRightInd w:val="0"/>
                    <w:snapToGrid w:val="0"/>
                    <w:spacing w:line="240" w:lineRule="auto"/>
                    <w:rPr>
                      <w:rFonts w:eastAsiaTheme="minorEastAsia"/>
                      <w:szCs w:val="21"/>
                    </w:rPr>
                  </w:pPr>
                  <w:r>
                    <w:rPr>
                      <w:rFonts w:hint="eastAsia" w:eastAsiaTheme="minorEastAsia"/>
                      <w:szCs w:val="21"/>
                    </w:rPr>
                    <w:t>消防</w:t>
                  </w:r>
                </w:p>
              </w:tc>
              <w:tc>
                <w:tcPr>
                  <w:tcW w:w="1474" w:type="pct"/>
                  <w:vAlign w:val="center"/>
                </w:tcPr>
                <w:p w14:paraId="5197F2FA">
                  <w:pPr>
                    <w:pStyle w:val="50"/>
                    <w:adjustRightInd w:val="0"/>
                    <w:snapToGrid w:val="0"/>
                    <w:spacing w:line="240" w:lineRule="auto"/>
                    <w:jc w:val="both"/>
                    <w:rPr>
                      <w:rFonts w:eastAsiaTheme="minorEastAsia"/>
                      <w:szCs w:val="21"/>
                    </w:rPr>
                  </w:pPr>
                  <w:r>
                    <w:rPr>
                      <w:rFonts w:eastAsiaTheme="minorEastAsia"/>
                      <w:szCs w:val="21"/>
                    </w:rPr>
                    <w:t>室内</w:t>
                  </w:r>
                  <w:r>
                    <w:rPr>
                      <w:rFonts w:hint="eastAsia" w:eastAsiaTheme="minorEastAsia"/>
                      <w:szCs w:val="21"/>
                    </w:rPr>
                    <w:t>、外消防系统</w:t>
                  </w:r>
                </w:p>
              </w:tc>
              <w:tc>
                <w:tcPr>
                  <w:tcW w:w="1474" w:type="pct"/>
                  <w:vAlign w:val="center"/>
                </w:tcPr>
                <w:p w14:paraId="23DC3C1E">
                  <w:pPr>
                    <w:pStyle w:val="50"/>
                    <w:adjustRightInd w:val="0"/>
                    <w:snapToGrid w:val="0"/>
                    <w:spacing w:line="240" w:lineRule="auto"/>
                    <w:jc w:val="both"/>
                    <w:rPr>
                      <w:rFonts w:eastAsiaTheme="minorEastAsia"/>
                      <w:szCs w:val="21"/>
                    </w:rPr>
                  </w:pPr>
                  <w:r>
                    <w:rPr>
                      <w:rFonts w:eastAsiaTheme="minorEastAsia"/>
                      <w:szCs w:val="21"/>
                    </w:rPr>
                    <w:t>室内</w:t>
                  </w:r>
                  <w:r>
                    <w:rPr>
                      <w:rFonts w:hint="eastAsia" w:eastAsiaTheme="minorEastAsia"/>
                      <w:szCs w:val="21"/>
                    </w:rPr>
                    <w:t>、外消防系统</w:t>
                  </w:r>
                </w:p>
              </w:tc>
              <w:tc>
                <w:tcPr>
                  <w:tcW w:w="1243" w:type="pct"/>
                  <w:vAlign w:val="center"/>
                </w:tcPr>
                <w:p w14:paraId="378D3942">
                  <w:pPr>
                    <w:pStyle w:val="50"/>
                    <w:adjustRightInd w:val="0"/>
                    <w:snapToGrid w:val="0"/>
                    <w:spacing w:line="240" w:lineRule="auto"/>
                    <w:jc w:val="both"/>
                    <w:rPr>
                      <w:rFonts w:eastAsiaTheme="minorEastAsia"/>
                      <w:szCs w:val="21"/>
                    </w:rPr>
                  </w:pPr>
                  <w:r>
                    <w:rPr>
                      <w:rFonts w:eastAsiaTheme="minorEastAsia"/>
                      <w:szCs w:val="21"/>
                    </w:rPr>
                    <w:t>室内</w:t>
                  </w:r>
                  <w:r>
                    <w:rPr>
                      <w:rFonts w:hint="eastAsia" w:eastAsiaTheme="minorEastAsia"/>
                      <w:szCs w:val="21"/>
                    </w:rPr>
                    <w:t>、外消防系统</w:t>
                  </w:r>
                </w:p>
              </w:tc>
            </w:tr>
            <w:tr w14:paraId="55F26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restart"/>
                  <w:vAlign w:val="center"/>
                </w:tcPr>
                <w:p w14:paraId="73DF880B">
                  <w:pPr>
                    <w:pStyle w:val="50"/>
                    <w:adjustRightInd w:val="0"/>
                    <w:snapToGrid w:val="0"/>
                    <w:spacing w:line="240" w:lineRule="auto"/>
                    <w:rPr>
                      <w:rFonts w:eastAsiaTheme="minorEastAsia"/>
                      <w:szCs w:val="21"/>
                    </w:rPr>
                  </w:pPr>
                  <w:r>
                    <w:rPr>
                      <w:rFonts w:eastAsiaTheme="minorEastAsia"/>
                      <w:szCs w:val="21"/>
                    </w:rPr>
                    <w:t>环保工程</w:t>
                  </w:r>
                </w:p>
              </w:tc>
              <w:tc>
                <w:tcPr>
                  <w:tcW w:w="410" w:type="pct"/>
                  <w:vAlign w:val="center"/>
                </w:tcPr>
                <w:p w14:paraId="61730CA0">
                  <w:pPr>
                    <w:pStyle w:val="50"/>
                    <w:adjustRightInd w:val="0"/>
                    <w:snapToGrid w:val="0"/>
                    <w:spacing w:line="240" w:lineRule="auto"/>
                    <w:rPr>
                      <w:rFonts w:eastAsiaTheme="minorEastAsia"/>
                      <w:bCs/>
                      <w:szCs w:val="21"/>
                    </w:rPr>
                  </w:pPr>
                  <w:r>
                    <w:rPr>
                      <w:rFonts w:eastAsiaTheme="minorEastAsia"/>
                      <w:bCs/>
                      <w:szCs w:val="21"/>
                    </w:rPr>
                    <w:t>废水处理措施</w:t>
                  </w:r>
                </w:p>
              </w:tc>
              <w:tc>
                <w:tcPr>
                  <w:tcW w:w="1474" w:type="pct"/>
                  <w:vAlign w:val="center"/>
                </w:tcPr>
                <w:p w14:paraId="15B82F11">
                  <w:pPr>
                    <w:pStyle w:val="50"/>
                    <w:adjustRightInd w:val="0"/>
                    <w:snapToGrid w:val="0"/>
                    <w:spacing w:line="240" w:lineRule="auto"/>
                    <w:jc w:val="both"/>
                    <w:rPr>
                      <w:rFonts w:eastAsiaTheme="minorEastAsia"/>
                      <w:bCs/>
                      <w:szCs w:val="21"/>
                    </w:rPr>
                  </w:pPr>
                  <w:r>
                    <w:rPr>
                      <w:rFonts w:eastAsiaTheme="minorEastAsia"/>
                      <w:szCs w:val="21"/>
                    </w:rPr>
                    <w:t>生活污水</w:t>
                  </w:r>
                  <w:r>
                    <w:rPr>
                      <w:rFonts w:hint="eastAsia" w:eastAsiaTheme="minorEastAsia"/>
                    </w:rPr>
                    <w:t>经“微生物处理</w:t>
                  </w:r>
                  <w:r>
                    <w:rPr>
                      <w:rFonts w:eastAsiaTheme="minorEastAsia"/>
                    </w:rPr>
                    <w:t>+</w:t>
                  </w:r>
                  <w:r>
                    <w:rPr>
                      <w:rFonts w:hint="eastAsia" w:eastAsiaTheme="minorEastAsia"/>
                    </w:rPr>
                    <w:t>人工湿地”处理</w:t>
                  </w:r>
                  <w:r>
                    <w:rPr>
                      <w:rFonts w:hint="eastAsia" w:eastAsiaTheme="minorEastAsia"/>
                      <w:szCs w:val="21"/>
                    </w:rPr>
                    <w:t>达标后，用于山林灌溉。</w:t>
                  </w:r>
                </w:p>
              </w:tc>
              <w:tc>
                <w:tcPr>
                  <w:tcW w:w="1474" w:type="pct"/>
                  <w:vAlign w:val="center"/>
                </w:tcPr>
                <w:p w14:paraId="06C8E354">
                  <w:pPr>
                    <w:pStyle w:val="50"/>
                    <w:adjustRightInd w:val="0"/>
                    <w:snapToGrid w:val="0"/>
                    <w:spacing w:line="240" w:lineRule="auto"/>
                    <w:jc w:val="both"/>
                    <w:rPr>
                      <w:rFonts w:eastAsiaTheme="minorEastAsia"/>
                      <w:szCs w:val="21"/>
                    </w:rPr>
                  </w:pPr>
                  <w:r>
                    <w:rPr>
                      <w:rFonts w:eastAsiaTheme="minorEastAsia"/>
                      <w:szCs w:val="21"/>
                    </w:rPr>
                    <w:t>生活污水经</w:t>
                  </w:r>
                  <w:r>
                    <w:rPr>
                      <w:rFonts w:hint="eastAsia" w:eastAsiaTheme="minorEastAsia"/>
                      <w:szCs w:val="21"/>
                    </w:rPr>
                    <w:t>依托现有处理设施处理。</w:t>
                  </w:r>
                </w:p>
              </w:tc>
              <w:tc>
                <w:tcPr>
                  <w:tcW w:w="1243" w:type="pct"/>
                  <w:vAlign w:val="center"/>
                </w:tcPr>
                <w:p w14:paraId="3BB85EFC">
                  <w:pPr>
                    <w:pStyle w:val="50"/>
                    <w:adjustRightInd w:val="0"/>
                    <w:snapToGrid w:val="0"/>
                    <w:spacing w:line="240" w:lineRule="auto"/>
                    <w:jc w:val="both"/>
                    <w:rPr>
                      <w:rFonts w:eastAsiaTheme="minorEastAsia"/>
                      <w:szCs w:val="21"/>
                    </w:rPr>
                  </w:pPr>
                  <w:r>
                    <w:rPr>
                      <w:rFonts w:eastAsiaTheme="minorEastAsia"/>
                      <w:szCs w:val="21"/>
                    </w:rPr>
                    <w:t>生活污水</w:t>
                  </w:r>
                  <w:r>
                    <w:rPr>
                      <w:rFonts w:hint="eastAsia" w:eastAsiaTheme="minorEastAsia"/>
                    </w:rPr>
                    <w:t>经“微生物处理</w:t>
                  </w:r>
                  <w:r>
                    <w:rPr>
                      <w:rFonts w:eastAsiaTheme="minorEastAsia"/>
                    </w:rPr>
                    <w:t>+</w:t>
                  </w:r>
                  <w:r>
                    <w:rPr>
                      <w:rFonts w:hint="eastAsia" w:eastAsiaTheme="minorEastAsia"/>
                    </w:rPr>
                    <w:t>人工湿地”处理</w:t>
                  </w:r>
                  <w:r>
                    <w:rPr>
                      <w:rFonts w:hint="eastAsia" w:eastAsiaTheme="minorEastAsia"/>
                      <w:szCs w:val="21"/>
                    </w:rPr>
                    <w:t>达标后，用于山林灌溉。</w:t>
                  </w:r>
                </w:p>
              </w:tc>
            </w:tr>
            <w:tr w14:paraId="6C226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1D4060FE">
                  <w:pPr>
                    <w:pStyle w:val="50"/>
                    <w:adjustRightInd w:val="0"/>
                    <w:snapToGrid w:val="0"/>
                    <w:spacing w:line="240" w:lineRule="auto"/>
                    <w:rPr>
                      <w:rFonts w:eastAsiaTheme="minorEastAsia"/>
                      <w:szCs w:val="21"/>
                    </w:rPr>
                  </w:pPr>
                </w:p>
              </w:tc>
              <w:tc>
                <w:tcPr>
                  <w:tcW w:w="410" w:type="pct"/>
                  <w:vAlign w:val="center"/>
                </w:tcPr>
                <w:p w14:paraId="49D5BFEC">
                  <w:pPr>
                    <w:pStyle w:val="50"/>
                    <w:adjustRightInd w:val="0"/>
                    <w:snapToGrid w:val="0"/>
                    <w:spacing w:line="240" w:lineRule="auto"/>
                    <w:rPr>
                      <w:rFonts w:eastAsiaTheme="minorEastAsia"/>
                      <w:szCs w:val="21"/>
                    </w:rPr>
                  </w:pPr>
                  <w:r>
                    <w:rPr>
                      <w:rFonts w:eastAsiaTheme="minorEastAsia"/>
                      <w:szCs w:val="21"/>
                    </w:rPr>
                    <w:t>废气处理措施</w:t>
                  </w:r>
                </w:p>
              </w:tc>
              <w:tc>
                <w:tcPr>
                  <w:tcW w:w="1474" w:type="pct"/>
                  <w:vAlign w:val="center"/>
                </w:tcPr>
                <w:p w14:paraId="72D7461D">
                  <w:pPr>
                    <w:pStyle w:val="50"/>
                    <w:adjustRightInd w:val="0"/>
                    <w:snapToGrid w:val="0"/>
                    <w:spacing w:line="240" w:lineRule="auto"/>
                    <w:jc w:val="both"/>
                  </w:pPr>
                  <w:r>
                    <w:rPr>
                      <w:rFonts w:hint="eastAsia"/>
                    </w:rPr>
                    <w:t>现有项目锅炉废气经旋风除尘器</w:t>
                  </w:r>
                  <w:r>
                    <w:t>+</w:t>
                  </w:r>
                  <w:r>
                    <w:rPr>
                      <w:rFonts w:hint="eastAsia"/>
                    </w:rPr>
                    <w:t>袋式除尘器</w:t>
                  </w:r>
                  <w:r>
                    <w:t>+</w:t>
                  </w:r>
                  <w:r>
                    <w:rPr>
                      <w:rFonts w:hint="eastAsia"/>
                    </w:rPr>
                    <w:t>水膜除尘器+</w:t>
                  </w:r>
                  <w:r>
                    <w:t>SNCR</w:t>
                  </w:r>
                  <w:r>
                    <w:rPr>
                      <w:rFonts w:hint="eastAsia"/>
                    </w:rPr>
                    <w:t>处理设施处理达标后通过1根</w:t>
                  </w:r>
                  <w:r>
                    <w:rPr>
                      <w:rFonts w:hint="eastAsia" w:eastAsiaTheme="minorEastAsia"/>
                      <w:bCs/>
                      <w:szCs w:val="21"/>
                    </w:rPr>
                    <w:t>15</w:t>
                  </w:r>
                  <w:r>
                    <w:rPr>
                      <w:rFonts w:eastAsiaTheme="minorEastAsia"/>
                      <w:bCs/>
                      <w:szCs w:val="21"/>
                    </w:rPr>
                    <w:t>m</w:t>
                  </w:r>
                  <w:r>
                    <w:rPr>
                      <w:rFonts w:hint="eastAsia" w:eastAsiaTheme="minorEastAsia"/>
                      <w:bCs/>
                      <w:szCs w:val="21"/>
                    </w:rPr>
                    <w:t>高</w:t>
                  </w:r>
                  <w:r>
                    <w:rPr>
                      <w:rFonts w:eastAsiaTheme="minorEastAsia"/>
                      <w:bCs/>
                      <w:szCs w:val="21"/>
                    </w:rPr>
                    <w:t>排气筒</w:t>
                  </w:r>
                  <w:r>
                    <w:rPr>
                      <w:rFonts w:hint="eastAsia" w:eastAsiaTheme="minorEastAsia"/>
                      <w:bCs/>
                      <w:szCs w:val="21"/>
                    </w:rPr>
                    <w:t>DA001排放；</w:t>
                  </w:r>
                </w:p>
                <w:p w14:paraId="28309DCC">
                  <w:pPr>
                    <w:pStyle w:val="50"/>
                    <w:adjustRightInd w:val="0"/>
                    <w:snapToGrid w:val="0"/>
                    <w:spacing w:line="240" w:lineRule="auto"/>
                    <w:jc w:val="both"/>
                    <w:rPr>
                      <w:rFonts w:eastAsiaTheme="minorEastAsia"/>
                      <w:szCs w:val="21"/>
                    </w:rPr>
                  </w:pPr>
                  <w:r>
                    <w:rPr>
                      <w:rFonts w:hint="eastAsia"/>
                    </w:rPr>
                    <w:t>原料暂存、蒸炒废气经</w:t>
                  </w:r>
                  <w:r>
                    <w:rPr>
                      <w:rFonts w:hint="eastAsia" w:eastAsiaTheme="minorEastAsia"/>
                      <w:bCs/>
                      <w:szCs w:val="21"/>
                    </w:rPr>
                    <w:t>1</w:t>
                  </w:r>
                  <w:r>
                    <w:rPr>
                      <w:rFonts w:eastAsiaTheme="minorEastAsia"/>
                      <w:bCs/>
                      <w:szCs w:val="21"/>
                    </w:rPr>
                    <w:t>套</w:t>
                  </w:r>
                  <w:r>
                    <w:rPr>
                      <w:rFonts w:hint="eastAsia" w:eastAsiaTheme="minorEastAsia"/>
                      <w:bCs/>
                    </w:rPr>
                    <w:t>活性炭</w:t>
                  </w:r>
                  <w:r>
                    <w:rPr>
                      <w:rFonts w:hint="eastAsia" w:eastAsiaTheme="minorEastAsia"/>
                      <w:bCs/>
                      <w:szCs w:val="21"/>
                    </w:rPr>
                    <w:t>吸附</w:t>
                  </w:r>
                  <w:r>
                    <w:rPr>
                      <w:rFonts w:eastAsiaTheme="minorEastAsia"/>
                      <w:bCs/>
                      <w:szCs w:val="21"/>
                    </w:rPr>
                    <w:t>装置</w:t>
                  </w:r>
                  <w:r>
                    <w:rPr>
                      <w:rFonts w:hint="eastAsia" w:eastAsiaTheme="minorEastAsia"/>
                      <w:bCs/>
                      <w:szCs w:val="21"/>
                    </w:rPr>
                    <w:t>处理达标后通过1根15</w:t>
                  </w:r>
                  <w:r>
                    <w:rPr>
                      <w:rFonts w:eastAsiaTheme="minorEastAsia"/>
                      <w:bCs/>
                      <w:szCs w:val="21"/>
                    </w:rPr>
                    <w:t>m</w:t>
                  </w:r>
                  <w:r>
                    <w:rPr>
                      <w:rFonts w:hint="eastAsia" w:eastAsiaTheme="minorEastAsia"/>
                      <w:bCs/>
                      <w:szCs w:val="21"/>
                    </w:rPr>
                    <w:t>高</w:t>
                  </w:r>
                  <w:r>
                    <w:rPr>
                      <w:rFonts w:eastAsiaTheme="minorEastAsia"/>
                      <w:bCs/>
                      <w:szCs w:val="21"/>
                    </w:rPr>
                    <w:t>排气筒</w:t>
                  </w:r>
                  <w:r>
                    <w:rPr>
                      <w:rFonts w:hint="eastAsia" w:eastAsiaTheme="minorEastAsia"/>
                      <w:bCs/>
                      <w:szCs w:val="21"/>
                    </w:rPr>
                    <w:t>DA002排放。</w:t>
                  </w:r>
                </w:p>
              </w:tc>
              <w:tc>
                <w:tcPr>
                  <w:tcW w:w="1474" w:type="pct"/>
                  <w:vAlign w:val="center"/>
                </w:tcPr>
                <w:p w14:paraId="3538FA0F">
                  <w:pPr>
                    <w:pStyle w:val="50"/>
                    <w:adjustRightInd w:val="0"/>
                    <w:snapToGrid w:val="0"/>
                    <w:spacing w:line="240" w:lineRule="auto"/>
                    <w:jc w:val="both"/>
                  </w:pPr>
                  <w:r>
                    <w:rPr>
                      <w:rFonts w:hint="eastAsia"/>
                    </w:rPr>
                    <w:t>新建锅炉废气</w:t>
                  </w:r>
                  <w:r>
                    <w:rPr>
                      <w:rFonts w:hint="eastAsia" w:eastAsiaTheme="minorEastAsia"/>
                      <w:bCs/>
                      <w:szCs w:val="21"/>
                    </w:rPr>
                    <w:t>锅炉废气经</w:t>
                  </w:r>
                  <w:r>
                    <w:rPr>
                      <w:rFonts w:eastAsiaTheme="minorEastAsia"/>
                      <w:bCs/>
                      <w:szCs w:val="21"/>
                    </w:rPr>
                    <w:t>低氮燃烧</w:t>
                  </w:r>
                  <w:r>
                    <w:rPr>
                      <w:rFonts w:hint="eastAsia" w:eastAsiaTheme="minorEastAsia"/>
                      <w:bCs/>
                      <w:szCs w:val="21"/>
                    </w:rPr>
                    <w:t>+袋式除尘器+</w:t>
                  </w:r>
                  <w:r>
                    <w:rPr>
                      <w:rFonts w:eastAsiaTheme="minorEastAsia"/>
                      <w:bCs/>
                      <w:szCs w:val="21"/>
                    </w:rPr>
                    <w:t>SCR</w:t>
                  </w:r>
                  <w:r>
                    <w:rPr>
                      <w:rFonts w:hint="eastAsia" w:eastAsiaTheme="minorEastAsia"/>
                      <w:bCs/>
                      <w:szCs w:val="21"/>
                    </w:rPr>
                    <w:t>装置处理达标后通过1根15m米高排气筒DA001排放；原料暂存、造粒、冷凝过程产生的废气经1</w:t>
                  </w:r>
                  <w:r>
                    <w:rPr>
                      <w:rFonts w:eastAsiaTheme="minorEastAsia"/>
                      <w:bCs/>
                      <w:szCs w:val="21"/>
                    </w:rPr>
                    <w:t>套</w:t>
                  </w:r>
                  <w:r>
                    <w:rPr>
                      <w:rFonts w:hint="eastAsia" w:eastAsiaTheme="minorEastAsia"/>
                      <w:bCs/>
                    </w:rPr>
                    <w:t>活性炭</w:t>
                  </w:r>
                  <w:r>
                    <w:rPr>
                      <w:rFonts w:hint="eastAsia" w:eastAsiaTheme="minorEastAsia"/>
                      <w:bCs/>
                      <w:szCs w:val="21"/>
                    </w:rPr>
                    <w:t>吸附</w:t>
                  </w:r>
                  <w:r>
                    <w:rPr>
                      <w:rFonts w:eastAsiaTheme="minorEastAsia"/>
                      <w:bCs/>
                      <w:szCs w:val="21"/>
                    </w:rPr>
                    <w:t>装置</w:t>
                  </w:r>
                  <w:r>
                    <w:rPr>
                      <w:rFonts w:hint="eastAsia" w:eastAsiaTheme="minorEastAsia"/>
                      <w:bCs/>
                      <w:szCs w:val="21"/>
                    </w:rPr>
                    <w:t>处理达标后通过1根15</w:t>
                  </w:r>
                  <w:r>
                    <w:rPr>
                      <w:rFonts w:eastAsiaTheme="minorEastAsia"/>
                      <w:bCs/>
                      <w:szCs w:val="21"/>
                    </w:rPr>
                    <w:t>m</w:t>
                  </w:r>
                  <w:r>
                    <w:rPr>
                      <w:rFonts w:hint="eastAsia" w:eastAsiaTheme="minorEastAsia"/>
                      <w:bCs/>
                      <w:szCs w:val="21"/>
                    </w:rPr>
                    <w:t>高</w:t>
                  </w:r>
                  <w:r>
                    <w:rPr>
                      <w:rFonts w:eastAsiaTheme="minorEastAsia"/>
                      <w:bCs/>
                      <w:szCs w:val="21"/>
                    </w:rPr>
                    <w:t>排气筒</w:t>
                  </w:r>
                  <w:r>
                    <w:rPr>
                      <w:rFonts w:hint="eastAsia" w:eastAsiaTheme="minorEastAsia"/>
                      <w:bCs/>
                      <w:szCs w:val="21"/>
                    </w:rPr>
                    <w:t>DA003排放。</w:t>
                  </w:r>
                </w:p>
              </w:tc>
              <w:tc>
                <w:tcPr>
                  <w:tcW w:w="1243" w:type="pct"/>
                  <w:vAlign w:val="center"/>
                </w:tcPr>
                <w:p w14:paraId="22172899">
                  <w:pPr>
                    <w:pStyle w:val="50"/>
                    <w:adjustRightInd w:val="0"/>
                    <w:snapToGrid w:val="0"/>
                    <w:spacing w:line="240" w:lineRule="auto"/>
                    <w:jc w:val="both"/>
                  </w:pPr>
                  <w:r>
                    <w:rPr>
                      <w:rFonts w:hint="eastAsia"/>
                    </w:rPr>
                    <w:t>锅炉废气</w:t>
                  </w:r>
                  <w:r>
                    <w:rPr>
                      <w:rFonts w:hint="eastAsia" w:eastAsiaTheme="minorEastAsia"/>
                      <w:bCs/>
                      <w:szCs w:val="21"/>
                    </w:rPr>
                    <w:t>锅炉废气经</w:t>
                  </w:r>
                  <w:r>
                    <w:rPr>
                      <w:rFonts w:eastAsiaTheme="minorEastAsia"/>
                      <w:bCs/>
                      <w:szCs w:val="21"/>
                    </w:rPr>
                    <w:t>低氮燃烧</w:t>
                  </w:r>
                  <w:r>
                    <w:rPr>
                      <w:rFonts w:hint="eastAsia" w:eastAsiaTheme="minorEastAsia"/>
                      <w:bCs/>
                      <w:szCs w:val="21"/>
                    </w:rPr>
                    <w:t>+袋式除尘器+</w:t>
                  </w:r>
                  <w:r>
                    <w:rPr>
                      <w:rFonts w:eastAsiaTheme="minorEastAsia"/>
                      <w:bCs/>
                      <w:szCs w:val="21"/>
                    </w:rPr>
                    <w:t>SCR</w:t>
                  </w:r>
                  <w:r>
                    <w:rPr>
                      <w:rFonts w:hint="eastAsia" w:eastAsiaTheme="minorEastAsia"/>
                      <w:bCs/>
                      <w:szCs w:val="21"/>
                    </w:rPr>
                    <w:t>装置处理达标后通过1根15m米高排气筒DA001排放；原料暂存</w:t>
                  </w:r>
                  <w:r>
                    <w:rPr>
                      <w:rFonts w:hint="eastAsia"/>
                    </w:rPr>
                    <w:t>蒸炒废气经</w:t>
                  </w:r>
                  <w:r>
                    <w:rPr>
                      <w:rFonts w:hint="eastAsia" w:eastAsiaTheme="minorEastAsia"/>
                      <w:bCs/>
                      <w:szCs w:val="21"/>
                    </w:rPr>
                    <w:t>1</w:t>
                  </w:r>
                  <w:r>
                    <w:rPr>
                      <w:rFonts w:eastAsiaTheme="minorEastAsia"/>
                      <w:bCs/>
                      <w:szCs w:val="21"/>
                    </w:rPr>
                    <w:t>套</w:t>
                  </w:r>
                  <w:r>
                    <w:rPr>
                      <w:rFonts w:hint="eastAsia" w:eastAsiaTheme="minorEastAsia"/>
                      <w:bCs/>
                    </w:rPr>
                    <w:t>活性炭</w:t>
                  </w:r>
                  <w:r>
                    <w:rPr>
                      <w:rFonts w:hint="eastAsia" w:eastAsiaTheme="minorEastAsia"/>
                      <w:bCs/>
                      <w:szCs w:val="21"/>
                    </w:rPr>
                    <w:t>吸附</w:t>
                  </w:r>
                  <w:r>
                    <w:rPr>
                      <w:rFonts w:eastAsiaTheme="minorEastAsia"/>
                      <w:bCs/>
                      <w:szCs w:val="21"/>
                    </w:rPr>
                    <w:t>装置</w:t>
                  </w:r>
                  <w:r>
                    <w:rPr>
                      <w:rFonts w:hint="eastAsia" w:eastAsiaTheme="minorEastAsia"/>
                      <w:bCs/>
                      <w:szCs w:val="21"/>
                    </w:rPr>
                    <w:t>处理达标后通过1根15</w:t>
                  </w:r>
                  <w:r>
                    <w:rPr>
                      <w:rFonts w:eastAsiaTheme="minorEastAsia"/>
                      <w:bCs/>
                      <w:szCs w:val="21"/>
                    </w:rPr>
                    <w:t>m</w:t>
                  </w:r>
                  <w:r>
                    <w:rPr>
                      <w:rFonts w:hint="eastAsia" w:eastAsiaTheme="minorEastAsia"/>
                      <w:bCs/>
                      <w:szCs w:val="21"/>
                    </w:rPr>
                    <w:t>高</w:t>
                  </w:r>
                  <w:r>
                    <w:rPr>
                      <w:rFonts w:eastAsiaTheme="minorEastAsia"/>
                      <w:bCs/>
                      <w:szCs w:val="21"/>
                    </w:rPr>
                    <w:t>排气筒</w:t>
                  </w:r>
                  <w:r>
                    <w:rPr>
                      <w:rFonts w:hint="eastAsia" w:eastAsiaTheme="minorEastAsia"/>
                      <w:bCs/>
                      <w:szCs w:val="21"/>
                    </w:rPr>
                    <w:t>DA002排放原料暂存、造粒、冷凝过程产生的废气经1</w:t>
                  </w:r>
                  <w:r>
                    <w:rPr>
                      <w:rFonts w:eastAsiaTheme="minorEastAsia"/>
                      <w:bCs/>
                      <w:szCs w:val="21"/>
                    </w:rPr>
                    <w:t>套</w:t>
                  </w:r>
                  <w:r>
                    <w:rPr>
                      <w:rFonts w:hint="eastAsia" w:eastAsiaTheme="minorEastAsia"/>
                      <w:bCs/>
                    </w:rPr>
                    <w:t>活性炭</w:t>
                  </w:r>
                  <w:r>
                    <w:rPr>
                      <w:rFonts w:hint="eastAsia" w:eastAsiaTheme="minorEastAsia"/>
                      <w:bCs/>
                      <w:szCs w:val="21"/>
                    </w:rPr>
                    <w:t>吸附</w:t>
                  </w:r>
                  <w:r>
                    <w:rPr>
                      <w:rFonts w:eastAsiaTheme="minorEastAsia"/>
                      <w:bCs/>
                      <w:szCs w:val="21"/>
                    </w:rPr>
                    <w:t>装置</w:t>
                  </w:r>
                  <w:r>
                    <w:rPr>
                      <w:rFonts w:hint="eastAsia" w:eastAsiaTheme="minorEastAsia"/>
                      <w:bCs/>
                      <w:szCs w:val="21"/>
                    </w:rPr>
                    <w:t>处理达标后通过1根15</w:t>
                  </w:r>
                  <w:r>
                    <w:rPr>
                      <w:rFonts w:eastAsiaTheme="minorEastAsia"/>
                      <w:bCs/>
                      <w:szCs w:val="21"/>
                    </w:rPr>
                    <w:t>m</w:t>
                  </w:r>
                  <w:r>
                    <w:rPr>
                      <w:rFonts w:hint="eastAsia" w:eastAsiaTheme="minorEastAsia"/>
                      <w:bCs/>
                      <w:szCs w:val="21"/>
                    </w:rPr>
                    <w:t>高</w:t>
                  </w:r>
                  <w:r>
                    <w:rPr>
                      <w:rFonts w:eastAsiaTheme="minorEastAsia"/>
                      <w:bCs/>
                      <w:szCs w:val="21"/>
                    </w:rPr>
                    <w:t>排气筒</w:t>
                  </w:r>
                  <w:r>
                    <w:rPr>
                      <w:rFonts w:hint="eastAsia" w:eastAsiaTheme="minorEastAsia"/>
                      <w:bCs/>
                      <w:szCs w:val="21"/>
                    </w:rPr>
                    <w:t>DA003排放。</w:t>
                  </w:r>
                </w:p>
              </w:tc>
            </w:tr>
            <w:tr w14:paraId="234E2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70DD9130">
                  <w:pPr>
                    <w:pStyle w:val="50"/>
                    <w:adjustRightInd w:val="0"/>
                    <w:snapToGrid w:val="0"/>
                    <w:spacing w:line="240" w:lineRule="auto"/>
                    <w:rPr>
                      <w:rFonts w:eastAsiaTheme="minorEastAsia"/>
                      <w:szCs w:val="21"/>
                    </w:rPr>
                  </w:pPr>
                </w:p>
              </w:tc>
              <w:tc>
                <w:tcPr>
                  <w:tcW w:w="410" w:type="pct"/>
                  <w:vAlign w:val="center"/>
                </w:tcPr>
                <w:p w14:paraId="7F17D2A6">
                  <w:pPr>
                    <w:pStyle w:val="50"/>
                    <w:adjustRightInd w:val="0"/>
                    <w:snapToGrid w:val="0"/>
                    <w:spacing w:line="240" w:lineRule="auto"/>
                    <w:rPr>
                      <w:rFonts w:eastAsiaTheme="minorEastAsia"/>
                      <w:szCs w:val="21"/>
                    </w:rPr>
                  </w:pPr>
                  <w:r>
                    <w:rPr>
                      <w:rFonts w:eastAsiaTheme="minorEastAsia"/>
                      <w:szCs w:val="21"/>
                    </w:rPr>
                    <w:t>噪声控制措施</w:t>
                  </w:r>
                </w:p>
              </w:tc>
              <w:tc>
                <w:tcPr>
                  <w:tcW w:w="1474" w:type="pct"/>
                  <w:vAlign w:val="center"/>
                </w:tcPr>
                <w:p w14:paraId="4FF92004">
                  <w:pPr>
                    <w:pStyle w:val="50"/>
                    <w:adjustRightInd w:val="0"/>
                    <w:snapToGrid w:val="0"/>
                    <w:spacing w:line="240" w:lineRule="auto"/>
                    <w:jc w:val="both"/>
                    <w:rPr>
                      <w:rFonts w:eastAsiaTheme="minorEastAsia"/>
                      <w:szCs w:val="21"/>
                    </w:rPr>
                  </w:pPr>
                  <w:r>
                    <w:rPr>
                      <w:rFonts w:eastAsiaTheme="minorEastAsia"/>
                      <w:szCs w:val="21"/>
                    </w:rPr>
                    <w:t>合理布局生产设备、选用低噪声设备并对设备进行隔音和减振等措施、合理安排生产时间</w:t>
                  </w:r>
                </w:p>
              </w:tc>
              <w:tc>
                <w:tcPr>
                  <w:tcW w:w="1474" w:type="pct"/>
                  <w:vAlign w:val="center"/>
                </w:tcPr>
                <w:p w14:paraId="0A598CEF">
                  <w:pPr>
                    <w:pStyle w:val="50"/>
                    <w:adjustRightInd w:val="0"/>
                    <w:snapToGrid w:val="0"/>
                    <w:spacing w:line="240" w:lineRule="auto"/>
                    <w:jc w:val="both"/>
                    <w:rPr>
                      <w:rFonts w:eastAsiaTheme="minorEastAsia"/>
                      <w:szCs w:val="21"/>
                    </w:rPr>
                  </w:pPr>
                  <w:r>
                    <w:rPr>
                      <w:rFonts w:eastAsiaTheme="minorEastAsia"/>
                      <w:szCs w:val="21"/>
                    </w:rPr>
                    <w:t>合理布局生产设备、选用低噪声设备并对设备进行隔音和减振等措施、合理安排生产时间</w:t>
                  </w:r>
                </w:p>
              </w:tc>
              <w:tc>
                <w:tcPr>
                  <w:tcW w:w="1243" w:type="pct"/>
                  <w:vAlign w:val="center"/>
                </w:tcPr>
                <w:p w14:paraId="771B44EB">
                  <w:pPr>
                    <w:pStyle w:val="50"/>
                    <w:adjustRightInd w:val="0"/>
                    <w:snapToGrid w:val="0"/>
                    <w:spacing w:line="240" w:lineRule="auto"/>
                    <w:jc w:val="both"/>
                    <w:rPr>
                      <w:rFonts w:eastAsiaTheme="minorEastAsia"/>
                      <w:szCs w:val="21"/>
                    </w:rPr>
                  </w:pPr>
                  <w:r>
                    <w:rPr>
                      <w:rFonts w:eastAsiaTheme="minorEastAsia"/>
                      <w:szCs w:val="21"/>
                    </w:rPr>
                    <w:t>合理布局生产设备、选用低噪声设备并对设备进行隔音和减振等措施、合理安排生产时间</w:t>
                  </w:r>
                  <w:r>
                    <w:rPr>
                      <w:rFonts w:hint="eastAsia" w:eastAsiaTheme="minorEastAsia"/>
                      <w:szCs w:val="21"/>
                    </w:rPr>
                    <w:t>。</w:t>
                  </w:r>
                </w:p>
              </w:tc>
            </w:tr>
            <w:tr w14:paraId="73103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50F12DA4">
                  <w:pPr>
                    <w:pStyle w:val="50"/>
                    <w:adjustRightInd w:val="0"/>
                    <w:snapToGrid w:val="0"/>
                    <w:spacing w:line="240" w:lineRule="auto"/>
                    <w:rPr>
                      <w:rFonts w:eastAsiaTheme="minorEastAsia"/>
                      <w:szCs w:val="21"/>
                    </w:rPr>
                  </w:pPr>
                </w:p>
              </w:tc>
              <w:tc>
                <w:tcPr>
                  <w:tcW w:w="410" w:type="pct"/>
                  <w:vAlign w:val="center"/>
                </w:tcPr>
                <w:p w14:paraId="4F70D960">
                  <w:pPr>
                    <w:pStyle w:val="50"/>
                    <w:adjustRightInd w:val="0"/>
                    <w:snapToGrid w:val="0"/>
                    <w:spacing w:line="240" w:lineRule="auto"/>
                    <w:rPr>
                      <w:rFonts w:eastAsiaTheme="minorEastAsia"/>
                      <w:szCs w:val="21"/>
                    </w:rPr>
                  </w:pPr>
                  <w:r>
                    <w:rPr>
                      <w:rFonts w:eastAsiaTheme="minorEastAsia"/>
                      <w:szCs w:val="21"/>
                    </w:rPr>
                    <w:t>固废处理措施</w:t>
                  </w:r>
                </w:p>
              </w:tc>
              <w:tc>
                <w:tcPr>
                  <w:tcW w:w="1474" w:type="pct"/>
                  <w:vAlign w:val="center"/>
                </w:tcPr>
                <w:p w14:paraId="7C467793">
                  <w:pPr>
                    <w:pStyle w:val="50"/>
                    <w:adjustRightInd w:val="0"/>
                    <w:snapToGrid w:val="0"/>
                    <w:spacing w:line="240" w:lineRule="auto"/>
                    <w:jc w:val="both"/>
                    <w:rPr>
                      <w:rFonts w:eastAsiaTheme="minorEastAsia"/>
                      <w:bCs/>
                      <w:szCs w:val="21"/>
                    </w:rPr>
                  </w:pPr>
                  <w:r>
                    <w:rPr>
                      <w:rFonts w:hint="eastAsia" w:eastAsiaTheme="minorEastAsia"/>
                      <w:bCs/>
                    </w:rPr>
                    <w:t>一般工业固体废物暂存区：占地面积约350m</w:t>
                  </w:r>
                  <w:r>
                    <w:rPr>
                      <w:rFonts w:hint="eastAsia" w:eastAsiaTheme="minorEastAsia"/>
                      <w:bCs/>
                      <w:vertAlign w:val="superscript"/>
                    </w:rPr>
                    <w:t>2</w:t>
                  </w:r>
                  <w:r>
                    <w:rPr>
                      <w:rFonts w:hint="eastAsia" w:eastAsiaTheme="minorEastAsia"/>
                      <w:bCs/>
                    </w:rPr>
                    <w:t>，位于</w:t>
                  </w:r>
                  <w:r>
                    <w:rPr>
                      <w:rFonts w:hint="eastAsia" w:eastAsiaTheme="minorEastAsia"/>
                      <w:szCs w:val="21"/>
                    </w:rPr>
                    <w:t>现有生产车间内东侧</w:t>
                  </w:r>
                  <w:r>
                    <w:rPr>
                      <w:rFonts w:hint="eastAsia" w:eastAsiaTheme="minorEastAsia"/>
                      <w:bCs/>
                    </w:rPr>
                    <w:t>，一般固体废物收</w:t>
                  </w:r>
                  <w:r>
                    <w:rPr>
                      <w:rFonts w:hint="eastAsia" w:eastAsiaTheme="minorEastAsia"/>
                      <w:bCs/>
                      <w:szCs w:val="21"/>
                    </w:rPr>
                    <w:t>集暂存后交给专业回收公司处理；</w:t>
                  </w:r>
                </w:p>
                <w:p w14:paraId="0C4CA3AD">
                  <w:pPr>
                    <w:adjustRightInd w:val="0"/>
                    <w:snapToGrid w:val="0"/>
                  </w:pPr>
                  <w:r>
                    <w:rPr>
                      <w:rFonts w:hint="eastAsia"/>
                    </w:rPr>
                    <w:t>危险废物暂存间：</w:t>
                  </w:r>
                  <w:r>
                    <w:rPr>
                      <w:rFonts w:hint="eastAsia" w:eastAsiaTheme="minorEastAsia"/>
                    </w:rPr>
                    <w:t>占地面积约20</w:t>
                  </w:r>
                  <w:r>
                    <w:rPr>
                      <w:rFonts w:eastAsiaTheme="minorEastAsia"/>
                    </w:rPr>
                    <w:t xml:space="preserve"> m</w:t>
                  </w:r>
                  <w:r>
                    <w:rPr>
                      <w:rFonts w:eastAsiaTheme="minorEastAsia"/>
                      <w:vertAlign w:val="superscript"/>
                    </w:rPr>
                    <w:t>2</w:t>
                  </w:r>
                  <w:r>
                    <w:rPr>
                      <w:rFonts w:hint="eastAsia" w:eastAsiaTheme="minorEastAsia"/>
                    </w:rPr>
                    <w:t>，</w:t>
                  </w:r>
                  <w:r>
                    <w:rPr>
                      <w:rFonts w:hint="eastAsia" w:eastAsiaTheme="minorEastAsia"/>
                      <w:bCs/>
                    </w:rPr>
                    <w:t>位于</w:t>
                  </w:r>
                  <w:r>
                    <w:rPr>
                      <w:rFonts w:hint="eastAsia" w:eastAsiaTheme="minorEastAsia"/>
                    </w:rPr>
                    <w:t>现有生产车间东面</w:t>
                  </w:r>
                  <w:r>
                    <w:rPr>
                      <w:rFonts w:hint="eastAsia" w:eastAsiaTheme="minorEastAsia"/>
                      <w:bCs/>
                    </w:rPr>
                    <w:t>，危险废物收集暂存后后交由有危险废物处理资质的单位处理；</w:t>
                  </w:r>
                </w:p>
                <w:p w14:paraId="4F00F6FD">
                  <w:pPr>
                    <w:pStyle w:val="50"/>
                    <w:adjustRightInd w:val="0"/>
                    <w:snapToGrid w:val="0"/>
                    <w:spacing w:line="240" w:lineRule="auto"/>
                    <w:jc w:val="both"/>
                    <w:rPr>
                      <w:rFonts w:eastAsiaTheme="minorEastAsia"/>
                      <w:szCs w:val="21"/>
                    </w:rPr>
                  </w:pPr>
                  <w:r>
                    <w:rPr>
                      <w:rFonts w:eastAsiaTheme="minorEastAsia"/>
                      <w:szCs w:val="21"/>
                    </w:rPr>
                    <w:t>生活垃圾：收集置于垃圾桶内，</w:t>
                  </w:r>
                  <w:r>
                    <w:rPr>
                      <w:rFonts w:hint="eastAsia" w:eastAsiaTheme="minorEastAsia"/>
                      <w:szCs w:val="21"/>
                    </w:rPr>
                    <w:t>由环卫部门清运处理。</w:t>
                  </w:r>
                </w:p>
              </w:tc>
              <w:tc>
                <w:tcPr>
                  <w:tcW w:w="1474" w:type="pct"/>
                  <w:vAlign w:val="center"/>
                </w:tcPr>
                <w:p w14:paraId="63FC1DDC">
                  <w:pPr>
                    <w:pStyle w:val="50"/>
                    <w:adjustRightInd w:val="0"/>
                    <w:snapToGrid w:val="0"/>
                    <w:spacing w:line="240" w:lineRule="auto"/>
                    <w:jc w:val="both"/>
                    <w:rPr>
                      <w:rFonts w:eastAsiaTheme="minorEastAsia"/>
                      <w:bCs/>
                      <w:szCs w:val="21"/>
                    </w:rPr>
                  </w:pPr>
                  <w:r>
                    <w:rPr>
                      <w:rFonts w:hint="eastAsia" w:eastAsiaTheme="minorEastAsia"/>
                      <w:bCs/>
                    </w:rPr>
                    <w:t>一般工业固体废物暂存区：占地面积约450m</w:t>
                  </w:r>
                  <w:r>
                    <w:rPr>
                      <w:rFonts w:hint="eastAsia" w:eastAsiaTheme="minorEastAsia"/>
                      <w:bCs/>
                      <w:vertAlign w:val="superscript"/>
                    </w:rPr>
                    <w:t>2</w:t>
                  </w:r>
                  <w:r>
                    <w:rPr>
                      <w:rFonts w:hint="eastAsia" w:eastAsiaTheme="minorEastAsia"/>
                      <w:bCs/>
                    </w:rPr>
                    <w:t>，位于本次</w:t>
                  </w:r>
                  <w:r>
                    <w:rPr>
                      <w:rFonts w:hint="eastAsia" w:eastAsiaTheme="minorEastAsia"/>
                      <w:szCs w:val="21"/>
                    </w:rPr>
                    <w:t>新建生产车间内东侧</w:t>
                  </w:r>
                  <w:r>
                    <w:rPr>
                      <w:rFonts w:hint="eastAsia" w:eastAsiaTheme="minorEastAsia"/>
                      <w:bCs/>
                    </w:rPr>
                    <w:t>，一般固体废物收</w:t>
                  </w:r>
                  <w:r>
                    <w:rPr>
                      <w:rFonts w:hint="eastAsia" w:eastAsiaTheme="minorEastAsia"/>
                      <w:bCs/>
                      <w:szCs w:val="21"/>
                    </w:rPr>
                    <w:t>集暂存后交给专业回收公司处理；</w:t>
                  </w:r>
                </w:p>
                <w:p w14:paraId="5A126ADF">
                  <w:pPr>
                    <w:adjustRightInd w:val="0"/>
                    <w:snapToGrid w:val="0"/>
                  </w:pPr>
                  <w:r>
                    <w:rPr>
                      <w:rFonts w:hint="eastAsia"/>
                    </w:rPr>
                    <w:t>危险废物依托现有危废暂存间</w:t>
                  </w:r>
                  <w:r>
                    <w:rPr>
                      <w:rFonts w:hint="eastAsia" w:eastAsiaTheme="minorEastAsia"/>
                      <w:bCs/>
                    </w:rPr>
                    <w:t>；</w:t>
                  </w:r>
                </w:p>
                <w:p w14:paraId="602C1972">
                  <w:pPr>
                    <w:pStyle w:val="50"/>
                    <w:adjustRightInd w:val="0"/>
                    <w:snapToGrid w:val="0"/>
                    <w:spacing w:line="240" w:lineRule="auto"/>
                    <w:jc w:val="both"/>
                    <w:rPr>
                      <w:rFonts w:eastAsiaTheme="minorEastAsia"/>
                      <w:bCs/>
                    </w:rPr>
                  </w:pPr>
                  <w:r>
                    <w:rPr>
                      <w:rFonts w:eastAsiaTheme="minorEastAsia"/>
                      <w:szCs w:val="21"/>
                    </w:rPr>
                    <w:t>生活垃圾：收集置于垃圾桶内，</w:t>
                  </w:r>
                  <w:r>
                    <w:rPr>
                      <w:rFonts w:hint="eastAsia" w:eastAsiaTheme="minorEastAsia"/>
                      <w:szCs w:val="21"/>
                    </w:rPr>
                    <w:t>由环卫部门清运处理。</w:t>
                  </w:r>
                </w:p>
              </w:tc>
              <w:tc>
                <w:tcPr>
                  <w:tcW w:w="1243" w:type="pct"/>
                  <w:vAlign w:val="center"/>
                </w:tcPr>
                <w:p w14:paraId="2F9D1055">
                  <w:pPr>
                    <w:pStyle w:val="50"/>
                    <w:adjustRightInd w:val="0"/>
                    <w:snapToGrid w:val="0"/>
                    <w:spacing w:line="240" w:lineRule="auto"/>
                    <w:jc w:val="both"/>
                    <w:rPr>
                      <w:rFonts w:eastAsiaTheme="minorEastAsia"/>
                      <w:bCs/>
                      <w:szCs w:val="21"/>
                    </w:rPr>
                  </w:pPr>
                  <w:r>
                    <w:rPr>
                      <w:rFonts w:hint="eastAsia" w:eastAsiaTheme="minorEastAsia"/>
                      <w:bCs/>
                    </w:rPr>
                    <w:t>共2处一般工业固体废物暂存区，1处位于现有生产车间内，占地面积约350m</w:t>
                  </w:r>
                  <w:r>
                    <w:rPr>
                      <w:rFonts w:hint="eastAsia" w:eastAsiaTheme="minorEastAsia"/>
                      <w:bCs/>
                      <w:vertAlign w:val="superscript"/>
                    </w:rPr>
                    <w:t>2</w:t>
                  </w:r>
                  <w:r>
                    <w:rPr>
                      <w:rFonts w:hint="eastAsia" w:eastAsiaTheme="minorEastAsia"/>
                      <w:bCs/>
                    </w:rPr>
                    <w:t>，1处位于新建生产车间内，占地面积约450m</w:t>
                  </w:r>
                  <w:r>
                    <w:rPr>
                      <w:rFonts w:hint="eastAsia" w:eastAsiaTheme="minorEastAsia"/>
                      <w:bCs/>
                      <w:vertAlign w:val="superscript"/>
                    </w:rPr>
                    <w:t>2</w:t>
                  </w:r>
                  <w:r>
                    <w:rPr>
                      <w:rFonts w:hint="eastAsia" w:eastAsiaTheme="minorEastAsia"/>
                      <w:bCs/>
                    </w:rPr>
                    <w:t>，一般固体废物收</w:t>
                  </w:r>
                  <w:r>
                    <w:rPr>
                      <w:rFonts w:hint="eastAsia" w:eastAsiaTheme="minorEastAsia"/>
                      <w:bCs/>
                      <w:szCs w:val="21"/>
                    </w:rPr>
                    <w:t>集暂存后交给专业回收公司处理；</w:t>
                  </w:r>
                </w:p>
                <w:p w14:paraId="77D76874">
                  <w:pPr>
                    <w:pStyle w:val="50"/>
                    <w:adjustRightInd w:val="0"/>
                    <w:snapToGrid w:val="0"/>
                    <w:spacing w:line="240" w:lineRule="auto"/>
                    <w:jc w:val="both"/>
                    <w:rPr>
                      <w:rFonts w:eastAsiaTheme="minorEastAsia"/>
                      <w:bCs/>
                    </w:rPr>
                  </w:pPr>
                  <w:r>
                    <w:rPr>
                      <w:rFonts w:hint="eastAsia"/>
                    </w:rPr>
                    <w:t>共1间危险废物暂存间，</w:t>
                  </w:r>
                  <w:r>
                    <w:rPr>
                      <w:rFonts w:hint="eastAsia" w:eastAsiaTheme="minorEastAsia"/>
                    </w:rPr>
                    <w:t>占地面积约20</w:t>
                  </w:r>
                  <w:r>
                    <w:rPr>
                      <w:rFonts w:eastAsiaTheme="minorEastAsia"/>
                    </w:rPr>
                    <w:t xml:space="preserve"> m</w:t>
                  </w:r>
                  <w:r>
                    <w:rPr>
                      <w:rFonts w:eastAsiaTheme="minorEastAsia"/>
                      <w:vertAlign w:val="superscript"/>
                    </w:rPr>
                    <w:t>2</w:t>
                  </w:r>
                  <w:r>
                    <w:rPr>
                      <w:rFonts w:hint="eastAsia" w:eastAsiaTheme="minorEastAsia"/>
                    </w:rPr>
                    <w:t>，</w:t>
                  </w:r>
                  <w:r>
                    <w:rPr>
                      <w:rFonts w:hint="eastAsia" w:eastAsiaTheme="minorEastAsia"/>
                      <w:bCs/>
                    </w:rPr>
                    <w:t>位于</w:t>
                  </w:r>
                  <w:r>
                    <w:rPr>
                      <w:rFonts w:hint="eastAsia" w:eastAsiaTheme="minorEastAsia"/>
                      <w:szCs w:val="21"/>
                    </w:rPr>
                    <w:t>现有生产车间东面</w:t>
                  </w:r>
                  <w:r>
                    <w:rPr>
                      <w:rFonts w:hint="eastAsia" w:eastAsiaTheme="minorEastAsia"/>
                      <w:bCs/>
                    </w:rPr>
                    <w:t>，危险废物收集暂存后交由有危险废物处理资质的单位处理；</w:t>
                  </w:r>
                </w:p>
                <w:p w14:paraId="03B84BD0">
                  <w:pPr>
                    <w:adjustRightInd w:val="0"/>
                    <w:snapToGrid w:val="0"/>
                  </w:pPr>
                  <w:r>
                    <w:rPr>
                      <w:rFonts w:eastAsiaTheme="minorEastAsia"/>
                    </w:rPr>
                    <w:t>生活垃圾：收集置于垃圾桶内，</w:t>
                  </w:r>
                  <w:r>
                    <w:rPr>
                      <w:rFonts w:hint="eastAsia" w:eastAsiaTheme="minorEastAsia"/>
                    </w:rPr>
                    <w:t>由环卫部门清运处理。</w:t>
                  </w:r>
                </w:p>
              </w:tc>
            </w:tr>
            <w:tr w14:paraId="77B98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Merge w:val="continue"/>
                  <w:vAlign w:val="center"/>
                </w:tcPr>
                <w:p w14:paraId="46ED9B78">
                  <w:pPr>
                    <w:pStyle w:val="50"/>
                    <w:adjustRightInd w:val="0"/>
                    <w:snapToGrid w:val="0"/>
                    <w:spacing w:line="240" w:lineRule="auto"/>
                    <w:rPr>
                      <w:rFonts w:eastAsiaTheme="minorEastAsia"/>
                      <w:szCs w:val="21"/>
                    </w:rPr>
                  </w:pPr>
                </w:p>
              </w:tc>
              <w:tc>
                <w:tcPr>
                  <w:tcW w:w="410" w:type="pct"/>
                  <w:vAlign w:val="center"/>
                </w:tcPr>
                <w:p w14:paraId="2472147A">
                  <w:pPr>
                    <w:pStyle w:val="50"/>
                    <w:adjustRightInd w:val="0"/>
                    <w:snapToGrid w:val="0"/>
                    <w:spacing w:line="240" w:lineRule="auto"/>
                    <w:rPr>
                      <w:rFonts w:eastAsiaTheme="minorEastAsia"/>
                      <w:szCs w:val="21"/>
                    </w:rPr>
                  </w:pPr>
                  <w:r>
                    <w:rPr>
                      <w:rFonts w:hint="eastAsia" w:eastAsiaTheme="minorEastAsia"/>
                      <w:szCs w:val="21"/>
                    </w:rPr>
                    <w:t>环境风险防治</w:t>
                  </w:r>
                </w:p>
              </w:tc>
              <w:tc>
                <w:tcPr>
                  <w:tcW w:w="1474" w:type="pct"/>
                  <w:vAlign w:val="center"/>
                </w:tcPr>
                <w:p w14:paraId="4788438B">
                  <w:pPr>
                    <w:pStyle w:val="50"/>
                    <w:adjustRightInd w:val="0"/>
                    <w:snapToGrid w:val="0"/>
                    <w:spacing w:line="240" w:lineRule="auto"/>
                    <w:jc w:val="both"/>
                    <w:rPr>
                      <w:rFonts w:eastAsiaTheme="minorEastAsia"/>
                      <w:bCs/>
                    </w:rPr>
                  </w:pPr>
                  <w:r>
                    <w:rPr>
                      <w:rFonts w:hint="eastAsia" w:eastAsiaTheme="minorEastAsia"/>
                      <w:bCs/>
                    </w:rPr>
                    <w:t>现有项目在产车间东南面设置1座有效容积为150</w:t>
                  </w:r>
                  <w:r>
                    <w:rPr>
                      <w:rFonts w:hint="eastAsia" w:eastAsiaTheme="minorEastAsia"/>
                      <w:szCs w:val="21"/>
                    </w:rPr>
                    <w:t>m</w:t>
                  </w:r>
                  <w:r>
                    <w:rPr>
                      <w:rFonts w:hint="eastAsia" w:eastAsiaTheme="minorEastAsia"/>
                      <w:szCs w:val="21"/>
                      <w:vertAlign w:val="superscript"/>
                    </w:rPr>
                    <w:t>3</w:t>
                  </w:r>
                  <w:r>
                    <w:rPr>
                      <w:rFonts w:hint="eastAsia" w:eastAsiaTheme="minorEastAsia"/>
                      <w:bCs/>
                    </w:rPr>
                    <w:t>的事故应急池。罐区设有围堰。</w:t>
                  </w:r>
                </w:p>
              </w:tc>
              <w:tc>
                <w:tcPr>
                  <w:tcW w:w="1474" w:type="pct"/>
                  <w:vAlign w:val="center"/>
                </w:tcPr>
                <w:p w14:paraId="51940050">
                  <w:pPr>
                    <w:pStyle w:val="50"/>
                    <w:adjustRightInd w:val="0"/>
                    <w:snapToGrid w:val="0"/>
                    <w:spacing w:line="240" w:lineRule="auto"/>
                    <w:jc w:val="both"/>
                    <w:rPr>
                      <w:rFonts w:eastAsiaTheme="minorEastAsia"/>
                      <w:bCs/>
                    </w:rPr>
                  </w:pPr>
                  <w:r>
                    <w:rPr>
                      <w:rFonts w:hint="eastAsia" w:eastAsiaTheme="minorEastAsia"/>
                      <w:bCs/>
                    </w:rPr>
                    <w:t>改扩建项目依托现有事故应急池。</w:t>
                  </w:r>
                </w:p>
              </w:tc>
              <w:tc>
                <w:tcPr>
                  <w:tcW w:w="1243" w:type="pct"/>
                  <w:vAlign w:val="center"/>
                </w:tcPr>
                <w:p w14:paraId="35DCEE94">
                  <w:pPr>
                    <w:pStyle w:val="50"/>
                    <w:adjustRightInd w:val="0"/>
                    <w:snapToGrid w:val="0"/>
                    <w:spacing w:line="240" w:lineRule="auto"/>
                    <w:jc w:val="both"/>
                    <w:rPr>
                      <w:rFonts w:eastAsiaTheme="minorEastAsia"/>
                      <w:bCs/>
                    </w:rPr>
                  </w:pPr>
                  <w:r>
                    <w:rPr>
                      <w:rFonts w:hint="eastAsia" w:eastAsiaTheme="minorEastAsia"/>
                      <w:bCs/>
                    </w:rPr>
                    <w:t>1座有效容积为150</w:t>
                  </w:r>
                  <w:r>
                    <w:rPr>
                      <w:rFonts w:hint="eastAsia" w:eastAsiaTheme="minorEastAsia"/>
                      <w:szCs w:val="21"/>
                    </w:rPr>
                    <w:t>m</w:t>
                  </w:r>
                  <w:r>
                    <w:rPr>
                      <w:rFonts w:hint="eastAsia" w:eastAsiaTheme="minorEastAsia"/>
                      <w:szCs w:val="21"/>
                      <w:vertAlign w:val="superscript"/>
                    </w:rPr>
                    <w:t>3</w:t>
                  </w:r>
                  <w:r>
                    <w:rPr>
                      <w:rFonts w:hint="eastAsia" w:eastAsiaTheme="minorEastAsia"/>
                      <w:bCs/>
                    </w:rPr>
                    <w:t>的事故应急池。</w:t>
                  </w:r>
                </w:p>
              </w:tc>
            </w:tr>
            <w:tr w14:paraId="0B5D2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9" w:type="pct"/>
                  <w:vAlign w:val="center"/>
                </w:tcPr>
                <w:p w14:paraId="0C263FDA">
                  <w:pPr>
                    <w:pStyle w:val="50"/>
                    <w:adjustRightInd w:val="0"/>
                    <w:snapToGrid w:val="0"/>
                    <w:spacing w:line="240" w:lineRule="auto"/>
                    <w:rPr>
                      <w:rFonts w:eastAsiaTheme="minorEastAsia"/>
                      <w:szCs w:val="21"/>
                    </w:rPr>
                  </w:pPr>
                  <w:r>
                    <w:rPr>
                      <w:rFonts w:eastAsiaTheme="minorEastAsia"/>
                      <w:szCs w:val="21"/>
                    </w:rPr>
                    <w:t>依托工程</w:t>
                  </w:r>
                </w:p>
              </w:tc>
              <w:tc>
                <w:tcPr>
                  <w:tcW w:w="410" w:type="pct"/>
                  <w:vAlign w:val="center"/>
                </w:tcPr>
                <w:p w14:paraId="326C3E9A">
                  <w:pPr>
                    <w:pStyle w:val="50"/>
                    <w:adjustRightInd w:val="0"/>
                    <w:snapToGrid w:val="0"/>
                    <w:spacing w:line="240" w:lineRule="auto"/>
                    <w:rPr>
                      <w:rFonts w:eastAsiaTheme="minorEastAsia"/>
                      <w:szCs w:val="21"/>
                    </w:rPr>
                  </w:pPr>
                  <w:r>
                    <w:rPr>
                      <w:rFonts w:eastAsiaTheme="minorEastAsia"/>
                      <w:szCs w:val="21"/>
                    </w:rPr>
                    <w:t>生活污水处理设施</w:t>
                  </w:r>
                </w:p>
              </w:tc>
              <w:tc>
                <w:tcPr>
                  <w:tcW w:w="1474" w:type="pct"/>
                  <w:vAlign w:val="center"/>
                </w:tcPr>
                <w:p w14:paraId="7DAA5A75">
                  <w:pPr>
                    <w:pStyle w:val="50"/>
                    <w:adjustRightInd w:val="0"/>
                    <w:snapToGrid w:val="0"/>
                    <w:spacing w:line="240" w:lineRule="auto"/>
                    <w:jc w:val="both"/>
                    <w:rPr>
                      <w:rFonts w:eastAsiaTheme="minorEastAsia"/>
                      <w:szCs w:val="21"/>
                    </w:rPr>
                  </w:pPr>
                  <w:r>
                    <w:rPr>
                      <w:rFonts w:eastAsiaTheme="minorEastAsia"/>
                      <w:szCs w:val="21"/>
                    </w:rPr>
                    <w:t>生活污水</w:t>
                  </w:r>
                  <w:r>
                    <w:rPr>
                      <w:rFonts w:hint="eastAsia" w:eastAsiaTheme="minorEastAsia"/>
                    </w:rPr>
                    <w:t>经“微生物处理</w:t>
                  </w:r>
                  <w:r>
                    <w:rPr>
                      <w:rFonts w:eastAsiaTheme="minorEastAsia"/>
                    </w:rPr>
                    <w:t>+</w:t>
                  </w:r>
                  <w:r>
                    <w:rPr>
                      <w:rFonts w:hint="eastAsia" w:eastAsiaTheme="minorEastAsia"/>
                    </w:rPr>
                    <w:t>人工湿地”处理</w:t>
                  </w:r>
                  <w:r>
                    <w:rPr>
                      <w:rFonts w:hint="eastAsia" w:eastAsiaTheme="minorEastAsia"/>
                      <w:szCs w:val="21"/>
                    </w:rPr>
                    <w:t>达标后，用于山林灌溉。</w:t>
                  </w:r>
                </w:p>
              </w:tc>
              <w:tc>
                <w:tcPr>
                  <w:tcW w:w="1474" w:type="pct"/>
                  <w:vAlign w:val="center"/>
                </w:tcPr>
                <w:p w14:paraId="1F73988E">
                  <w:pPr>
                    <w:pStyle w:val="50"/>
                    <w:adjustRightInd w:val="0"/>
                    <w:snapToGrid w:val="0"/>
                    <w:spacing w:line="240" w:lineRule="auto"/>
                    <w:jc w:val="both"/>
                    <w:rPr>
                      <w:rFonts w:eastAsiaTheme="minorEastAsia"/>
                      <w:szCs w:val="21"/>
                    </w:rPr>
                  </w:pPr>
                  <w:r>
                    <w:rPr>
                      <w:rFonts w:eastAsiaTheme="minorEastAsia"/>
                      <w:szCs w:val="21"/>
                    </w:rPr>
                    <w:t>生活污水经</w:t>
                  </w:r>
                  <w:r>
                    <w:rPr>
                      <w:rFonts w:hint="eastAsia" w:eastAsiaTheme="minorEastAsia"/>
                      <w:szCs w:val="21"/>
                    </w:rPr>
                    <w:t>依托现有处理设施处理。</w:t>
                  </w:r>
                </w:p>
              </w:tc>
              <w:tc>
                <w:tcPr>
                  <w:tcW w:w="1243" w:type="pct"/>
                  <w:vAlign w:val="center"/>
                </w:tcPr>
                <w:p w14:paraId="6A4A5869">
                  <w:pPr>
                    <w:pStyle w:val="50"/>
                    <w:adjustRightInd w:val="0"/>
                    <w:snapToGrid w:val="0"/>
                    <w:spacing w:line="240" w:lineRule="auto"/>
                    <w:jc w:val="both"/>
                    <w:rPr>
                      <w:rFonts w:eastAsiaTheme="minorEastAsia"/>
                      <w:szCs w:val="21"/>
                    </w:rPr>
                  </w:pPr>
                  <w:r>
                    <w:rPr>
                      <w:rFonts w:eastAsiaTheme="minorEastAsia"/>
                      <w:szCs w:val="21"/>
                    </w:rPr>
                    <w:t>生活污水</w:t>
                  </w:r>
                  <w:r>
                    <w:rPr>
                      <w:rFonts w:hint="eastAsia" w:eastAsiaTheme="minorEastAsia"/>
                    </w:rPr>
                    <w:t>经“微生物处理</w:t>
                  </w:r>
                  <w:r>
                    <w:rPr>
                      <w:rFonts w:eastAsiaTheme="minorEastAsia"/>
                    </w:rPr>
                    <w:t>+</w:t>
                  </w:r>
                  <w:r>
                    <w:rPr>
                      <w:rFonts w:hint="eastAsia" w:eastAsiaTheme="minorEastAsia"/>
                    </w:rPr>
                    <w:t>人工湿地”处理</w:t>
                  </w:r>
                  <w:r>
                    <w:rPr>
                      <w:rFonts w:hint="eastAsia" w:eastAsiaTheme="minorEastAsia"/>
                      <w:szCs w:val="21"/>
                    </w:rPr>
                    <w:t>达标后，用于山林灌溉。</w:t>
                  </w:r>
                </w:p>
              </w:tc>
            </w:tr>
          </w:tbl>
          <w:p w14:paraId="0F240BA6">
            <w:pPr>
              <w:spacing w:before="120" w:beforeLines="50" w:line="360" w:lineRule="auto"/>
              <w:ind w:firstLine="482" w:firstLineChars="200"/>
              <w:rPr>
                <w:b/>
                <w:bCs/>
                <w:sz w:val="24"/>
                <w:szCs w:val="24"/>
              </w:rPr>
            </w:pPr>
            <w:r>
              <w:rPr>
                <w:rFonts w:hint="eastAsia"/>
                <w:b/>
                <w:bCs/>
                <w:sz w:val="24"/>
                <w:szCs w:val="24"/>
              </w:rPr>
              <w:t>2.</w:t>
            </w:r>
            <w:r>
              <w:rPr>
                <w:b/>
                <w:bCs/>
                <w:sz w:val="24"/>
                <w:szCs w:val="24"/>
              </w:rPr>
              <w:t>项目</w:t>
            </w:r>
            <w:r>
              <w:rPr>
                <w:rFonts w:hint="eastAsia"/>
                <w:b/>
                <w:bCs/>
                <w:sz w:val="24"/>
                <w:szCs w:val="24"/>
              </w:rPr>
              <w:t>主要</w:t>
            </w:r>
            <w:r>
              <w:rPr>
                <w:b/>
                <w:bCs/>
                <w:sz w:val="24"/>
                <w:szCs w:val="24"/>
              </w:rPr>
              <w:t>产品</w:t>
            </w:r>
            <w:r>
              <w:rPr>
                <w:rFonts w:hint="eastAsia"/>
                <w:b/>
                <w:bCs/>
                <w:sz w:val="24"/>
                <w:szCs w:val="24"/>
              </w:rPr>
              <w:t>产能</w:t>
            </w:r>
          </w:p>
          <w:p w14:paraId="0F18EC24">
            <w:pPr>
              <w:spacing w:line="360" w:lineRule="auto"/>
              <w:ind w:firstLine="480" w:firstLineChars="200"/>
              <w:rPr>
                <w:bCs/>
                <w:sz w:val="24"/>
                <w:szCs w:val="24"/>
              </w:rPr>
            </w:pPr>
            <w:r>
              <w:rPr>
                <w:rFonts w:hint="eastAsia"/>
                <w:bCs/>
                <w:sz w:val="24"/>
                <w:szCs w:val="24"/>
              </w:rPr>
              <w:t>（1）产品产能</w:t>
            </w:r>
          </w:p>
          <w:p w14:paraId="0862BE78">
            <w:pPr>
              <w:spacing w:line="360" w:lineRule="auto"/>
              <w:ind w:firstLine="480" w:firstLineChars="200"/>
              <w:rPr>
                <w:bCs/>
                <w:sz w:val="24"/>
                <w:szCs w:val="24"/>
              </w:rPr>
            </w:pPr>
            <w:r>
              <w:rPr>
                <w:rFonts w:hint="eastAsia"/>
                <w:bCs/>
                <w:sz w:val="24"/>
                <w:szCs w:val="24"/>
              </w:rPr>
              <w:t>改扩建前后全厂产品产能见表2-2。</w:t>
            </w:r>
          </w:p>
          <w:p w14:paraId="5BF4CA59">
            <w:pPr>
              <w:pStyle w:val="14"/>
              <w:spacing w:before="120" w:after="0" w:afterLines="0" w:line="360" w:lineRule="auto"/>
              <w:rPr>
                <w:rFonts w:eastAsia="宋体"/>
                <w:b/>
                <w:sz w:val="21"/>
              </w:rPr>
            </w:pPr>
            <w:r>
              <w:rPr>
                <w:rFonts w:hint="eastAsia" w:eastAsia="宋体"/>
                <w:b/>
                <w:sz w:val="21"/>
              </w:rPr>
              <w:t>表2-2 改扩建前后全厂</w:t>
            </w:r>
            <w:r>
              <w:rPr>
                <w:rFonts w:eastAsia="宋体"/>
                <w:b/>
                <w:bCs/>
                <w:sz w:val="21"/>
              </w:rPr>
              <w:t>主要产品及年产量</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1500"/>
              <w:gridCol w:w="1500"/>
              <w:gridCol w:w="1647"/>
              <w:gridCol w:w="2812"/>
            </w:tblGrid>
            <w:tr w14:paraId="056D8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37" w:type="pct"/>
                  <w:vAlign w:val="center"/>
                </w:tcPr>
                <w:p w14:paraId="6EFBC3C3">
                  <w:pPr>
                    <w:pStyle w:val="51"/>
                    <w:rPr>
                      <w:kern w:val="0"/>
                    </w:rPr>
                  </w:pPr>
                  <w:r>
                    <w:rPr>
                      <w:rFonts w:hint="eastAsia"/>
                      <w:kern w:val="0"/>
                    </w:rPr>
                    <w:t>产品名称</w:t>
                  </w:r>
                </w:p>
              </w:tc>
              <w:tc>
                <w:tcPr>
                  <w:tcW w:w="837" w:type="pct"/>
                  <w:vAlign w:val="center"/>
                </w:tcPr>
                <w:p w14:paraId="5B430C3B">
                  <w:pPr>
                    <w:pStyle w:val="51"/>
                  </w:pPr>
                  <w:r>
                    <w:rPr>
                      <w:rFonts w:hint="eastAsia"/>
                    </w:rPr>
                    <w:t>现有项目</w:t>
                  </w:r>
                </w:p>
                <w:p w14:paraId="4B91F4FE">
                  <w:pPr>
                    <w:pStyle w:val="51"/>
                  </w:pPr>
                  <w:r>
                    <w:rPr>
                      <w:rFonts w:hint="eastAsia"/>
                    </w:rPr>
                    <w:t>设计年产量</w:t>
                  </w:r>
                </w:p>
              </w:tc>
              <w:tc>
                <w:tcPr>
                  <w:tcW w:w="837" w:type="pct"/>
                  <w:vAlign w:val="center"/>
                </w:tcPr>
                <w:p w14:paraId="47C470D3">
                  <w:pPr>
                    <w:pStyle w:val="51"/>
                  </w:pPr>
                  <w:r>
                    <w:rPr>
                      <w:rFonts w:hint="eastAsia"/>
                    </w:rPr>
                    <w:t>改扩建项目</w:t>
                  </w:r>
                </w:p>
                <w:p w14:paraId="39709681">
                  <w:pPr>
                    <w:pStyle w:val="51"/>
                  </w:pPr>
                  <w:r>
                    <w:rPr>
                      <w:rFonts w:hint="eastAsia"/>
                    </w:rPr>
                    <w:t>设计年产量</w:t>
                  </w:r>
                </w:p>
              </w:tc>
              <w:tc>
                <w:tcPr>
                  <w:tcW w:w="919" w:type="pct"/>
                  <w:vAlign w:val="center"/>
                </w:tcPr>
                <w:p w14:paraId="02039278">
                  <w:pPr>
                    <w:pStyle w:val="51"/>
                  </w:pPr>
                  <w:r>
                    <w:rPr>
                      <w:rFonts w:hint="eastAsia"/>
                    </w:rPr>
                    <w:t>改扩建后全厂</w:t>
                  </w:r>
                </w:p>
                <w:p w14:paraId="46934DDC">
                  <w:pPr>
                    <w:pStyle w:val="51"/>
                  </w:pPr>
                  <w:r>
                    <w:rPr>
                      <w:rFonts w:hint="eastAsia"/>
                    </w:rPr>
                    <w:t>设计年产量</w:t>
                  </w:r>
                </w:p>
              </w:tc>
              <w:tc>
                <w:tcPr>
                  <w:tcW w:w="1569" w:type="pct"/>
                  <w:vAlign w:val="center"/>
                </w:tcPr>
                <w:p w14:paraId="2F4AB1B9">
                  <w:pPr>
                    <w:pStyle w:val="51"/>
                  </w:pPr>
                  <w:r>
                    <w:rPr>
                      <w:rFonts w:hint="eastAsia"/>
                    </w:rPr>
                    <w:t>产品图片</w:t>
                  </w:r>
                </w:p>
              </w:tc>
            </w:tr>
            <w:tr w14:paraId="04FEE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37" w:type="pct"/>
                  <w:vAlign w:val="center"/>
                </w:tcPr>
                <w:p w14:paraId="5662702C">
                  <w:pPr>
                    <w:pStyle w:val="51"/>
                    <w:rPr>
                      <w:kern w:val="0"/>
                    </w:rPr>
                  </w:pPr>
                  <w:r>
                    <w:rPr>
                      <w:rFonts w:hint="eastAsia"/>
                      <w:kern w:val="0"/>
                    </w:rPr>
                    <w:t>工业油脂（酸化油）</w:t>
                  </w:r>
                </w:p>
              </w:tc>
              <w:tc>
                <w:tcPr>
                  <w:tcW w:w="837" w:type="pct"/>
                  <w:vAlign w:val="center"/>
                </w:tcPr>
                <w:p w14:paraId="19762606">
                  <w:pPr>
                    <w:pStyle w:val="51"/>
                  </w:pPr>
                  <w:r>
                    <w:rPr>
                      <w:rFonts w:hint="eastAsia"/>
                    </w:rPr>
                    <w:t>10500吨</w:t>
                  </w:r>
                </w:p>
              </w:tc>
              <w:tc>
                <w:tcPr>
                  <w:tcW w:w="837" w:type="pct"/>
                  <w:vAlign w:val="center"/>
                </w:tcPr>
                <w:p w14:paraId="649D6614">
                  <w:pPr>
                    <w:pStyle w:val="51"/>
                  </w:pPr>
                  <w:r>
                    <w:rPr>
                      <w:rFonts w:hint="eastAsia"/>
                    </w:rPr>
                    <w:t>4500吨</w:t>
                  </w:r>
                </w:p>
              </w:tc>
              <w:tc>
                <w:tcPr>
                  <w:tcW w:w="919" w:type="pct"/>
                  <w:vAlign w:val="center"/>
                </w:tcPr>
                <w:p w14:paraId="654CA163">
                  <w:pPr>
                    <w:pStyle w:val="51"/>
                  </w:pPr>
                  <w:r>
                    <w:rPr>
                      <w:rFonts w:hint="eastAsia"/>
                    </w:rPr>
                    <w:t>15000吨</w:t>
                  </w:r>
                </w:p>
              </w:tc>
              <w:tc>
                <w:tcPr>
                  <w:tcW w:w="1569" w:type="pct"/>
                  <w:vAlign w:val="center"/>
                </w:tcPr>
                <w:p w14:paraId="05620C6C">
                  <w:pPr>
                    <w:pStyle w:val="51"/>
                  </w:pPr>
                  <w:r>
                    <w:drawing>
                      <wp:inline distT="0" distB="0" distL="0" distR="0">
                        <wp:extent cx="1333500" cy="1583690"/>
                        <wp:effectExtent l="0" t="0" r="0" b="0"/>
                        <wp:docPr id="1225714210"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14210" name="图片 134"/>
                                <pic:cNvPicPr>
                                  <a:picLocks noChangeAspect="1" noChangeArrowheads="1"/>
                                </pic:cNvPicPr>
                              </pic:nvPicPr>
                              <pic:blipFill>
                                <a:blip r:embed="rId11">
                                  <a:extLst>
                                    <a:ext uri="{28A0092B-C50C-407E-A947-70E740481C1C}">
                                      <a14:useLocalDpi xmlns:a14="http://schemas.microsoft.com/office/drawing/2010/main" val="0"/>
                                    </a:ext>
                                  </a:extLst>
                                </a:blip>
                                <a:srcRect l="20995" t="2966" r="28803" b="3178"/>
                                <a:stretch>
                                  <a:fillRect/>
                                </a:stretch>
                              </pic:blipFill>
                              <pic:spPr>
                                <a:xfrm>
                                  <a:off x="0" y="0"/>
                                  <a:ext cx="1343940" cy="1596155"/>
                                </a:xfrm>
                                <a:prstGeom prst="rect">
                                  <a:avLst/>
                                </a:prstGeom>
                                <a:noFill/>
                                <a:ln>
                                  <a:noFill/>
                                </a:ln>
                              </pic:spPr>
                            </pic:pic>
                          </a:graphicData>
                        </a:graphic>
                      </wp:inline>
                    </w:drawing>
                  </w:r>
                </w:p>
              </w:tc>
            </w:tr>
          </w:tbl>
          <w:p w14:paraId="2DEC3E10">
            <w:pPr>
              <w:spacing w:before="120" w:beforeLines="50" w:line="360" w:lineRule="auto"/>
              <w:ind w:firstLine="480" w:firstLineChars="200"/>
              <w:rPr>
                <w:bCs/>
                <w:sz w:val="24"/>
                <w:szCs w:val="24"/>
              </w:rPr>
            </w:pPr>
            <w:r>
              <w:rPr>
                <w:rFonts w:hint="eastAsia"/>
                <w:bCs/>
                <w:sz w:val="24"/>
                <w:szCs w:val="24"/>
              </w:rPr>
              <w:t>（1）主要产品性能指标</w:t>
            </w:r>
          </w:p>
          <w:p w14:paraId="5B15ACA0">
            <w:pPr>
              <w:spacing w:line="360" w:lineRule="auto"/>
              <w:ind w:firstLine="480" w:firstLineChars="200"/>
              <w:rPr>
                <w:bCs/>
                <w:sz w:val="24"/>
                <w:szCs w:val="24"/>
              </w:rPr>
            </w:pPr>
            <w:r>
              <w:rPr>
                <w:rFonts w:hint="eastAsia"/>
                <w:bCs/>
                <w:sz w:val="24"/>
                <w:szCs w:val="24"/>
              </w:rPr>
              <w:t>工业油脂（酸化油）其本质上是由游离脂肪酸、未酸化的脂肪酸甘油酯以及杂质等多种成分组成。其中游离脂肪酸含量约25~70%，甘油脂含量为12~25%，总油脂含量约80~95%。酸化油的主要用途是用于进一步加工制造生物柴油，也可用于生产油酸等。油脂产品成分检测报告见附件</w:t>
            </w:r>
            <w:r>
              <w:rPr>
                <w:rFonts w:hint="eastAsia"/>
                <w:bCs/>
                <w:sz w:val="24"/>
                <w:szCs w:val="24"/>
                <w:lang w:val="en-US" w:eastAsia="zh-CN"/>
              </w:rPr>
              <w:t>7</w:t>
            </w:r>
            <w:r>
              <w:rPr>
                <w:rFonts w:hint="eastAsia"/>
                <w:bCs/>
                <w:sz w:val="24"/>
                <w:szCs w:val="24"/>
              </w:rPr>
              <w:t>。</w:t>
            </w:r>
          </w:p>
          <w:p w14:paraId="7E486325">
            <w:pPr>
              <w:spacing w:line="360" w:lineRule="auto"/>
              <w:ind w:firstLine="480" w:firstLineChars="200"/>
              <w:rPr>
                <w:bCs/>
                <w:sz w:val="24"/>
                <w:szCs w:val="24"/>
              </w:rPr>
            </w:pPr>
            <w:r>
              <w:rPr>
                <w:rFonts w:hint="eastAsia"/>
                <w:bCs/>
                <w:sz w:val="24"/>
                <w:szCs w:val="24"/>
              </w:rPr>
              <w:t>本项目产品工业油脂的主要指标详见表2-3。</w:t>
            </w:r>
          </w:p>
          <w:p w14:paraId="171E6EFC">
            <w:pPr>
              <w:pStyle w:val="14"/>
              <w:spacing w:before="0" w:beforeLines="0" w:after="0" w:afterLines="0" w:line="360" w:lineRule="auto"/>
              <w:rPr>
                <w:rFonts w:eastAsia="宋体"/>
                <w:b/>
                <w:sz w:val="21"/>
              </w:rPr>
            </w:pPr>
            <w:r>
              <w:rPr>
                <w:rFonts w:hint="eastAsia" w:eastAsia="宋体"/>
                <w:b/>
                <w:sz w:val="21"/>
              </w:rPr>
              <w:t xml:space="preserve">表2-3 </w:t>
            </w:r>
            <w:r>
              <w:rPr>
                <w:rFonts w:hint="eastAsia" w:eastAsia="宋体"/>
                <w:b/>
                <w:bCs/>
                <w:sz w:val="21"/>
                <w:lang w:val="en-US"/>
              </w:rPr>
              <w:t>工业油脂</w:t>
            </w:r>
            <w:r>
              <w:rPr>
                <w:rFonts w:hint="eastAsia" w:eastAsia="宋体"/>
                <w:b/>
                <w:sz w:val="21"/>
              </w:rPr>
              <w:t>主要指标</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4542"/>
              <w:gridCol w:w="4417"/>
            </w:tblGrid>
            <w:tr w14:paraId="01ED1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2535" w:type="pct"/>
                  <w:noWrap/>
                  <w:vAlign w:val="center"/>
                </w:tcPr>
                <w:p w14:paraId="64F7A0FD">
                  <w:pPr>
                    <w:widowControl/>
                    <w:jc w:val="center"/>
                    <w:rPr>
                      <w:rFonts w:cs="宋体"/>
                      <w:kern w:val="0"/>
                      <w:szCs w:val="20"/>
                    </w:rPr>
                  </w:pPr>
                  <w:r>
                    <w:rPr>
                      <w:rFonts w:cs="Calibri"/>
                      <w:kern w:val="0"/>
                      <w:szCs w:val="22"/>
                    </w:rPr>
                    <w:t>产品指标</w:t>
                  </w:r>
                </w:p>
              </w:tc>
              <w:tc>
                <w:tcPr>
                  <w:tcW w:w="2465" w:type="pct"/>
                  <w:noWrap/>
                  <w:vAlign w:val="center"/>
                </w:tcPr>
                <w:p w14:paraId="0AE803F9">
                  <w:pPr>
                    <w:widowControl/>
                    <w:jc w:val="center"/>
                    <w:rPr>
                      <w:rFonts w:cs="宋体"/>
                      <w:kern w:val="0"/>
                      <w:szCs w:val="20"/>
                    </w:rPr>
                  </w:pPr>
                  <w:r>
                    <w:rPr>
                      <w:rFonts w:hint="eastAsia" w:cs="Calibri"/>
                      <w:kern w:val="0"/>
                      <w:szCs w:val="22"/>
                    </w:rPr>
                    <w:t>数值</w:t>
                  </w:r>
                </w:p>
              </w:tc>
            </w:tr>
            <w:tr w14:paraId="4E715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2535" w:type="pct"/>
                  <w:noWrap/>
                  <w:vAlign w:val="center"/>
                </w:tcPr>
                <w:p w14:paraId="7F90FB9B">
                  <w:pPr>
                    <w:widowControl/>
                    <w:jc w:val="center"/>
                    <w:rPr>
                      <w:rFonts w:cs="宋体"/>
                      <w:kern w:val="0"/>
                      <w:szCs w:val="20"/>
                    </w:rPr>
                  </w:pPr>
                  <w:r>
                    <w:rPr>
                      <w:rFonts w:cs="Calibri"/>
                      <w:kern w:val="0"/>
                      <w:szCs w:val="22"/>
                    </w:rPr>
                    <w:t>水分和杂质，%</w:t>
                  </w:r>
                </w:p>
              </w:tc>
              <w:tc>
                <w:tcPr>
                  <w:tcW w:w="2465" w:type="pct"/>
                  <w:noWrap/>
                  <w:vAlign w:val="center"/>
                </w:tcPr>
                <w:p w14:paraId="7811658A">
                  <w:pPr>
                    <w:widowControl/>
                    <w:jc w:val="center"/>
                    <w:rPr>
                      <w:rFonts w:cs="宋体"/>
                      <w:kern w:val="0"/>
                      <w:szCs w:val="20"/>
                    </w:rPr>
                  </w:pPr>
                  <w:r>
                    <w:rPr>
                      <w:rFonts w:cs="Calibri"/>
                      <w:kern w:val="0"/>
                      <w:szCs w:val="22"/>
                    </w:rPr>
                    <w:t>1~3</w:t>
                  </w:r>
                </w:p>
              </w:tc>
            </w:tr>
            <w:tr w14:paraId="68A97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2535" w:type="pct"/>
                  <w:noWrap/>
                  <w:vAlign w:val="center"/>
                </w:tcPr>
                <w:p w14:paraId="6D0487C4">
                  <w:pPr>
                    <w:widowControl/>
                    <w:jc w:val="center"/>
                    <w:rPr>
                      <w:rFonts w:cs="宋体"/>
                      <w:kern w:val="0"/>
                      <w:szCs w:val="20"/>
                    </w:rPr>
                  </w:pPr>
                  <w:r>
                    <w:rPr>
                      <w:rFonts w:cs="Calibri"/>
                      <w:kern w:val="0"/>
                      <w:szCs w:val="22"/>
                    </w:rPr>
                    <w:t>游离脂肪酸</w:t>
                  </w:r>
                  <w:r>
                    <w:rPr>
                      <w:rFonts w:hint="eastAsia" w:cs="Calibri"/>
                      <w:kern w:val="0"/>
                      <w:szCs w:val="22"/>
                    </w:rPr>
                    <w:t>（</w:t>
                  </w:r>
                  <w:r>
                    <w:rPr>
                      <w:rFonts w:cs="Calibri"/>
                      <w:kern w:val="0"/>
                      <w:szCs w:val="22"/>
                    </w:rPr>
                    <w:t>以棕榈</w:t>
                  </w:r>
                  <w:r>
                    <w:rPr>
                      <w:rFonts w:hint="eastAsia" w:cs="Calibri"/>
                      <w:kern w:val="0"/>
                      <w:szCs w:val="22"/>
                    </w:rPr>
                    <w:t>酸计）</w:t>
                  </w:r>
                  <w:r>
                    <w:rPr>
                      <w:rFonts w:cs="Calibri"/>
                      <w:kern w:val="0"/>
                      <w:szCs w:val="22"/>
                    </w:rPr>
                    <w:t>，%</w:t>
                  </w:r>
                </w:p>
              </w:tc>
              <w:tc>
                <w:tcPr>
                  <w:tcW w:w="2465" w:type="pct"/>
                  <w:noWrap/>
                  <w:vAlign w:val="center"/>
                </w:tcPr>
                <w:p w14:paraId="61D94E9B">
                  <w:pPr>
                    <w:widowControl/>
                    <w:jc w:val="center"/>
                    <w:rPr>
                      <w:rFonts w:cs="宋体"/>
                      <w:kern w:val="0"/>
                      <w:szCs w:val="20"/>
                    </w:rPr>
                  </w:pPr>
                  <w:r>
                    <w:rPr>
                      <w:rFonts w:cs="Calibri"/>
                      <w:kern w:val="0"/>
                      <w:szCs w:val="22"/>
                    </w:rPr>
                    <w:t>25~70</w:t>
                  </w:r>
                </w:p>
              </w:tc>
            </w:tr>
            <w:tr w14:paraId="228BE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2535" w:type="pct"/>
                  <w:noWrap/>
                  <w:vAlign w:val="center"/>
                </w:tcPr>
                <w:p w14:paraId="48A46B18">
                  <w:pPr>
                    <w:widowControl/>
                    <w:jc w:val="center"/>
                    <w:rPr>
                      <w:rFonts w:cs="宋体"/>
                      <w:kern w:val="0"/>
                      <w:szCs w:val="20"/>
                    </w:rPr>
                  </w:pPr>
                  <w:r>
                    <w:rPr>
                      <w:rFonts w:cs="Calibri"/>
                      <w:kern w:val="0"/>
                      <w:szCs w:val="22"/>
                    </w:rPr>
                    <w:t>酸值，mg</w:t>
                  </w:r>
                  <w:r>
                    <w:rPr>
                      <w:rFonts w:hint="eastAsia" w:cs="Calibri"/>
                      <w:kern w:val="0"/>
                      <w:szCs w:val="22"/>
                    </w:rPr>
                    <w:t xml:space="preserve"> </w:t>
                  </w:r>
                  <w:r>
                    <w:rPr>
                      <w:rFonts w:cs="Calibri"/>
                      <w:kern w:val="0"/>
                      <w:szCs w:val="22"/>
                    </w:rPr>
                    <w:t>KOH/g</w:t>
                  </w:r>
                </w:p>
              </w:tc>
              <w:tc>
                <w:tcPr>
                  <w:tcW w:w="2465" w:type="pct"/>
                  <w:noWrap/>
                  <w:vAlign w:val="center"/>
                </w:tcPr>
                <w:p w14:paraId="66AD5467">
                  <w:pPr>
                    <w:widowControl/>
                    <w:jc w:val="center"/>
                    <w:rPr>
                      <w:rFonts w:cs="宋体"/>
                      <w:kern w:val="0"/>
                      <w:szCs w:val="20"/>
                    </w:rPr>
                  </w:pPr>
                  <w:r>
                    <w:rPr>
                      <w:rFonts w:cs="Calibri"/>
                      <w:kern w:val="0"/>
                      <w:szCs w:val="22"/>
                    </w:rPr>
                    <w:t>52~170</w:t>
                  </w:r>
                </w:p>
              </w:tc>
            </w:tr>
            <w:tr w14:paraId="0CE46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2535" w:type="pct"/>
                  <w:noWrap/>
                  <w:vAlign w:val="center"/>
                </w:tcPr>
                <w:p w14:paraId="6C44E0FE">
                  <w:pPr>
                    <w:widowControl/>
                    <w:jc w:val="center"/>
                    <w:rPr>
                      <w:rFonts w:cs="宋体"/>
                      <w:kern w:val="0"/>
                      <w:szCs w:val="20"/>
                    </w:rPr>
                  </w:pPr>
                  <w:r>
                    <w:rPr>
                      <w:rFonts w:cs="Calibri"/>
                      <w:kern w:val="0"/>
                      <w:szCs w:val="22"/>
                    </w:rPr>
                    <w:t>不皂化物，%</w:t>
                  </w:r>
                </w:p>
              </w:tc>
              <w:tc>
                <w:tcPr>
                  <w:tcW w:w="2465" w:type="pct"/>
                  <w:noWrap/>
                  <w:vAlign w:val="center"/>
                </w:tcPr>
                <w:p w14:paraId="2978731A">
                  <w:pPr>
                    <w:widowControl/>
                    <w:jc w:val="center"/>
                    <w:rPr>
                      <w:rFonts w:cs="宋体"/>
                      <w:kern w:val="0"/>
                      <w:szCs w:val="20"/>
                    </w:rPr>
                  </w:pPr>
                  <w:r>
                    <w:rPr>
                      <w:rFonts w:cs="Calibri"/>
                      <w:kern w:val="0"/>
                      <w:szCs w:val="22"/>
                    </w:rPr>
                    <w:t>0.6~1</w:t>
                  </w:r>
                </w:p>
              </w:tc>
            </w:tr>
            <w:tr w14:paraId="1BBF4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2535" w:type="pct"/>
                  <w:noWrap/>
                  <w:vAlign w:val="center"/>
                </w:tcPr>
                <w:p w14:paraId="311B2894">
                  <w:pPr>
                    <w:widowControl/>
                    <w:jc w:val="center"/>
                    <w:rPr>
                      <w:rFonts w:cs="宋体"/>
                      <w:kern w:val="0"/>
                      <w:szCs w:val="20"/>
                    </w:rPr>
                  </w:pPr>
                  <w:r>
                    <w:rPr>
                      <w:rFonts w:cs="Calibri"/>
                      <w:kern w:val="0"/>
                      <w:szCs w:val="22"/>
                    </w:rPr>
                    <w:t>总油脂含量</w:t>
                  </w:r>
                  <w:r>
                    <w:rPr>
                      <w:rFonts w:hint="eastAsia" w:cs="Calibri"/>
                      <w:kern w:val="0"/>
                      <w:szCs w:val="22"/>
                    </w:rPr>
                    <w:t>，%</w:t>
                  </w:r>
                </w:p>
              </w:tc>
              <w:tc>
                <w:tcPr>
                  <w:tcW w:w="2465" w:type="pct"/>
                  <w:noWrap/>
                  <w:vAlign w:val="center"/>
                </w:tcPr>
                <w:p w14:paraId="79F088DC">
                  <w:pPr>
                    <w:widowControl/>
                    <w:jc w:val="center"/>
                    <w:rPr>
                      <w:rFonts w:cs="宋体"/>
                      <w:kern w:val="0"/>
                      <w:szCs w:val="20"/>
                    </w:rPr>
                  </w:pPr>
                  <w:r>
                    <w:rPr>
                      <w:rFonts w:cs="Calibri"/>
                      <w:kern w:val="0"/>
                      <w:szCs w:val="22"/>
                    </w:rPr>
                    <w:t>80</w:t>
                  </w:r>
                  <w:r>
                    <w:rPr>
                      <w:rFonts w:hint="eastAsia" w:cs="Calibri"/>
                      <w:kern w:val="0"/>
                      <w:szCs w:val="22"/>
                    </w:rPr>
                    <w:t>~</w:t>
                  </w:r>
                  <w:r>
                    <w:rPr>
                      <w:rFonts w:cs="Calibri"/>
                      <w:kern w:val="0"/>
                      <w:szCs w:val="22"/>
                    </w:rPr>
                    <w:t>95</w:t>
                  </w:r>
                </w:p>
              </w:tc>
            </w:tr>
            <w:tr w14:paraId="6BD53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2535" w:type="pct"/>
                  <w:noWrap/>
                  <w:vAlign w:val="center"/>
                </w:tcPr>
                <w:p w14:paraId="149E826B">
                  <w:pPr>
                    <w:widowControl/>
                    <w:jc w:val="center"/>
                    <w:rPr>
                      <w:rFonts w:cs="宋体"/>
                      <w:kern w:val="0"/>
                      <w:szCs w:val="20"/>
                    </w:rPr>
                  </w:pPr>
                  <w:r>
                    <w:rPr>
                      <w:rFonts w:cs="Calibri"/>
                      <w:kern w:val="0"/>
                      <w:szCs w:val="22"/>
                    </w:rPr>
                    <w:t>皂化值，mg</w:t>
                  </w:r>
                  <w:r>
                    <w:rPr>
                      <w:rFonts w:hint="eastAsia" w:cs="Calibri"/>
                      <w:kern w:val="0"/>
                      <w:szCs w:val="22"/>
                    </w:rPr>
                    <w:t xml:space="preserve"> </w:t>
                  </w:r>
                  <w:r>
                    <w:rPr>
                      <w:rFonts w:cs="Calibri"/>
                      <w:kern w:val="0"/>
                      <w:szCs w:val="22"/>
                    </w:rPr>
                    <w:t>KOH/g</w:t>
                  </w:r>
                </w:p>
              </w:tc>
              <w:tc>
                <w:tcPr>
                  <w:tcW w:w="2465" w:type="pct"/>
                  <w:noWrap/>
                  <w:vAlign w:val="center"/>
                </w:tcPr>
                <w:p w14:paraId="1FFDEF61">
                  <w:pPr>
                    <w:widowControl/>
                    <w:jc w:val="center"/>
                    <w:rPr>
                      <w:rFonts w:cs="宋体"/>
                      <w:kern w:val="0"/>
                      <w:szCs w:val="20"/>
                    </w:rPr>
                  </w:pPr>
                  <w:r>
                    <w:rPr>
                      <w:rFonts w:cs="Calibri"/>
                      <w:kern w:val="0"/>
                      <w:szCs w:val="22"/>
                    </w:rPr>
                    <w:t>180~207</w:t>
                  </w:r>
                </w:p>
              </w:tc>
            </w:tr>
          </w:tbl>
          <w:p w14:paraId="16D820A8">
            <w:pPr>
              <w:spacing w:before="120" w:beforeLines="50" w:line="360" w:lineRule="auto"/>
              <w:ind w:firstLine="482" w:firstLineChars="200"/>
              <w:rPr>
                <w:b/>
                <w:bCs/>
                <w:sz w:val="24"/>
                <w:szCs w:val="24"/>
              </w:rPr>
            </w:pPr>
            <w:r>
              <w:rPr>
                <w:rFonts w:hint="eastAsia"/>
                <w:b/>
                <w:bCs/>
                <w:sz w:val="24"/>
                <w:szCs w:val="24"/>
              </w:rPr>
              <w:t>3</w:t>
            </w:r>
            <w:r>
              <w:rPr>
                <w:b/>
                <w:bCs/>
                <w:sz w:val="24"/>
                <w:szCs w:val="24"/>
              </w:rPr>
              <w:t>.</w:t>
            </w:r>
            <w:r>
              <w:rPr>
                <w:rFonts w:hint="eastAsia"/>
                <w:b/>
                <w:bCs/>
                <w:sz w:val="24"/>
                <w:szCs w:val="24"/>
              </w:rPr>
              <w:t>主要生产单元、</w:t>
            </w:r>
            <w:r>
              <w:rPr>
                <w:b/>
                <w:bCs/>
                <w:sz w:val="24"/>
                <w:szCs w:val="24"/>
              </w:rPr>
              <w:t>生产设</w:t>
            </w:r>
            <w:r>
              <w:rPr>
                <w:rFonts w:hint="eastAsia"/>
                <w:b/>
                <w:bCs/>
                <w:sz w:val="24"/>
                <w:szCs w:val="24"/>
              </w:rPr>
              <w:t>施</w:t>
            </w:r>
          </w:p>
          <w:p w14:paraId="78C11262">
            <w:pPr>
              <w:spacing w:line="360" w:lineRule="auto"/>
              <w:ind w:firstLine="480" w:firstLineChars="200"/>
              <w:rPr>
                <w:sz w:val="24"/>
                <w:szCs w:val="24"/>
              </w:rPr>
            </w:pPr>
            <w:r>
              <w:rPr>
                <w:rFonts w:hint="eastAsia"/>
                <w:sz w:val="24"/>
                <w:szCs w:val="24"/>
              </w:rPr>
              <w:t>改扩建</w:t>
            </w:r>
            <w:r>
              <w:rPr>
                <w:sz w:val="24"/>
                <w:szCs w:val="24"/>
              </w:rPr>
              <w:t>项目的主要</w:t>
            </w:r>
            <w:r>
              <w:rPr>
                <w:rFonts w:hint="eastAsia"/>
                <w:sz w:val="24"/>
                <w:szCs w:val="24"/>
              </w:rPr>
              <w:t>生产单元及设施</w:t>
            </w:r>
            <w:r>
              <w:rPr>
                <w:sz w:val="24"/>
                <w:szCs w:val="24"/>
              </w:rPr>
              <w:t>见表</w:t>
            </w:r>
            <w:r>
              <w:rPr>
                <w:rFonts w:hint="eastAsia"/>
                <w:sz w:val="24"/>
                <w:szCs w:val="24"/>
              </w:rPr>
              <w:t>2-4，改扩建前后全厂主要生产设备变化情况见表2-5。</w:t>
            </w:r>
          </w:p>
          <w:p w14:paraId="46B62C1D">
            <w:pPr>
              <w:spacing w:line="360" w:lineRule="auto"/>
              <w:ind w:firstLine="480" w:firstLineChars="200"/>
              <w:rPr>
                <w:sz w:val="24"/>
                <w:szCs w:val="24"/>
              </w:rPr>
            </w:pPr>
          </w:p>
          <w:p w14:paraId="55C0C53E">
            <w:pPr>
              <w:spacing w:line="360" w:lineRule="auto"/>
              <w:ind w:firstLine="480" w:firstLineChars="200"/>
              <w:rPr>
                <w:sz w:val="24"/>
                <w:szCs w:val="24"/>
              </w:rPr>
            </w:pPr>
          </w:p>
          <w:p w14:paraId="5FA4FBC9">
            <w:pPr>
              <w:spacing w:line="360" w:lineRule="auto"/>
              <w:ind w:firstLine="480" w:firstLineChars="200"/>
              <w:rPr>
                <w:sz w:val="24"/>
                <w:szCs w:val="24"/>
              </w:rPr>
            </w:pPr>
          </w:p>
          <w:p w14:paraId="0A711B0C">
            <w:pPr>
              <w:spacing w:line="360" w:lineRule="auto"/>
              <w:ind w:firstLine="480" w:firstLineChars="200"/>
              <w:rPr>
                <w:sz w:val="24"/>
                <w:szCs w:val="24"/>
              </w:rPr>
            </w:pPr>
          </w:p>
          <w:p w14:paraId="70194D20">
            <w:pPr>
              <w:spacing w:line="360" w:lineRule="auto"/>
              <w:ind w:firstLine="480" w:firstLineChars="200"/>
              <w:rPr>
                <w:sz w:val="24"/>
                <w:szCs w:val="24"/>
              </w:rPr>
            </w:pPr>
          </w:p>
          <w:p w14:paraId="383CB90B">
            <w:pPr>
              <w:spacing w:line="360" w:lineRule="auto"/>
              <w:ind w:firstLine="480" w:firstLineChars="200"/>
              <w:rPr>
                <w:sz w:val="24"/>
                <w:szCs w:val="24"/>
              </w:rPr>
            </w:pPr>
          </w:p>
          <w:p w14:paraId="190BED3D">
            <w:pPr>
              <w:spacing w:line="360" w:lineRule="auto"/>
              <w:ind w:firstLine="480" w:firstLineChars="200"/>
              <w:rPr>
                <w:rFonts w:hint="eastAsia"/>
                <w:sz w:val="24"/>
                <w:szCs w:val="24"/>
              </w:rPr>
            </w:pPr>
          </w:p>
          <w:p w14:paraId="5B01EC9B">
            <w:pPr>
              <w:pStyle w:val="14"/>
              <w:spacing w:before="0" w:beforeLines="0" w:after="0" w:afterLines="0" w:line="360" w:lineRule="auto"/>
              <w:rPr>
                <w:rFonts w:eastAsia="宋体"/>
                <w:b/>
                <w:sz w:val="21"/>
              </w:rPr>
            </w:pPr>
            <w:r>
              <w:rPr>
                <w:rFonts w:hint="eastAsia" w:eastAsia="宋体"/>
                <w:b/>
                <w:sz w:val="21"/>
              </w:rPr>
              <w:t>表2-4 改扩建项目主要生产单元及设施表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2193"/>
              <w:gridCol w:w="892"/>
              <w:gridCol w:w="2086"/>
              <w:gridCol w:w="2634"/>
            </w:tblGrid>
            <w:tr w14:paraId="7A924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tcBorders>
                    <w:top w:val="single" w:color="auto" w:sz="4" w:space="0"/>
                    <w:left w:val="single" w:color="auto" w:sz="4" w:space="0"/>
                    <w:bottom w:val="single" w:color="auto" w:sz="4" w:space="0"/>
                    <w:right w:val="single" w:color="auto" w:sz="4" w:space="0"/>
                  </w:tcBorders>
                  <w:vAlign w:val="center"/>
                </w:tcPr>
                <w:p w14:paraId="6380473C">
                  <w:pPr>
                    <w:widowControl/>
                    <w:jc w:val="center"/>
                    <w:rPr>
                      <w:b/>
                      <w:kern w:val="0"/>
                    </w:rPr>
                  </w:pPr>
                  <w:r>
                    <w:rPr>
                      <w:b/>
                      <w:kern w:val="0"/>
                    </w:rPr>
                    <w:t>主要生产单元</w:t>
                  </w:r>
                </w:p>
              </w:tc>
              <w:tc>
                <w:tcPr>
                  <w:tcW w:w="1224" w:type="pct"/>
                  <w:tcBorders>
                    <w:top w:val="single" w:color="auto" w:sz="4" w:space="0"/>
                    <w:left w:val="single" w:color="auto" w:sz="4" w:space="0"/>
                    <w:bottom w:val="single" w:color="auto" w:sz="4" w:space="0"/>
                    <w:right w:val="single" w:color="auto" w:sz="4" w:space="0"/>
                  </w:tcBorders>
                  <w:vAlign w:val="center"/>
                </w:tcPr>
                <w:p w14:paraId="4B39B345">
                  <w:pPr>
                    <w:widowControl/>
                    <w:jc w:val="center"/>
                    <w:rPr>
                      <w:b/>
                      <w:kern w:val="0"/>
                    </w:rPr>
                  </w:pPr>
                  <w:r>
                    <w:rPr>
                      <w:b/>
                      <w:kern w:val="0"/>
                    </w:rPr>
                    <w:t>生产设施名称</w:t>
                  </w:r>
                </w:p>
              </w:tc>
              <w:tc>
                <w:tcPr>
                  <w:tcW w:w="498" w:type="pct"/>
                  <w:tcBorders>
                    <w:top w:val="single" w:color="auto" w:sz="4" w:space="0"/>
                    <w:left w:val="single" w:color="auto" w:sz="4" w:space="0"/>
                    <w:bottom w:val="single" w:color="auto" w:sz="4" w:space="0"/>
                    <w:right w:val="single" w:color="auto" w:sz="4" w:space="0"/>
                  </w:tcBorders>
                  <w:vAlign w:val="center"/>
                </w:tcPr>
                <w:p w14:paraId="7F9F3C2C">
                  <w:pPr>
                    <w:widowControl/>
                    <w:jc w:val="center"/>
                    <w:rPr>
                      <w:b/>
                      <w:kern w:val="0"/>
                    </w:rPr>
                  </w:pPr>
                  <w:r>
                    <w:rPr>
                      <w:b/>
                      <w:kern w:val="0"/>
                    </w:rPr>
                    <w:t>数量</w:t>
                  </w:r>
                </w:p>
              </w:tc>
              <w:tc>
                <w:tcPr>
                  <w:tcW w:w="1164" w:type="pct"/>
                  <w:tcBorders>
                    <w:top w:val="single" w:color="auto" w:sz="4" w:space="0"/>
                    <w:left w:val="single" w:color="auto" w:sz="4" w:space="0"/>
                    <w:bottom w:val="single" w:color="auto" w:sz="4" w:space="0"/>
                    <w:right w:val="single" w:color="auto" w:sz="4" w:space="0"/>
                  </w:tcBorders>
                  <w:vAlign w:val="center"/>
                </w:tcPr>
                <w:p w14:paraId="61E34DDF">
                  <w:pPr>
                    <w:widowControl/>
                    <w:jc w:val="center"/>
                    <w:rPr>
                      <w:b/>
                      <w:kern w:val="0"/>
                    </w:rPr>
                  </w:pPr>
                  <w:r>
                    <w:rPr>
                      <w:b/>
                      <w:kern w:val="0"/>
                    </w:rPr>
                    <w:t>设施参数</w:t>
                  </w:r>
                </w:p>
              </w:tc>
              <w:tc>
                <w:tcPr>
                  <w:tcW w:w="1470" w:type="pct"/>
                  <w:tcBorders>
                    <w:top w:val="single" w:color="auto" w:sz="4" w:space="0"/>
                    <w:left w:val="single" w:color="auto" w:sz="4" w:space="0"/>
                    <w:bottom w:val="single" w:color="auto" w:sz="4" w:space="0"/>
                    <w:right w:val="single" w:color="auto" w:sz="4" w:space="0"/>
                  </w:tcBorders>
                  <w:vAlign w:val="center"/>
                </w:tcPr>
                <w:p w14:paraId="2C2DE742">
                  <w:pPr>
                    <w:widowControl/>
                    <w:jc w:val="center"/>
                    <w:rPr>
                      <w:b/>
                      <w:kern w:val="0"/>
                    </w:rPr>
                  </w:pPr>
                  <w:r>
                    <w:rPr>
                      <w:rFonts w:hint="eastAsia"/>
                      <w:b/>
                      <w:kern w:val="0"/>
                    </w:rPr>
                    <w:t>使用工序</w:t>
                  </w:r>
                </w:p>
              </w:tc>
            </w:tr>
            <w:tr w14:paraId="30514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restart"/>
                  <w:tcBorders>
                    <w:top w:val="single" w:color="auto" w:sz="4" w:space="0"/>
                    <w:left w:val="single" w:color="auto" w:sz="4" w:space="0"/>
                    <w:right w:val="single" w:color="auto" w:sz="4" w:space="0"/>
                  </w:tcBorders>
                  <w:vAlign w:val="center"/>
                </w:tcPr>
                <w:p w14:paraId="0F241F0A">
                  <w:pPr>
                    <w:widowControl/>
                    <w:jc w:val="center"/>
                    <w:rPr>
                      <w:kern w:val="0"/>
                    </w:rPr>
                  </w:pPr>
                  <w:r>
                    <w:rPr>
                      <w:rFonts w:hint="eastAsia"/>
                      <w:kern w:val="0"/>
                    </w:rPr>
                    <w:t>废白土储运和加工生产单元</w:t>
                  </w:r>
                </w:p>
              </w:tc>
              <w:tc>
                <w:tcPr>
                  <w:tcW w:w="1224" w:type="pct"/>
                  <w:tcBorders>
                    <w:top w:val="single" w:color="auto" w:sz="4" w:space="0"/>
                    <w:left w:val="single" w:color="auto" w:sz="4" w:space="0"/>
                    <w:bottom w:val="single" w:color="auto" w:sz="4" w:space="0"/>
                    <w:right w:val="single" w:color="auto" w:sz="4" w:space="0"/>
                  </w:tcBorders>
                  <w:vAlign w:val="center"/>
                </w:tcPr>
                <w:p w14:paraId="77C777D4">
                  <w:pPr>
                    <w:widowControl/>
                    <w:jc w:val="center"/>
                    <w:rPr>
                      <w:kern w:val="0"/>
                    </w:rPr>
                  </w:pPr>
                  <w:r>
                    <w:rPr>
                      <w:rFonts w:hint="eastAsia"/>
                    </w:rPr>
                    <w:t>造粒机</w:t>
                  </w:r>
                </w:p>
              </w:tc>
              <w:tc>
                <w:tcPr>
                  <w:tcW w:w="498" w:type="pct"/>
                  <w:tcBorders>
                    <w:top w:val="single" w:color="auto" w:sz="4" w:space="0"/>
                    <w:left w:val="single" w:color="auto" w:sz="4" w:space="0"/>
                    <w:bottom w:val="single" w:color="auto" w:sz="4" w:space="0"/>
                    <w:right w:val="single" w:color="auto" w:sz="4" w:space="0"/>
                  </w:tcBorders>
                  <w:vAlign w:val="center"/>
                </w:tcPr>
                <w:p w14:paraId="3A4CFEDF">
                  <w:pPr>
                    <w:widowControl/>
                    <w:jc w:val="center"/>
                    <w:rPr>
                      <w:kern w:val="0"/>
                    </w:rPr>
                  </w:pPr>
                  <w:r>
                    <w:rPr>
                      <w:rFonts w:hint="eastAsia"/>
                    </w:rPr>
                    <w:t>2台</w:t>
                  </w:r>
                </w:p>
              </w:tc>
              <w:tc>
                <w:tcPr>
                  <w:tcW w:w="1164" w:type="pct"/>
                  <w:tcBorders>
                    <w:top w:val="single" w:color="auto" w:sz="4" w:space="0"/>
                    <w:left w:val="single" w:color="auto" w:sz="4" w:space="0"/>
                    <w:bottom w:val="single" w:color="auto" w:sz="4" w:space="0"/>
                    <w:right w:val="single" w:color="auto" w:sz="4" w:space="0"/>
                  </w:tcBorders>
                  <w:vAlign w:val="center"/>
                </w:tcPr>
                <w:p w14:paraId="764A7EAE">
                  <w:pPr>
                    <w:widowControl/>
                    <w:jc w:val="center"/>
                    <w:rPr>
                      <w:kern w:val="0"/>
                    </w:rPr>
                  </w:pPr>
                  <w:r>
                    <w:rPr>
                      <w:rFonts w:hint="eastAsia"/>
                      <w:kern w:val="0"/>
                    </w:rPr>
                    <w:t>400型碾压式</w:t>
                  </w:r>
                </w:p>
              </w:tc>
              <w:tc>
                <w:tcPr>
                  <w:tcW w:w="1470" w:type="pct"/>
                  <w:tcBorders>
                    <w:top w:val="single" w:color="auto" w:sz="4" w:space="0"/>
                    <w:left w:val="single" w:color="auto" w:sz="4" w:space="0"/>
                    <w:bottom w:val="single" w:color="auto" w:sz="4" w:space="0"/>
                    <w:right w:val="single" w:color="auto" w:sz="4" w:space="0"/>
                  </w:tcBorders>
                  <w:vAlign w:val="center"/>
                </w:tcPr>
                <w:p w14:paraId="3F1ACB36">
                  <w:pPr>
                    <w:widowControl/>
                    <w:jc w:val="center"/>
                    <w:rPr>
                      <w:kern w:val="0"/>
                    </w:rPr>
                  </w:pPr>
                  <w:r>
                    <w:rPr>
                      <w:rFonts w:hint="eastAsia"/>
                      <w:kern w:val="0"/>
                    </w:rPr>
                    <w:t>造粒</w:t>
                  </w:r>
                </w:p>
              </w:tc>
            </w:tr>
            <w:tr w14:paraId="748C5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1811342C">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670B3348">
                  <w:pPr>
                    <w:widowControl/>
                    <w:jc w:val="center"/>
                    <w:rPr>
                      <w:kern w:val="0"/>
                    </w:rPr>
                  </w:pPr>
                  <w:r>
                    <w:rPr>
                      <w:rFonts w:hint="eastAsia"/>
                    </w:rPr>
                    <w:t>浸出罐</w:t>
                  </w:r>
                </w:p>
              </w:tc>
              <w:tc>
                <w:tcPr>
                  <w:tcW w:w="498" w:type="pct"/>
                  <w:tcBorders>
                    <w:top w:val="single" w:color="auto" w:sz="4" w:space="0"/>
                    <w:left w:val="single" w:color="auto" w:sz="4" w:space="0"/>
                    <w:bottom w:val="single" w:color="auto" w:sz="4" w:space="0"/>
                    <w:right w:val="single" w:color="auto" w:sz="4" w:space="0"/>
                  </w:tcBorders>
                  <w:vAlign w:val="center"/>
                </w:tcPr>
                <w:p w14:paraId="33BB3872">
                  <w:pPr>
                    <w:widowControl/>
                    <w:jc w:val="center"/>
                  </w:pPr>
                  <w:r>
                    <w:rPr>
                      <w:rFonts w:hint="eastAsia"/>
                    </w:rPr>
                    <w:t>12个</w:t>
                  </w:r>
                </w:p>
              </w:tc>
              <w:tc>
                <w:tcPr>
                  <w:tcW w:w="1164" w:type="pct"/>
                  <w:tcBorders>
                    <w:top w:val="single" w:color="auto" w:sz="4" w:space="0"/>
                    <w:left w:val="single" w:color="auto" w:sz="4" w:space="0"/>
                    <w:bottom w:val="single" w:color="auto" w:sz="4" w:space="0"/>
                    <w:right w:val="single" w:color="auto" w:sz="4" w:space="0"/>
                  </w:tcBorders>
                  <w:vAlign w:val="center"/>
                </w:tcPr>
                <w:p w14:paraId="04294167">
                  <w:pPr>
                    <w:widowControl/>
                    <w:jc w:val="center"/>
                  </w:pPr>
                  <w:r>
                    <w:rPr>
                      <w:rFonts w:hint="eastAsia" w:cs="Cambria Math"/>
                    </w:rPr>
                    <w:t>单个</w:t>
                  </w:r>
                  <w:r>
                    <w:rPr>
                      <w:rFonts w:cs="Cambria Math"/>
                    </w:rPr>
                    <w:t>Φ</w:t>
                  </w:r>
                  <w:r>
                    <w:rPr>
                      <w:rFonts w:hint="eastAsia" w:cs="Cambria Math"/>
                    </w:rPr>
                    <w:t>1.8m</w:t>
                  </w:r>
                  <w:r>
                    <w:t>×</w:t>
                  </w:r>
                  <w:r>
                    <w:rPr>
                      <w:rFonts w:hint="eastAsia"/>
                    </w:rPr>
                    <w:t>H3m</w:t>
                  </w:r>
                </w:p>
              </w:tc>
              <w:tc>
                <w:tcPr>
                  <w:tcW w:w="1470" w:type="pct"/>
                  <w:tcBorders>
                    <w:top w:val="single" w:color="auto" w:sz="4" w:space="0"/>
                    <w:left w:val="single" w:color="auto" w:sz="4" w:space="0"/>
                    <w:bottom w:val="single" w:color="auto" w:sz="4" w:space="0"/>
                    <w:right w:val="single" w:color="auto" w:sz="4" w:space="0"/>
                  </w:tcBorders>
                  <w:vAlign w:val="center"/>
                </w:tcPr>
                <w:p w14:paraId="547FA029">
                  <w:pPr>
                    <w:widowControl/>
                    <w:jc w:val="center"/>
                    <w:rPr>
                      <w:rFonts w:cs="Cambria Math"/>
                    </w:rPr>
                  </w:pPr>
                  <w:r>
                    <w:rPr>
                      <w:rFonts w:hint="eastAsia" w:cs="Cambria Math"/>
                    </w:rPr>
                    <w:t>浸出</w:t>
                  </w:r>
                </w:p>
              </w:tc>
            </w:tr>
            <w:tr w14:paraId="2CF70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01ED404B">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05C83D2A">
                  <w:pPr>
                    <w:widowControl/>
                    <w:jc w:val="center"/>
                  </w:pPr>
                  <w:r>
                    <w:rPr>
                      <w:rFonts w:hint="eastAsia"/>
                    </w:rPr>
                    <w:t>混合油罐</w:t>
                  </w:r>
                </w:p>
              </w:tc>
              <w:tc>
                <w:tcPr>
                  <w:tcW w:w="498" w:type="pct"/>
                  <w:tcBorders>
                    <w:top w:val="single" w:color="auto" w:sz="4" w:space="0"/>
                    <w:left w:val="single" w:color="auto" w:sz="4" w:space="0"/>
                    <w:bottom w:val="single" w:color="auto" w:sz="4" w:space="0"/>
                    <w:right w:val="single" w:color="auto" w:sz="4" w:space="0"/>
                  </w:tcBorders>
                  <w:vAlign w:val="center"/>
                </w:tcPr>
                <w:p w14:paraId="6DDF2569">
                  <w:pPr>
                    <w:widowControl/>
                    <w:jc w:val="center"/>
                  </w:pPr>
                  <w:r>
                    <w:rPr>
                      <w:rFonts w:hint="eastAsia"/>
                    </w:rPr>
                    <w:t>2个</w:t>
                  </w:r>
                </w:p>
              </w:tc>
              <w:tc>
                <w:tcPr>
                  <w:tcW w:w="1164" w:type="pct"/>
                  <w:tcBorders>
                    <w:top w:val="single" w:color="auto" w:sz="4" w:space="0"/>
                    <w:left w:val="single" w:color="auto" w:sz="4" w:space="0"/>
                    <w:bottom w:val="single" w:color="auto" w:sz="4" w:space="0"/>
                    <w:right w:val="single" w:color="auto" w:sz="4" w:space="0"/>
                  </w:tcBorders>
                  <w:vAlign w:val="center"/>
                </w:tcPr>
                <w:p w14:paraId="24AB23F9">
                  <w:pPr>
                    <w:widowControl/>
                    <w:jc w:val="center"/>
                  </w:pPr>
                  <w:r>
                    <w:rPr>
                      <w:rFonts w:cs="Cambria Math"/>
                    </w:rPr>
                    <w:t>Φ</w:t>
                  </w:r>
                  <w:r>
                    <w:rPr>
                      <w:rFonts w:hint="eastAsia" w:cs="Cambria Math"/>
                    </w:rPr>
                    <w:t>2m</w:t>
                  </w:r>
                  <w:r>
                    <w:t>×</w:t>
                  </w:r>
                  <w:r>
                    <w:rPr>
                      <w:rFonts w:hint="eastAsia"/>
                    </w:rPr>
                    <w:t>H3m</w:t>
                  </w:r>
                </w:p>
              </w:tc>
              <w:tc>
                <w:tcPr>
                  <w:tcW w:w="1470" w:type="pct"/>
                  <w:tcBorders>
                    <w:top w:val="single" w:color="auto" w:sz="4" w:space="0"/>
                    <w:left w:val="single" w:color="auto" w:sz="4" w:space="0"/>
                    <w:bottom w:val="single" w:color="auto" w:sz="4" w:space="0"/>
                    <w:right w:val="single" w:color="auto" w:sz="4" w:space="0"/>
                  </w:tcBorders>
                  <w:vAlign w:val="center"/>
                </w:tcPr>
                <w:p w14:paraId="3587EA6B">
                  <w:pPr>
                    <w:widowControl/>
                    <w:jc w:val="center"/>
                    <w:rPr>
                      <w:rFonts w:cs="Cambria Math"/>
                    </w:rPr>
                  </w:pPr>
                  <w:r>
                    <w:rPr>
                      <w:rFonts w:hint="eastAsia" w:cs="Cambria Math"/>
                    </w:rPr>
                    <w:t>混合沉淀</w:t>
                  </w:r>
                </w:p>
              </w:tc>
            </w:tr>
            <w:tr w14:paraId="68C6E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680C4E99">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3B3024EA">
                  <w:pPr>
                    <w:widowControl/>
                    <w:jc w:val="center"/>
                  </w:pPr>
                  <w:r>
                    <w:rPr>
                      <w:rFonts w:hint="eastAsia"/>
                    </w:rPr>
                    <w:t>蒸发器</w:t>
                  </w:r>
                </w:p>
              </w:tc>
              <w:tc>
                <w:tcPr>
                  <w:tcW w:w="498" w:type="pct"/>
                  <w:tcBorders>
                    <w:top w:val="single" w:color="auto" w:sz="4" w:space="0"/>
                    <w:left w:val="single" w:color="auto" w:sz="4" w:space="0"/>
                    <w:bottom w:val="single" w:color="auto" w:sz="4" w:space="0"/>
                    <w:right w:val="single" w:color="auto" w:sz="4" w:space="0"/>
                  </w:tcBorders>
                  <w:vAlign w:val="center"/>
                </w:tcPr>
                <w:p w14:paraId="4104FCF9">
                  <w:pPr>
                    <w:widowControl/>
                    <w:jc w:val="center"/>
                  </w:pPr>
                  <w:r>
                    <w:rPr>
                      <w:rFonts w:hint="eastAsia"/>
                    </w:rPr>
                    <w:t>3台</w:t>
                  </w:r>
                </w:p>
              </w:tc>
              <w:tc>
                <w:tcPr>
                  <w:tcW w:w="1164" w:type="pct"/>
                  <w:tcBorders>
                    <w:top w:val="single" w:color="auto" w:sz="4" w:space="0"/>
                    <w:left w:val="single" w:color="auto" w:sz="4" w:space="0"/>
                    <w:bottom w:val="single" w:color="auto" w:sz="4" w:space="0"/>
                    <w:right w:val="single" w:color="auto" w:sz="4" w:space="0"/>
                  </w:tcBorders>
                  <w:vAlign w:val="center"/>
                </w:tcPr>
                <w:p w14:paraId="7769BFBC">
                  <w:pPr>
                    <w:widowControl/>
                    <w:jc w:val="center"/>
                  </w:pPr>
                  <w:r>
                    <w:rPr>
                      <w:rFonts w:hint="eastAsia"/>
                    </w:rPr>
                    <w:t>40m</w:t>
                  </w:r>
                  <w:r>
                    <w:rPr>
                      <w:rFonts w:hint="eastAsia"/>
                      <w:vertAlign w:val="superscript"/>
                    </w:rPr>
                    <w:t>2</w:t>
                  </w:r>
                </w:p>
              </w:tc>
              <w:tc>
                <w:tcPr>
                  <w:tcW w:w="1470" w:type="pct"/>
                  <w:tcBorders>
                    <w:top w:val="single" w:color="auto" w:sz="4" w:space="0"/>
                    <w:left w:val="single" w:color="auto" w:sz="4" w:space="0"/>
                    <w:bottom w:val="single" w:color="auto" w:sz="4" w:space="0"/>
                    <w:right w:val="single" w:color="auto" w:sz="4" w:space="0"/>
                  </w:tcBorders>
                  <w:vAlign w:val="center"/>
                </w:tcPr>
                <w:p w14:paraId="7946335B">
                  <w:pPr>
                    <w:widowControl/>
                    <w:jc w:val="center"/>
                  </w:pPr>
                  <w:r>
                    <w:rPr>
                      <w:rFonts w:hint="eastAsia"/>
                    </w:rPr>
                    <w:t>溶剂蒸发</w:t>
                  </w:r>
                </w:p>
              </w:tc>
            </w:tr>
            <w:tr w14:paraId="4F907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426E7D7F">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23D1497B">
                  <w:pPr>
                    <w:widowControl/>
                    <w:jc w:val="center"/>
                  </w:pPr>
                  <w:r>
                    <w:rPr>
                      <w:rFonts w:hint="eastAsia"/>
                    </w:rPr>
                    <w:t>冷凝器</w:t>
                  </w:r>
                </w:p>
              </w:tc>
              <w:tc>
                <w:tcPr>
                  <w:tcW w:w="498" w:type="pct"/>
                  <w:tcBorders>
                    <w:top w:val="single" w:color="auto" w:sz="4" w:space="0"/>
                    <w:left w:val="single" w:color="auto" w:sz="4" w:space="0"/>
                    <w:bottom w:val="single" w:color="auto" w:sz="4" w:space="0"/>
                    <w:right w:val="single" w:color="auto" w:sz="4" w:space="0"/>
                  </w:tcBorders>
                  <w:vAlign w:val="center"/>
                </w:tcPr>
                <w:p w14:paraId="2EFCC415">
                  <w:pPr>
                    <w:widowControl/>
                    <w:jc w:val="center"/>
                  </w:pPr>
                  <w:r>
                    <w:rPr>
                      <w:rFonts w:hint="eastAsia"/>
                    </w:rPr>
                    <w:t>6台</w:t>
                  </w:r>
                </w:p>
              </w:tc>
              <w:tc>
                <w:tcPr>
                  <w:tcW w:w="1164" w:type="pct"/>
                  <w:tcBorders>
                    <w:top w:val="single" w:color="auto" w:sz="4" w:space="0"/>
                    <w:left w:val="single" w:color="auto" w:sz="4" w:space="0"/>
                    <w:bottom w:val="single" w:color="auto" w:sz="4" w:space="0"/>
                    <w:right w:val="single" w:color="auto" w:sz="4" w:space="0"/>
                  </w:tcBorders>
                  <w:vAlign w:val="center"/>
                </w:tcPr>
                <w:p w14:paraId="31FB2FA6">
                  <w:pPr>
                    <w:widowControl/>
                    <w:jc w:val="center"/>
                  </w:pPr>
                  <w:r>
                    <w:rPr>
                      <w:rFonts w:hint="eastAsia"/>
                    </w:rPr>
                    <w:t>单个散热面积60m</w:t>
                  </w:r>
                  <w:r>
                    <w:rPr>
                      <w:rFonts w:hint="eastAsia"/>
                      <w:vertAlign w:val="superscript"/>
                    </w:rPr>
                    <w:t>2</w:t>
                  </w:r>
                </w:p>
              </w:tc>
              <w:tc>
                <w:tcPr>
                  <w:tcW w:w="1470" w:type="pct"/>
                  <w:tcBorders>
                    <w:top w:val="single" w:color="auto" w:sz="4" w:space="0"/>
                    <w:left w:val="single" w:color="auto" w:sz="4" w:space="0"/>
                    <w:bottom w:val="single" w:color="auto" w:sz="4" w:space="0"/>
                    <w:right w:val="single" w:color="auto" w:sz="4" w:space="0"/>
                  </w:tcBorders>
                  <w:vAlign w:val="center"/>
                </w:tcPr>
                <w:p w14:paraId="7E179C66">
                  <w:pPr>
                    <w:widowControl/>
                    <w:jc w:val="center"/>
                  </w:pPr>
                  <w:r>
                    <w:rPr>
                      <w:rFonts w:hint="eastAsia"/>
                    </w:rPr>
                    <w:t>溶剂冷凝</w:t>
                  </w:r>
                </w:p>
              </w:tc>
            </w:tr>
            <w:tr w14:paraId="42E8C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3C2C57E4">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0C348B11">
                  <w:pPr>
                    <w:widowControl/>
                    <w:jc w:val="center"/>
                  </w:pPr>
                  <w:r>
                    <w:rPr>
                      <w:rFonts w:hint="eastAsia"/>
                    </w:rPr>
                    <w:t>溶剂油罐</w:t>
                  </w:r>
                </w:p>
              </w:tc>
              <w:tc>
                <w:tcPr>
                  <w:tcW w:w="498" w:type="pct"/>
                  <w:tcBorders>
                    <w:top w:val="single" w:color="auto" w:sz="4" w:space="0"/>
                    <w:left w:val="single" w:color="auto" w:sz="4" w:space="0"/>
                    <w:bottom w:val="single" w:color="auto" w:sz="4" w:space="0"/>
                    <w:right w:val="single" w:color="auto" w:sz="4" w:space="0"/>
                  </w:tcBorders>
                  <w:vAlign w:val="center"/>
                </w:tcPr>
                <w:p w14:paraId="56C7B85B">
                  <w:pPr>
                    <w:widowControl/>
                    <w:jc w:val="center"/>
                  </w:pPr>
                  <w:r>
                    <w:rPr>
                      <w:rFonts w:hint="eastAsia"/>
                    </w:rPr>
                    <w:t>1个</w:t>
                  </w:r>
                </w:p>
              </w:tc>
              <w:tc>
                <w:tcPr>
                  <w:tcW w:w="1164" w:type="pct"/>
                  <w:tcBorders>
                    <w:top w:val="single" w:color="auto" w:sz="4" w:space="0"/>
                    <w:left w:val="single" w:color="auto" w:sz="4" w:space="0"/>
                    <w:bottom w:val="single" w:color="auto" w:sz="4" w:space="0"/>
                    <w:right w:val="single" w:color="auto" w:sz="4" w:space="0"/>
                  </w:tcBorders>
                  <w:vAlign w:val="center"/>
                </w:tcPr>
                <w:p w14:paraId="46F86934">
                  <w:pPr>
                    <w:widowControl/>
                    <w:jc w:val="center"/>
                  </w:pPr>
                  <w:r>
                    <w:rPr>
                      <w:rFonts w:cs="Cambria Math"/>
                    </w:rPr>
                    <w:t>Φ</w:t>
                  </w:r>
                  <w:r>
                    <w:rPr>
                      <w:rFonts w:hint="eastAsia" w:cs="Cambria Math"/>
                    </w:rPr>
                    <w:t>3m</w:t>
                  </w:r>
                  <w:r>
                    <w:t>×</w:t>
                  </w:r>
                  <w:r>
                    <w:rPr>
                      <w:rFonts w:hint="eastAsia"/>
                    </w:rPr>
                    <w:t>H7.5m（卧式），有效容积50m</w:t>
                  </w:r>
                  <w:r>
                    <w:rPr>
                      <w:rFonts w:hint="eastAsia"/>
                      <w:vertAlign w:val="superscript"/>
                    </w:rPr>
                    <w:t>3</w:t>
                  </w:r>
                </w:p>
              </w:tc>
              <w:tc>
                <w:tcPr>
                  <w:tcW w:w="1470" w:type="pct"/>
                  <w:tcBorders>
                    <w:top w:val="single" w:color="auto" w:sz="4" w:space="0"/>
                    <w:left w:val="single" w:color="auto" w:sz="4" w:space="0"/>
                    <w:bottom w:val="single" w:color="auto" w:sz="4" w:space="0"/>
                    <w:right w:val="single" w:color="auto" w:sz="4" w:space="0"/>
                  </w:tcBorders>
                  <w:vAlign w:val="center"/>
                </w:tcPr>
                <w:p w14:paraId="7B3EC768">
                  <w:pPr>
                    <w:widowControl/>
                    <w:jc w:val="center"/>
                  </w:pPr>
                  <w:r>
                    <w:rPr>
                      <w:rFonts w:hint="eastAsia"/>
                    </w:rPr>
                    <w:t>溶剂油储存</w:t>
                  </w:r>
                </w:p>
              </w:tc>
            </w:tr>
            <w:tr w14:paraId="34C3F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7BCCE653">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7EACE686">
                  <w:pPr>
                    <w:widowControl/>
                    <w:jc w:val="center"/>
                  </w:pPr>
                  <w:r>
                    <w:rPr>
                      <w:rFonts w:hint="eastAsia"/>
                    </w:rPr>
                    <w:t>分水箱</w:t>
                  </w:r>
                </w:p>
              </w:tc>
              <w:tc>
                <w:tcPr>
                  <w:tcW w:w="498" w:type="pct"/>
                  <w:tcBorders>
                    <w:top w:val="single" w:color="auto" w:sz="4" w:space="0"/>
                    <w:left w:val="single" w:color="auto" w:sz="4" w:space="0"/>
                    <w:bottom w:val="single" w:color="auto" w:sz="4" w:space="0"/>
                    <w:right w:val="single" w:color="auto" w:sz="4" w:space="0"/>
                  </w:tcBorders>
                  <w:vAlign w:val="center"/>
                </w:tcPr>
                <w:p w14:paraId="4A14A3EE">
                  <w:pPr>
                    <w:widowControl/>
                    <w:jc w:val="center"/>
                  </w:pPr>
                  <w:r>
                    <w:rPr>
                      <w:rFonts w:hint="eastAsia"/>
                    </w:rPr>
                    <w:t>1个</w:t>
                  </w:r>
                </w:p>
              </w:tc>
              <w:tc>
                <w:tcPr>
                  <w:tcW w:w="1164" w:type="pct"/>
                  <w:tcBorders>
                    <w:top w:val="single" w:color="auto" w:sz="4" w:space="0"/>
                    <w:left w:val="single" w:color="auto" w:sz="4" w:space="0"/>
                    <w:bottom w:val="single" w:color="auto" w:sz="4" w:space="0"/>
                    <w:right w:val="single" w:color="auto" w:sz="4" w:space="0"/>
                  </w:tcBorders>
                  <w:vAlign w:val="center"/>
                </w:tcPr>
                <w:p w14:paraId="14E1C80A">
                  <w:pPr>
                    <w:widowControl/>
                    <w:jc w:val="center"/>
                  </w:pPr>
                  <w:r>
                    <w:rPr>
                      <w:rFonts w:hint="eastAsia"/>
                    </w:rPr>
                    <w:t>20m</w:t>
                  </w:r>
                  <w:r>
                    <w:rPr>
                      <w:rFonts w:hint="eastAsia"/>
                      <w:vertAlign w:val="superscript"/>
                    </w:rPr>
                    <w:t>3</w:t>
                  </w:r>
                </w:p>
              </w:tc>
              <w:tc>
                <w:tcPr>
                  <w:tcW w:w="1470" w:type="pct"/>
                  <w:tcBorders>
                    <w:top w:val="single" w:color="auto" w:sz="4" w:space="0"/>
                    <w:left w:val="single" w:color="auto" w:sz="4" w:space="0"/>
                    <w:bottom w:val="single" w:color="auto" w:sz="4" w:space="0"/>
                    <w:right w:val="single" w:color="auto" w:sz="4" w:space="0"/>
                  </w:tcBorders>
                  <w:vAlign w:val="center"/>
                </w:tcPr>
                <w:p w14:paraId="466F91BF">
                  <w:pPr>
                    <w:widowControl/>
                    <w:jc w:val="center"/>
                  </w:pPr>
                  <w:r>
                    <w:rPr>
                      <w:rFonts w:hint="eastAsia"/>
                    </w:rPr>
                    <w:t>溶剂冷凝</w:t>
                  </w:r>
                </w:p>
              </w:tc>
            </w:tr>
            <w:tr w14:paraId="31D24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37D463A8">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69FFF5B3">
                  <w:pPr>
                    <w:widowControl/>
                    <w:jc w:val="center"/>
                  </w:pPr>
                  <w:r>
                    <w:rPr>
                      <w:rFonts w:hint="eastAsia"/>
                    </w:rPr>
                    <w:t>冷却塔</w:t>
                  </w:r>
                </w:p>
              </w:tc>
              <w:tc>
                <w:tcPr>
                  <w:tcW w:w="498" w:type="pct"/>
                  <w:tcBorders>
                    <w:top w:val="single" w:color="auto" w:sz="4" w:space="0"/>
                    <w:left w:val="single" w:color="auto" w:sz="4" w:space="0"/>
                    <w:bottom w:val="single" w:color="auto" w:sz="4" w:space="0"/>
                    <w:right w:val="single" w:color="auto" w:sz="4" w:space="0"/>
                  </w:tcBorders>
                  <w:vAlign w:val="center"/>
                </w:tcPr>
                <w:p w14:paraId="1B81D3C8">
                  <w:pPr>
                    <w:widowControl/>
                    <w:jc w:val="center"/>
                  </w:pPr>
                  <w:r>
                    <w:rPr>
                      <w:rFonts w:hint="eastAsia"/>
                    </w:rPr>
                    <w:t>1个</w:t>
                  </w:r>
                </w:p>
              </w:tc>
              <w:tc>
                <w:tcPr>
                  <w:tcW w:w="1164" w:type="pct"/>
                  <w:tcBorders>
                    <w:top w:val="single" w:color="auto" w:sz="4" w:space="0"/>
                    <w:left w:val="single" w:color="auto" w:sz="4" w:space="0"/>
                    <w:bottom w:val="single" w:color="auto" w:sz="4" w:space="0"/>
                    <w:right w:val="single" w:color="auto" w:sz="4" w:space="0"/>
                  </w:tcBorders>
                  <w:vAlign w:val="center"/>
                </w:tcPr>
                <w:p w14:paraId="5EA66DE1">
                  <w:pPr>
                    <w:widowControl/>
                    <w:jc w:val="center"/>
                  </w:pPr>
                  <w:r>
                    <w:rPr>
                      <w:rFonts w:hint="eastAsia"/>
                    </w:rPr>
                    <w:t>120m</w:t>
                  </w:r>
                  <w:r>
                    <w:rPr>
                      <w:rFonts w:hint="eastAsia"/>
                      <w:vertAlign w:val="superscript"/>
                    </w:rPr>
                    <w:t>3</w:t>
                  </w:r>
                  <w:r>
                    <w:rPr>
                      <w:rFonts w:hint="eastAsia"/>
                    </w:rPr>
                    <w:t>/h</w:t>
                  </w:r>
                </w:p>
              </w:tc>
              <w:tc>
                <w:tcPr>
                  <w:tcW w:w="1470" w:type="pct"/>
                  <w:tcBorders>
                    <w:top w:val="single" w:color="auto" w:sz="4" w:space="0"/>
                    <w:left w:val="single" w:color="auto" w:sz="4" w:space="0"/>
                    <w:bottom w:val="single" w:color="auto" w:sz="4" w:space="0"/>
                    <w:right w:val="single" w:color="auto" w:sz="4" w:space="0"/>
                  </w:tcBorders>
                  <w:vAlign w:val="center"/>
                </w:tcPr>
                <w:p w14:paraId="7A9FFDCD">
                  <w:pPr>
                    <w:widowControl/>
                    <w:jc w:val="center"/>
                  </w:pPr>
                  <w:r>
                    <w:rPr>
                      <w:rFonts w:hint="eastAsia"/>
                    </w:rPr>
                    <w:t>间接冷却水冷却</w:t>
                  </w:r>
                </w:p>
              </w:tc>
            </w:tr>
            <w:tr w14:paraId="023BA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7478060F">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3B8D7046">
                  <w:pPr>
                    <w:widowControl/>
                    <w:jc w:val="center"/>
                  </w:pPr>
                  <w:r>
                    <w:rPr>
                      <w:rFonts w:hint="eastAsia"/>
                    </w:rPr>
                    <w:t>成品油罐</w:t>
                  </w:r>
                </w:p>
              </w:tc>
              <w:tc>
                <w:tcPr>
                  <w:tcW w:w="498" w:type="pct"/>
                  <w:tcBorders>
                    <w:top w:val="single" w:color="auto" w:sz="4" w:space="0"/>
                    <w:left w:val="single" w:color="auto" w:sz="4" w:space="0"/>
                    <w:bottom w:val="single" w:color="auto" w:sz="4" w:space="0"/>
                    <w:right w:val="single" w:color="auto" w:sz="4" w:space="0"/>
                  </w:tcBorders>
                  <w:vAlign w:val="center"/>
                </w:tcPr>
                <w:p w14:paraId="3C190CF7">
                  <w:pPr>
                    <w:widowControl/>
                    <w:jc w:val="center"/>
                  </w:pPr>
                  <w:r>
                    <w:rPr>
                      <w:rFonts w:hint="eastAsia"/>
                    </w:rPr>
                    <w:t>2个</w:t>
                  </w:r>
                </w:p>
              </w:tc>
              <w:tc>
                <w:tcPr>
                  <w:tcW w:w="1164" w:type="pct"/>
                  <w:tcBorders>
                    <w:top w:val="single" w:color="auto" w:sz="4" w:space="0"/>
                    <w:left w:val="single" w:color="auto" w:sz="4" w:space="0"/>
                    <w:bottom w:val="single" w:color="auto" w:sz="4" w:space="0"/>
                    <w:right w:val="single" w:color="auto" w:sz="4" w:space="0"/>
                  </w:tcBorders>
                  <w:vAlign w:val="center"/>
                </w:tcPr>
                <w:p w14:paraId="1AC959D7">
                  <w:pPr>
                    <w:widowControl/>
                    <w:jc w:val="center"/>
                  </w:pPr>
                  <w:r>
                    <w:rPr>
                      <w:rFonts w:cs="Cambria Math"/>
                    </w:rPr>
                    <w:t>Φ</w:t>
                  </w:r>
                  <w:r>
                    <w:rPr>
                      <w:rFonts w:hint="eastAsia" w:cs="Cambria Math"/>
                    </w:rPr>
                    <w:t>9m</w:t>
                  </w:r>
                  <w:r>
                    <w:t>×</w:t>
                  </w:r>
                  <w:r>
                    <w:rPr>
                      <w:rFonts w:hint="eastAsia"/>
                    </w:rPr>
                    <w:t>H8m，</w:t>
                  </w:r>
                </w:p>
                <w:p w14:paraId="281329E9">
                  <w:pPr>
                    <w:widowControl/>
                    <w:jc w:val="center"/>
                  </w:pPr>
                  <w:r>
                    <w:rPr>
                      <w:rFonts w:hint="eastAsia"/>
                    </w:rPr>
                    <w:t>有效容积400m</w:t>
                  </w:r>
                  <w:r>
                    <w:rPr>
                      <w:rFonts w:hint="eastAsia"/>
                      <w:vertAlign w:val="superscript"/>
                    </w:rPr>
                    <w:t>3</w:t>
                  </w:r>
                </w:p>
              </w:tc>
              <w:tc>
                <w:tcPr>
                  <w:tcW w:w="1470" w:type="pct"/>
                  <w:tcBorders>
                    <w:top w:val="single" w:color="auto" w:sz="4" w:space="0"/>
                    <w:left w:val="single" w:color="auto" w:sz="4" w:space="0"/>
                    <w:bottom w:val="single" w:color="auto" w:sz="4" w:space="0"/>
                    <w:right w:val="single" w:color="auto" w:sz="4" w:space="0"/>
                  </w:tcBorders>
                  <w:vAlign w:val="center"/>
                </w:tcPr>
                <w:p w14:paraId="1ED0A642">
                  <w:pPr>
                    <w:widowControl/>
                    <w:jc w:val="center"/>
                  </w:pPr>
                  <w:r>
                    <w:rPr>
                      <w:rFonts w:hint="eastAsia"/>
                    </w:rPr>
                    <w:t>产品储存</w:t>
                  </w:r>
                </w:p>
              </w:tc>
            </w:tr>
            <w:tr w14:paraId="742B1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restart"/>
                  <w:tcBorders>
                    <w:left w:val="single" w:color="auto" w:sz="4" w:space="0"/>
                    <w:right w:val="single" w:color="auto" w:sz="4" w:space="0"/>
                  </w:tcBorders>
                  <w:vAlign w:val="center"/>
                </w:tcPr>
                <w:p w14:paraId="7A283285">
                  <w:pPr>
                    <w:jc w:val="center"/>
                    <w:rPr>
                      <w:kern w:val="0"/>
                    </w:rPr>
                  </w:pPr>
                  <w:r>
                    <w:rPr>
                      <w:rFonts w:hint="eastAsia"/>
                      <w:kern w:val="0"/>
                    </w:rPr>
                    <w:t>辅助公用单元</w:t>
                  </w:r>
                </w:p>
              </w:tc>
              <w:tc>
                <w:tcPr>
                  <w:tcW w:w="1224" w:type="pct"/>
                  <w:tcBorders>
                    <w:top w:val="single" w:color="auto" w:sz="4" w:space="0"/>
                    <w:left w:val="single" w:color="auto" w:sz="4" w:space="0"/>
                    <w:bottom w:val="single" w:color="auto" w:sz="4" w:space="0"/>
                    <w:right w:val="single" w:color="auto" w:sz="4" w:space="0"/>
                  </w:tcBorders>
                  <w:vAlign w:val="center"/>
                </w:tcPr>
                <w:p w14:paraId="73270269">
                  <w:pPr>
                    <w:widowControl/>
                    <w:jc w:val="center"/>
                  </w:pPr>
                  <w:r>
                    <w:rPr>
                      <w:rFonts w:hint="eastAsia"/>
                    </w:rPr>
                    <w:t>生物质成型燃料锅炉</w:t>
                  </w:r>
                </w:p>
              </w:tc>
              <w:tc>
                <w:tcPr>
                  <w:tcW w:w="498" w:type="pct"/>
                  <w:tcBorders>
                    <w:top w:val="single" w:color="auto" w:sz="4" w:space="0"/>
                    <w:left w:val="single" w:color="auto" w:sz="4" w:space="0"/>
                    <w:bottom w:val="single" w:color="auto" w:sz="4" w:space="0"/>
                    <w:right w:val="single" w:color="auto" w:sz="4" w:space="0"/>
                  </w:tcBorders>
                  <w:vAlign w:val="center"/>
                </w:tcPr>
                <w:p w14:paraId="3A947E24">
                  <w:pPr>
                    <w:widowControl/>
                    <w:jc w:val="center"/>
                  </w:pPr>
                  <w:r>
                    <w:rPr>
                      <w:rFonts w:hint="eastAsia"/>
                    </w:rPr>
                    <w:t>1台</w:t>
                  </w:r>
                </w:p>
              </w:tc>
              <w:tc>
                <w:tcPr>
                  <w:tcW w:w="1164" w:type="pct"/>
                  <w:tcBorders>
                    <w:top w:val="single" w:color="auto" w:sz="4" w:space="0"/>
                    <w:left w:val="single" w:color="auto" w:sz="4" w:space="0"/>
                    <w:bottom w:val="single" w:color="auto" w:sz="4" w:space="0"/>
                    <w:right w:val="single" w:color="auto" w:sz="4" w:space="0"/>
                  </w:tcBorders>
                  <w:vAlign w:val="center"/>
                </w:tcPr>
                <w:p w14:paraId="6DB7F8A0">
                  <w:pPr>
                    <w:widowControl/>
                    <w:jc w:val="center"/>
                  </w:pPr>
                  <w:r>
                    <w:rPr>
                      <w:rFonts w:hint="eastAsia"/>
                    </w:rPr>
                    <w:t>6 t/h</w:t>
                  </w:r>
                </w:p>
              </w:tc>
              <w:tc>
                <w:tcPr>
                  <w:tcW w:w="1470" w:type="pct"/>
                  <w:tcBorders>
                    <w:top w:val="single" w:color="auto" w:sz="4" w:space="0"/>
                    <w:left w:val="single" w:color="auto" w:sz="4" w:space="0"/>
                    <w:bottom w:val="single" w:color="auto" w:sz="4" w:space="0"/>
                    <w:right w:val="single" w:color="auto" w:sz="4" w:space="0"/>
                  </w:tcBorders>
                  <w:vAlign w:val="center"/>
                </w:tcPr>
                <w:p w14:paraId="45CA1241">
                  <w:pPr>
                    <w:widowControl/>
                    <w:jc w:val="center"/>
                  </w:pPr>
                  <w:r>
                    <w:rPr>
                      <w:rFonts w:hint="eastAsia"/>
                    </w:rPr>
                    <w:t>供热</w:t>
                  </w:r>
                </w:p>
              </w:tc>
            </w:tr>
            <w:tr w14:paraId="2437D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2D292B1F">
                  <w:pPr>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1F6807A0">
                  <w:pPr>
                    <w:widowControl/>
                    <w:jc w:val="center"/>
                  </w:pPr>
                  <w:r>
                    <w:rPr>
                      <w:rFonts w:hint="eastAsia"/>
                    </w:rPr>
                    <w:t>生活污水处理系统</w:t>
                  </w:r>
                </w:p>
              </w:tc>
              <w:tc>
                <w:tcPr>
                  <w:tcW w:w="498" w:type="pct"/>
                  <w:tcBorders>
                    <w:top w:val="single" w:color="auto" w:sz="4" w:space="0"/>
                    <w:left w:val="single" w:color="auto" w:sz="4" w:space="0"/>
                    <w:bottom w:val="single" w:color="auto" w:sz="4" w:space="0"/>
                    <w:right w:val="single" w:color="auto" w:sz="4" w:space="0"/>
                  </w:tcBorders>
                  <w:vAlign w:val="center"/>
                </w:tcPr>
                <w:p w14:paraId="74F943E9">
                  <w:pPr>
                    <w:widowControl/>
                    <w:jc w:val="center"/>
                  </w:pPr>
                  <w:r>
                    <w:rPr>
                      <w:rFonts w:hint="eastAsia"/>
                      <w:kern w:val="0"/>
                    </w:rPr>
                    <w:t>1套</w:t>
                  </w:r>
                </w:p>
              </w:tc>
              <w:tc>
                <w:tcPr>
                  <w:tcW w:w="1164" w:type="pct"/>
                  <w:tcBorders>
                    <w:top w:val="single" w:color="auto" w:sz="4" w:space="0"/>
                    <w:left w:val="single" w:color="auto" w:sz="4" w:space="0"/>
                    <w:bottom w:val="single" w:color="auto" w:sz="4" w:space="0"/>
                    <w:right w:val="single" w:color="auto" w:sz="4" w:space="0"/>
                  </w:tcBorders>
                  <w:vAlign w:val="center"/>
                </w:tcPr>
                <w:p w14:paraId="19AF4A17">
                  <w:pPr>
                    <w:widowControl/>
                    <w:jc w:val="center"/>
                    <w:rPr>
                      <w:kern w:val="0"/>
                    </w:rPr>
                  </w:pPr>
                  <w:r>
                    <w:rPr>
                      <w:rFonts w:hint="eastAsia"/>
                      <w:kern w:val="0"/>
                    </w:rPr>
                    <w:t>1</w:t>
                  </w:r>
                  <w:r>
                    <w:rPr>
                      <w:rFonts w:hint="eastAsia"/>
                    </w:rPr>
                    <w:t xml:space="preserve"> m</w:t>
                  </w:r>
                  <w:r>
                    <w:rPr>
                      <w:rFonts w:hint="eastAsia"/>
                      <w:vertAlign w:val="superscript"/>
                    </w:rPr>
                    <w:t>3</w:t>
                  </w:r>
                  <w:r>
                    <w:rPr>
                      <w:rFonts w:hint="eastAsia"/>
                      <w:kern w:val="0"/>
                    </w:rPr>
                    <w:t>/d</w:t>
                  </w:r>
                </w:p>
              </w:tc>
              <w:tc>
                <w:tcPr>
                  <w:tcW w:w="1470" w:type="pct"/>
                  <w:tcBorders>
                    <w:top w:val="single" w:color="auto" w:sz="4" w:space="0"/>
                    <w:left w:val="single" w:color="auto" w:sz="4" w:space="0"/>
                    <w:bottom w:val="single" w:color="auto" w:sz="4" w:space="0"/>
                    <w:right w:val="single" w:color="auto" w:sz="4" w:space="0"/>
                  </w:tcBorders>
                  <w:vAlign w:val="center"/>
                </w:tcPr>
                <w:p w14:paraId="62908B26">
                  <w:pPr>
                    <w:widowControl/>
                    <w:jc w:val="center"/>
                    <w:rPr>
                      <w:kern w:val="0"/>
                    </w:rPr>
                  </w:pPr>
                  <w:r>
                    <w:rPr>
                      <w:rFonts w:hint="eastAsia"/>
                      <w:kern w:val="0"/>
                    </w:rPr>
                    <w:t>生活污水处理，依托现有</w:t>
                  </w:r>
                </w:p>
              </w:tc>
            </w:tr>
            <w:tr w14:paraId="1C869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47F22B92">
                  <w:pPr>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307E67BE">
                  <w:pPr>
                    <w:widowControl/>
                    <w:jc w:val="center"/>
                  </w:pPr>
                  <w:r>
                    <w:rPr>
                      <w:rFonts w:hint="eastAsia"/>
                    </w:rPr>
                    <w:t>废气处理系统</w:t>
                  </w:r>
                </w:p>
              </w:tc>
              <w:tc>
                <w:tcPr>
                  <w:tcW w:w="498" w:type="pct"/>
                  <w:tcBorders>
                    <w:top w:val="single" w:color="auto" w:sz="4" w:space="0"/>
                    <w:left w:val="single" w:color="auto" w:sz="4" w:space="0"/>
                    <w:bottom w:val="single" w:color="auto" w:sz="4" w:space="0"/>
                    <w:right w:val="single" w:color="auto" w:sz="4" w:space="0"/>
                  </w:tcBorders>
                  <w:vAlign w:val="center"/>
                </w:tcPr>
                <w:p w14:paraId="7C5EA67B">
                  <w:pPr>
                    <w:widowControl/>
                    <w:jc w:val="center"/>
                  </w:pPr>
                  <w:r>
                    <w:rPr>
                      <w:rFonts w:hint="eastAsia"/>
                      <w:kern w:val="0"/>
                    </w:rPr>
                    <w:t>1套</w:t>
                  </w:r>
                </w:p>
              </w:tc>
              <w:tc>
                <w:tcPr>
                  <w:tcW w:w="1164" w:type="pct"/>
                  <w:tcBorders>
                    <w:top w:val="single" w:color="auto" w:sz="4" w:space="0"/>
                    <w:left w:val="single" w:color="auto" w:sz="4" w:space="0"/>
                    <w:bottom w:val="single" w:color="auto" w:sz="4" w:space="0"/>
                    <w:right w:val="single" w:color="auto" w:sz="4" w:space="0"/>
                  </w:tcBorders>
                  <w:vAlign w:val="center"/>
                </w:tcPr>
                <w:p w14:paraId="5625C14E">
                  <w:pPr>
                    <w:widowControl/>
                    <w:jc w:val="center"/>
                    <w:rPr>
                      <w:kern w:val="0"/>
                    </w:rPr>
                  </w:pPr>
                  <w:r>
                    <w:rPr>
                      <w:rFonts w:hint="eastAsia"/>
                      <w:kern w:val="0"/>
                    </w:rPr>
                    <w:t>9000</w:t>
                  </w:r>
                  <w:r>
                    <w:rPr>
                      <w:rFonts w:hint="eastAsia"/>
                    </w:rPr>
                    <w:t xml:space="preserve"> m</w:t>
                  </w:r>
                  <w:r>
                    <w:rPr>
                      <w:rFonts w:hint="eastAsia"/>
                      <w:vertAlign w:val="superscript"/>
                    </w:rPr>
                    <w:t>3</w:t>
                  </w:r>
                  <w:r>
                    <w:rPr>
                      <w:rFonts w:hint="eastAsia"/>
                      <w:kern w:val="0"/>
                    </w:rPr>
                    <w:t>/h</w:t>
                  </w:r>
                </w:p>
              </w:tc>
              <w:tc>
                <w:tcPr>
                  <w:tcW w:w="1470" w:type="pct"/>
                  <w:tcBorders>
                    <w:top w:val="single" w:color="auto" w:sz="4" w:space="0"/>
                    <w:left w:val="single" w:color="auto" w:sz="4" w:space="0"/>
                    <w:bottom w:val="single" w:color="auto" w:sz="4" w:space="0"/>
                    <w:right w:val="single" w:color="auto" w:sz="4" w:space="0"/>
                  </w:tcBorders>
                  <w:vAlign w:val="center"/>
                </w:tcPr>
                <w:p w14:paraId="0212FCEF">
                  <w:pPr>
                    <w:widowControl/>
                    <w:jc w:val="center"/>
                    <w:rPr>
                      <w:kern w:val="0"/>
                    </w:rPr>
                  </w:pPr>
                  <w:r>
                    <w:rPr>
                      <w:rFonts w:hint="eastAsia"/>
                      <w:kern w:val="0"/>
                    </w:rPr>
                    <w:t>废气处理</w:t>
                  </w:r>
                </w:p>
              </w:tc>
            </w:tr>
            <w:tr w14:paraId="6999C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58683F76">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32578901">
                  <w:pPr>
                    <w:widowControl/>
                    <w:jc w:val="center"/>
                  </w:pPr>
                  <w:r>
                    <w:rPr>
                      <w:rFonts w:hint="eastAsia"/>
                    </w:rPr>
                    <w:t>危废暂存间</w:t>
                  </w:r>
                </w:p>
              </w:tc>
              <w:tc>
                <w:tcPr>
                  <w:tcW w:w="498" w:type="pct"/>
                  <w:tcBorders>
                    <w:top w:val="single" w:color="auto" w:sz="4" w:space="0"/>
                    <w:left w:val="single" w:color="auto" w:sz="4" w:space="0"/>
                    <w:bottom w:val="single" w:color="auto" w:sz="4" w:space="0"/>
                    <w:right w:val="single" w:color="auto" w:sz="4" w:space="0"/>
                  </w:tcBorders>
                  <w:vAlign w:val="center"/>
                </w:tcPr>
                <w:p w14:paraId="632FBDDC">
                  <w:pPr>
                    <w:widowControl/>
                    <w:jc w:val="center"/>
                    <w:rPr>
                      <w:kern w:val="0"/>
                    </w:rPr>
                  </w:pPr>
                  <w:r>
                    <w:rPr>
                      <w:rFonts w:hint="eastAsia"/>
                    </w:rPr>
                    <w:t>1间</w:t>
                  </w:r>
                </w:p>
              </w:tc>
              <w:tc>
                <w:tcPr>
                  <w:tcW w:w="1164" w:type="pct"/>
                  <w:tcBorders>
                    <w:top w:val="single" w:color="auto" w:sz="4" w:space="0"/>
                    <w:left w:val="single" w:color="auto" w:sz="4" w:space="0"/>
                    <w:bottom w:val="single" w:color="auto" w:sz="4" w:space="0"/>
                    <w:right w:val="single" w:color="auto" w:sz="4" w:space="0"/>
                  </w:tcBorders>
                  <w:vAlign w:val="center"/>
                </w:tcPr>
                <w:p w14:paraId="39937A3D">
                  <w:pPr>
                    <w:widowControl/>
                    <w:jc w:val="center"/>
                    <w:rPr>
                      <w:kern w:val="0"/>
                    </w:rPr>
                  </w:pPr>
                  <w:r>
                    <w:rPr>
                      <w:rFonts w:hint="eastAsia"/>
                    </w:rPr>
                    <w:t>20</w:t>
                  </w:r>
                  <w:r>
                    <w:t xml:space="preserve"> m</w:t>
                  </w:r>
                  <w:r>
                    <w:rPr>
                      <w:vertAlign w:val="superscript"/>
                    </w:rPr>
                    <w:t>2</w:t>
                  </w:r>
                </w:p>
              </w:tc>
              <w:tc>
                <w:tcPr>
                  <w:tcW w:w="1470" w:type="pct"/>
                  <w:tcBorders>
                    <w:top w:val="single" w:color="auto" w:sz="4" w:space="0"/>
                    <w:left w:val="single" w:color="auto" w:sz="4" w:space="0"/>
                    <w:bottom w:val="single" w:color="auto" w:sz="4" w:space="0"/>
                    <w:right w:val="single" w:color="auto" w:sz="4" w:space="0"/>
                  </w:tcBorders>
                  <w:vAlign w:val="center"/>
                </w:tcPr>
                <w:p w14:paraId="5904C2FB">
                  <w:pPr>
                    <w:widowControl/>
                    <w:jc w:val="center"/>
                    <w:rPr>
                      <w:kern w:val="0"/>
                    </w:rPr>
                  </w:pPr>
                  <w:r>
                    <w:rPr>
                      <w:rFonts w:hint="eastAsia"/>
                      <w:kern w:val="0"/>
                    </w:rPr>
                    <w:t>危险废物暂存，依托现有</w:t>
                  </w:r>
                </w:p>
              </w:tc>
            </w:tr>
            <w:tr w14:paraId="7256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bottom w:val="single" w:color="auto" w:sz="4" w:space="0"/>
                    <w:right w:val="single" w:color="auto" w:sz="4" w:space="0"/>
                  </w:tcBorders>
                  <w:vAlign w:val="center"/>
                </w:tcPr>
                <w:p w14:paraId="67EEC9A9">
                  <w:pPr>
                    <w:widowControl/>
                    <w:jc w:val="center"/>
                    <w:rPr>
                      <w:kern w:val="0"/>
                    </w:rPr>
                  </w:pPr>
                </w:p>
              </w:tc>
              <w:tc>
                <w:tcPr>
                  <w:tcW w:w="1224" w:type="pct"/>
                  <w:tcBorders>
                    <w:top w:val="single" w:color="auto" w:sz="4" w:space="0"/>
                    <w:left w:val="single" w:color="auto" w:sz="4" w:space="0"/>
                    <w:bottom w:val="single" w:color="auto" w:sz="4" w:space="0"/>
                    <w:right w:val="single" w:color="auto" w:sz="4" w:space="0"/>
                  </w:tcBorders>
                  <w:vAlign w:val="center"/>
                </w:tcPr>
                <w:p w14:paraId="4EBB5706">
                  <w:pPr>
                    <w:widowControl/>
                    <w:jc w:val="center"/>
                  </w:pPr>
                  <w:r>
                    <w:rPr>
                      <w:rFonts w:hint="eastAsia"/>
                    </w:rPr>
                    <w:t>一般固废暂存区</w:t>
                  </w:r>
                </w:p>
              </w:tc>
              <w:tc>
                <w:tcPr>
                  <w:tcW w:w="498" w:type="pct"/>
                  <w:tcBorders>
                    <w:top w:val="single" w:color="auto" w:sz="4" w:space="0"/>
                    <w:left w:val="single" w:color="auto" w:sz="4" w:space="0"/>
                    <w:bottom w:val="single" w:color="auto" w:sz="4" w:space="0"/>
                    <w:right w:val="single" w:color="auto" w:sz="4" w:space="0"/>
                  </w:tcBorders>
                  <w:vAlign w:val="center"/>
                </w:tcPr>
                <w:p w14:paraId="040659F9">
                  <w:pPr>
                    <w:widowControl/>
                    <w:jc w:val="center"/>
                    <w:rPr>
                      <w:kern w:val="0"/>
                    </w:rPr>
                  </w:pPr>
                  <w:r>
                    <w:rPr>
                      <w:rFonts w:hint="eastAsia"/>
                      <w:kern w:val="0"/>
                    </w:rPr>
                    <w:t>1处</w:t>
                  </w:r>
                </w:p>
              </w:tc>
              <w:tc>
                <w:tcPr>
                  <w:tcW w:w="1164" w:type="pct"/>
                  <w:tcBorders>
                    <w:top w:val="single" w:color="auto" w:sz="4" w:space="0"/>
                    <w:left w:val="single" w:color="auto" w:sz="4" w:space="0"/>
                    <w:bottom w:val="single" w:color="auto" w:sz="4" w:space="0"/>
                    <w:right w:val="single" w:color="auto" w:sz="4" w:space="0"/>
                  </w:tcBorders>
                  <w:vAlign w:val="center"/>
                </w:tcPr>
                <w:p w14:paraId="29E5EA55">
                  <w:pPr>
                    <w:widowControl/>
                    <w:jc w:val="center"/>
                    <w:rPr>
                      <w:kern w:val="0"/>
                    </w:rPr>
                  </w:pPr>
                  <w:r>
                    <w:rPr>
                      <w:rFonts w:hint="eastAsia"/>
                      <w:kern w:val="0"/>
                    </w:rPr>
                    <w:t>450</w:t>
                  </w:r>
                  <w:r>
                    <w:t xml:space="preserve"> m</w:t>
                  </w:r>
                  <w:r>
                    <w:rPr>
                      <w:vertAlign w:val="superscript"/>
                    </w:rPr>
                    <w:t>2</w:t>
                  </w:r>
                </w:p>
              </w:tc>
              <w:tc>
                <w:tcPr>
                  <w:tcW w:w="1470" w:type="pct"/>
                  <w:tcBorders>
                    <w:top w:val="single" w:color="auto" w:sz="4" w:space="0"/>
                    <w:left w:val="single" w:color="auto" w:sz="4" w:space="0"/>
                    <w:bottom w:val="single" w:color="auto" w:sz="4" w:space="0"/>
                    <w:right w:val="single" w:color="auto" w:sz="4" w:space="0"/>
                  </w:tcBorders>
                  <w:vAlign w:val="center"/>
                </w:tcPr>
                <w:p w14:paraId="22422AFD">
                  <w:pPr>
                    <w:widowControl/>
                    <w:jc w:val="center"/>
                    <w:rPr>
                      <w:kern w:val="0"/>
                    </w:rPr>
                  </w:pPr>
                  <w:r>
                    <w:rPr>
                      <w:rFonts w:hint="eastAsia"/>
                      <w:kern w:val="0"/>
                    </w:rPr>
                    <w:t>一般固废暂存</w:t>
                  </w:r>
                </w:p>
              </w:tc>
            </w:tr>
          </w:tbl>
          <w:p w14:paraId="082AE2E8">
            <w:pPr>
              <w:pStyle w:val="14"/>
              <w:spacing w:before="120" w:after="0" w:afterLines="0" w:line="360" w:lineRule="auto"/>
              <w:rPr>
                <w:rFonts w:eastAsia="宋体"/>
                <w:b/>
                <w:sz w:val="21"/>
              </w:rPr>
            </w:pPr>
            <w:r>
              <w:rPr>
                <w:rFonts w:hint="eastAsia" w:eastAsia="宋体"/>
                <w:b/>
                <w:sz w:val="21"/>
              </w:rPr>
              <w:t>表2-5 改扩建前后主要生产设施变化情况</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2191"/>
              <w:gridCol w:w="1643"/>
              <w:gridCol w:w="1928"/>
              <w:gridCol w:w="2043"/>
            </w:tblGrid>
            <w:tr w14:paraId="3095A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restart"/>
                  <w:tcBorders>
                    <w:top w:val="single" w:color="auto" w:sz="4" w:space="0"/>
                    <w:left w:val="single" w:color="auto" w:sz="4" w:space="0"/>
                    <w:right w:val="single" w:color="auto" w:sz="4" w:space="0"/>
                  </w:tcBorders>
                  <w:vAlign w:val="center"/>
                </w:tcPr>
                <w:p w14:paraId="704F88C3">
                  <w:pPr>
                    <w:widowControl/>
                    <w:jc w:val="center"/>
                    <w:rPr>
                      <w:b/>
                      <w:kern w:val="0"/>
                    </w:rPr>
                  </w:pPr>
                  <w:r>
                    <w:rPr>
                      <w:b/>
                      <w:kern w:val="0"/>
                    </w:rPr>
                    <w:t>主要生产单元</w:t>
                  </w:r>
                </w:p>
              </w:tc>
              <w:tc>
                <w:tcPr>
                  <w:tcW w:w="1223" w:type="pct"/>
                  <w:vMerge w:val="restart"/>
                  <w:tcBorders>
                    <w:top w:val="single" w:color="auto" w:sz="4" w:space="0"/>
                    <w:left w:val="single" w:color="auto" w:sz="4" w:space="0"/>
                    <w:right w:val="single" w:color="auto" w:sz="4" w:space="0"/>
                  </w:tcBorders>
                  <w:vAlign w:val="center"/>
                </w:tcPr>
                <w:p w14:paraId="363EA0AB">
                  <w:pPr>
                    <w:widowControl/>
                    <w:jc w:val="center"/>
                    <w:rPr>
                      <w:b/>
                      <w:kern w:val="0"/>
                    </w:rPr>
                  </w:pPr>
                  <w:r>
                    <w:rPr>
                      <w:b/>
                      <w:kern w:val="0"/>
                    </w:rPr>
                    <w:t>生产设施名称</w:t>
                  </w:r>
                </w:p>
              </w:tc>
              <w:tc>
                <w:tcPr>
                  <w:tcW w:w="3133" w:type="pct"/>
                  <w:gridSpan w:val="3"/>
                  <w:tcBorders>
                    <w:top w:val="single" w:color="auto" w:sz="4" w:space="0"/>
                    <w:left w:val="single" w:color="auto" w:sz="4" w:space="0"/>
                    <w:bottom w:val="single" w:color="auto" w:sz="4" w:space="0"/>
                    <w:right w:val="single" w:color="auto" w:sz="4" w:space="0"/>
                  </w:tcBorders>
                  <w:vAlign w:val="center"/>
                </w:tcPr>
                <w:p w14:paraId="5F573B95">
                  <w:pPr>
                    <w:widowControl/>
                    <w:jc w:val="center"/>
                    <w:rPr>
                      <w:b/>
                      <w:kern w:val="0"/>
                    </w:rPr>
                  </w:pPr>
                  <w:r>
                    <w:rPr>
                      <w:b/>
                      <w:kern w:val="0"/>
                    </w:rPr>
                    <w:t>数量</w:t>
                  </w:r>
                </w:p>
              </w:tc>
            </w:tr>
            <w:tr w14:paraId="7B8F6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bottom w:val="single" w:color="auto" w:sz="4" w:space="0"/>
                    <w:right w:val="single" w:color="auto" w:sz="4" w:space="0"/>
                  </w:tcBorders>
                  <w:vAlign w:val="center"/>
                </w:tcPr>
                <w:p w14:paraId="7CAC709D">
                  <w:pPr>
                    <w:widowControl/>
                    <w:jc w:val="center"/>
                    <w:rPr>
                      <w:b/>
                      <w:kern w:val="0"/>
                    </w:rPr>
                  </w:pPr>
                </w:p>
              </w:tc>
              <w:tc>
                <w:tcPr>
                  <w:tcW w:w="1223" w:type="pct"/>
                  <w:vMerge w:val="continue"/>
                  <w:tcBorders>
                    <w:left w:val="single" w:color="auto" w:sz="4" w:space="0"/>
                    <w:bottom w:val="single" w:color="auto" w:sz="4" w:space="0"/>
                    <w:right w:val="single" w:color="auto" w:sz="4" w:space="0"/>
                  </w:tcBorders>
                  <w:vAlign w:val="center"/>
                </w:tcPr>
                <w:p w14:paraId="7E69391B">
                  <w:pPr>
                    <w:widowControl/>
                    <w:jc w:val="center"/>
                    <w:rPr>
                      <w:b/>
                      <w:kern w:val="0"/>
                    </w:rPr>
                  </w:pPr>
                </w:p>
              </w:tc>
              <w:tc>
                <w:tcPr>
                  <w:tcW w:w="917" w:type="pct"/>
                  <w:tcBorders>
                    <w:top w:val="single" w:color="auto" w:sz="4" w:space="0"/>
                    <w:left w:val="single" w:color="auto" w:sz="4" w:space="0"/>
                    <w:bottom w:val="single" w:color="auto" w:sz="4" w:space="0"/>
                    <w:right w:val="single" w:color="auto" w:sz="4" w:space="0"/>
                  </w:tcBorders>
                  <w:vAlign w:val="center"/>
                </w:tcPr>
                <w:p w14:paraId="25C0CD9A">
                  <w:pPr>
                    <w:widowControl/>
                    <w:jc w:val="center"/>
                    <w:rPr>
                      <w:b/>
                      <w:kern w:val="0"/>
                    </w:rPr>
                  </w:pPr>
                  <w:r>
                    <w:rPr>
                      <w:rFonts w:hint="eastAsia"/>
                      <w:b/>
                      <w:kern w:val="0"/>
                    </w:rPr>
                    <w:t>现有项目</w:t>
                  </w:r>
                </w:p>
              </w:tc>
              <w:tc>
                <w:tcPr>
                  <w:tcW w:w="1076" w:type="pct"/>
                  <w:tcBorders>
                    <w:top w:val="single" w:color="auto" w:sz="4" w:space="0"/>
                    <w:left w:val="single" w:color="auto" w:sz="4" w:space="0"/>
                    <w:bottom w:val="single" w:color="auto" w:sz="4" w:space="0"/>
                    <w:right w:val="single" w:color="auto" w:sz="4" w:space="0"/>
                  </w:tcBorders>
                  <w:vAlign w:val="center"/>
                </w:tcPr>
                <w:p w14:paraId="709C4C1B">
                  <w:pPr>
                    <w:widowControl/>
                    <w:jc w:val="center"/>
                    <w:rPr>
                      <w:b/>
                      <w:kern w:val="0"/>
                    </w:rPr>
                  </w:pPr>
                  <w:r>
                    <w:rPr>
                      <w:rFonts w:hint="eastAsia"/>
                      <w:b/>
                      <w:kern w:val="0"/>
                    </w:rPr>
                    <w:t>改扩建项目</w:t>
                  </w:r>
                </w:p>
              </w:tc>
              <w:tc>
                <w:tcPr>
                  <w:tcW w:w="1140" w:type="pct"/>
                  <w:tcBorders>
                    <w:top w:val="single" w:color="auto" w:sz="4" w:space="0"/>
                    <w:left w:val="single" w:color="auto" w:sz="4" w:space="0"/>
                    <w:bottom w:val="single" w:color="auto" w:sz="4" w:space="0"/>
                    <w:right w:val="single" w:color="auto" w:sz="4" w:space="0"/>
                  </w:tcBorders>
                  <w:vAlign w:val="center"/>
                </w:tcPr>
                <w:p w14:paraId="3720ACBB">
                  <w:pPr>
                    <w:widowControl/>
                    <w:jc w:val="center"/>
                    <w:rPr>
                      <w:b/>
                      <w:kern w:val="0"/>
                    </w:rPr>
                  </w:pPr>
                  <w:r>
                    <w:rPr>
                      <w:rFonts w:hint="eastAsia"/>
                      <w:b/>
                      <w:kern w:val="0"/>
                    </w:rPr>
                    <w:t>改扩建后全厂</w:t>
                  </w:r>
                </w:p>
              </w:tc>
            </w:tr>
            <w:tr w14:paraId="144D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restart"/>
                  <w:tcBorders>
                    <w:left w:val="single" w:color="auto" w:sz="4" w:space="0"/>
                    <w:right w:val="single" w:color="auto" w:sz="4" w:space="0"/>
                  </w:tcBorders>
                  <w:vAlign w:val="center"/>
                </w:tcPr>
                <w:p w14:paraId="7D0FFC4F">
                  <w:pPr>
                    <w:jc w:val="center"/>
                    <w:rPr>
                      <w:b/>
                      <w:kern w:val="0"/>
                    </w:rPr>
                  </w:pPr>
                  <w:r>
                    <w:rPr>
                      <w:rFonts w:hint="eastAsia"/>
                      <w:kern w:val="0"/>
                    </w:rPr>
                    <w:t>废白土储运和加工生产单元</w:t>
                  </w:r>
                </w:p>
              </w:tc>
              <w:tc>
                <w:tcPr>
                  <w:tcW w:w="1223" w:type="pct"/>
                  <w:tcBorders>
                    <w:left w:val="single" w:color="auto" w:sz="4" w:space="0"/>
                    <w:bottom w:val="single" w:color="auto" w:sz="4" w:space="0"/>
                    <w:right w:val="single" w:color="auto" w:sz="4" w:space="0"/>
                  </w:tcBorders>
                  <w:vAlign w:val="center"/>
                </w:tcPr>
                <w:p w14:paraId="694F6765">
                  <w:pPr>
                    <w:widowControl/>
                    <w:jc w:val="center"/>
                    <w:rPr>
                      <w:kern w:val="0"/>
                    </w:rPr>
                  </w:pPr>
                  <w:r>
                    <w:rPr>
                      <w:rFonts w:hint="eastAsia"/>
                      <w:sz w:val="22"/>
                      <w:szCs w:val="22"/>
                    </w:rPr>
                    <w:t>压榨机</w:t>
                  </w:r>
                </w:p>
              </w:tc>
              <w:tc>
                <w:tcPr>
                  <w:tcW w:w="917" w:type="pct"/>
                  <w:tcBorders>
                    <w:top w:val="single" w:color="auto" w:sz="4" w:space="0"/>
                    <w:left w:val="single" w:color="auto" w:sz="4" w:space="0"/>
                    <w:bottom w:val="single" w:color="auto" w:sz="4" w:space="0"/>
                    <w:right w:val="single" w:color="auto" w:sz="4" w:space="0"/>
                  </w:tcBorders>
                  <w:vAlign w:val="center"/>
                </w:tcPr>
                <w:p w14:paraId="263E81E8">
                  <w:pPr>
                    <w:widowControl/>
                    <w:jc w:val="center"/>
                    <w:rPr>
                      <w:kern w:val="0"/>
                    </w:rPr>
                  </w:pPr>
                  <w:r>
                    <w:rPr>
                      <w:rFonts w:hint="eastAsia"/>
                      <w:kern w:val="0"/>
                    </w:rPr>
                    <w:t>12台</w:t>
                  </w:r>
                </w:p>
              </w:tc>
              <w:tc>
                <w:tcPr>
                  <w:tcW w:w="1076" w:type="pct"/>
                  <w:tcBorders>
                    <w:top w:val="single" w:color="auto" w:sz="4" w:space="0"/>
                    <w:left w:val="single" w:color="auto" w:sz="4" w:space="0"/>
                    <w:bottom w:val="single" w:color="auto" w:sz="4" w:space="0"/>
                    <w:right w:val="single" w:color="auto" w:sz="4" w:space="0"/>
                  </w:tcBorders>
                  <w:vAlign w:val="center"/>
                </w:tcPr>
                <w:p w14:paraId="470A708E">
                  <w:pPr>
                    <w:widowControl/>
                    <w:jc w:val="center"/>
                    <w:rPr>
                      <w:kern w:val="0"/>
                    </w:rPr>
                  </w:pPr>
                  <w:r>
                    <w:rPr>
                      <w:rFonts w:hint="eastAsia"/>
                      <w:kern w:val="0"/>
                    </w:rPr>
                    <w:t>0</w:t>
                  </w:r>
                </w:p>
              </w:tc>
              <w:tc>
                <w:tcPr>
                  <w:tcW w:w="1140" w:type="pct"/>
                  <w:tcBorders>
                    <w:top w:val="single" w:color="auto" w:sz="4" w:space="0"/>
                    <w:left w:val="single" w:color="auto" w:sz="4" w:space="0"/>
                    <w:bottom w:val="single" w:color="auto" w:sz="4" w:space="0"/>
                    <w:right w:val="single" w:color="auto" w:sz="4" w:space="0"/>
                  </w:tcBorders>
                  <w:vAlign w:val="center"/>
                </w:tcPr>
                <w:p w14:paraId="768CD82A">
                  <w:pPr>
                    <w:widowControl/>
                    <w:jc w:val="center"/>
                    <w:rPr>
                      <w:kern w:val="0"/>
                    </w:rPr>
                  </w:pPr>
                  <w:r>
                    <w:rPr>
                      <w:rFonts w:hint="eastAsia"/>
                      <w:kern w:val="0"/>
                    </w:rPr>
                    <w:t>12台</w:t>
                  </w:r>
                </w:p>
              </w:tc>
            </w:tr>
            <w:tr w14:paraId="10B5D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60DBA742">
                  <w:pPr>
                    <w:jc w:val="center"/>
                    <w:rPr>
                      <w:b/>
                      <w:kern w:val="0"/>
                    </w:rPr>
                  </w:pPr>
                </w:p>
              </w:tc>
              <w:tc>
                <w:tcPr>
                  <w:tcW w:w="1223" w:type="pct"/>
                  <w:tcBorders>
                    <w:left w:val="single" w:color="auto" w:sz="4" w:space="0"/>
                    <w:bottom w:val="single" w:color="auto" w:sz="4" w:space="0"/>
                    <w:right w:val="single" w:color="auto" w:sz="4" w:space="0"/>
                  </w:tcBorders>
                  <w:vAlign w:val="center"/>
                </w:tcPr>
                <w:p w14:paraId="65AC8716">
                  <w:pPr>
                    <w:widowControl/>
                    <w:jc w:val="center"/>
                    <w:rPr>
                      <w:kern w:val="0"/>
                    </w:rPr>
                  </w:pPr>
                  <w:r>
                    <w:rPr>
                      <w:rFonts w:hint="eastAsia"/>
                      <w:sz w:val="22"/>
                      <w:szCs w:val="22"/>
                    </w:rPr>
                    <w:t>加温废白土炒锅</w:t>
                  </w:r>
                </w:p>
              </w:tc>
              <w:tc>
                <w:tcPr>
                  <w:tcW w:w="917" w:type="pct"/>
                  <w:tcBorders>
                    <w:top w:val="single" w:color="auto" w:sz="4" w:space="0"/>
                    <w:left w:val="single" w:color="auto" w:sz="4" w:space="0"/>
                    <w:bottom w:val="single" w:color="auto" w:sz="4" w:space="0"/>
                    <w:right w:val="single" w:color="auto" w:sz="4" w:space="0"/>
                  </w:tcBorders>
                  <w:vAlign w:val="center"/>
                </w:tcPr>
                <w:p w14:paraId="26C7375A">
                  <w:pPr>
                    <w:widowControl/>
                    <w:jc w:val="center"/>
                    <w:rPr>
                      <w:kern w:val="0"/>
                    </w:rPr>
                  </w:pPr>
                  <w:r>
                    <w:rPr>
                      <w:rFonts w:hint="eastAsia"/>
                      <w:kern w:val="0"/>
                    </w:rPr>
                    <w:t>6台</w:t>
                  </w:r>
                </w:p>
              </w:tc>
              <w:tc>
                <w:tcPr>
                  <w:tcW w:w="1076" w:type="pct"/>
                  <w:tcBorders>
                    <w:top w:val="single" w:color="auto" w:sz="4" w:space="0"/>
                    <w:left w:val="single" w:color="auto" w:sz="4" w:space="0"/>
                    <w:bottom w:val="single" w:color="auto" w:sz="4" w:space="0"/>
                    <w:right w:val="single" w:color="auto" w:sz="4" w:space="0"/>
                  </w:tcBorders>
                  <w:vAlign w:val="center"/>
                </w:tcPr>
                <w:p w14:paraId="43A341CD">
                  <w:pPr>
                    <w:widowControl/>
                    <w:jc w:val="center"/>
                    <w:rPr>
                      <w:kern w:val="0"/>
                    </w:rPr>
                  </w:pPr>
                  <w:r>
                    <w:rPr>
                      <w:rFonts w:hint="eastAsia"/>
                      <w:kern w:val="0"/>
                    </w:rPr>
                    <w:t>0</w:t>
                  </w:r>
                </w:p>
              </w:tc>
              <w:tc>
                <w:tcPr>
                  <w:tcW w:w="1140" w:type="pct"/>
                  <w:tcBorders>
                    <w:top w:val="single" w:color="auto" w:sz="4" w:space="0"/>
                    <w:left w:val="single" w:color="auto" w:sz="4" w:space="0"/>
                    <w:bottom w:val="single" w:color="auto" w:sz="4" w:space="0"/>
                    <w:right w:val="single" w:color="auto" w:sz="4" w:space="0"/>
                  </w:tcBorders>
                  <w:vAlign w:val="center"/>
                </w:tcPr>
                <w:p w14:paraId="69202199">
                  <w:pPr>
                    <w:widowControl/>
                    <w:jc w:val="center"/>
                    <w:rPr>
                      <w:kern w:val="0"/>
                    </w:rPr>
                  </w:pPr>
                  <w:r>
                    <w:rPr>
                      <w:rFonts w:hint="eastAsia"/>
                      <w:kern w:val="0"/>
                    </w:rPr>
                    <w:t>6台</w:t>
                  </w:r>
                </w:p>
              </w:tc>
            </w:tr>
            <w:tr w14:paraId="3F1D4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37F9220B">
                  <w:pPr>
                    <w:jc w:val="center"/>
                    <w:rPr>
                      <w:b/>
                      <w:kern w:val="0"/>
                    </w:rPr>
                  </w:pPr>
                </w:p>
              </w:tc>
              <w:tc>
                <w:tcPr>
                  <w:tcW w:w="1223" w:type="pct"/>
                  <w:tcBorders>
                    <w:left w:val="single" w:color="auto" w:sz="4" w:space="0"/>
                    <w:bottom w:val="single" w:color="auto" w:sz="4" w:space="0"/>
                    <w:right w:val="single" w:color="auto" w:sz="4" w:space="0"/>
                  </w:tcBorders>
                  <w:vAlign w:val="center"/>
                </w:tcPr>
                <w:p w14:paraId="6B9BC0CF">
                  <w:pPr>
                    <w:widowControl/>
                    <w:jc w:val="center"/>
                    <w:rPr>
                      <w:kern w:val="0"/>
                    </w:rPr>
                  </w:pPr>
                  <w:r>
                    <w:rPr>
                      <w:rFonts w:hint="eastAsia"/>
                      <w:sz w:val="22"/>
                      <w:szCs w:val="22"/>
                    </w:rPr>
                    <w:t>地下油池</w:t>
                  </w:r>
                </w:p>
              </w:tc>
              <w:tc>
                <w:tcPr>
                  <w:tcW w:w="917" w:type="pct"/>
                  <w:tcBorders>
                    <w:top w:val="single" w:color="auto" w:sz="4" w:space="0"/>
                    <w:left w:val="single" w:color="auto" w:sz="4" w:space="0"/>
                    <w:bottom w:val="single" w:color="auto" w:sz="4" w:space="0"/>
                    <w:right w:val="single" w:color="auto" w:sz="4" w:space="0"/>
                  </w:tcBorders>
                  <w:vAlign w:val="center"/>
                </w:tcPr>
                <w:p w14:paraId="5140A39C">
                  <w:pPr>
                    <w:widowControl/>
                    <w:jc w:val="center"/>
                    <w:rPr>
                      <w:kern w:val="0"/>
                    </w:rPr>
                  </w:pPr>
                  <w:r>
                    <w:rPr>
                      <w:rFonts w:hint="eastAsia"/>
                      <w:kern w:val="0"/>
                    </w:rPr>
                    <w:t>1个</w:t>
                  </w:r>
                </w:p>
              </w:tc>
              <w:tc>
                <w:tcPr>
                  <w:tcW w:w="1076" w:type="pct"/>
                  <w:tcBorders>
                    <w:top w:val="single" w:color="auto" w:sz="4" w:space="0"/>
                    <w:left w:val="single" w:color="auto" w:sz="4" w:space="0"/>
                    <w:bottom w:val="single" w:color="auto" w:sz="4" w:space="0"/>
                    <w:right w:val="single" w:color="auto" w:sz="4" w:space="0"/>
                  </w:tcBorders>
                  <w:vAlign w:val="center"/>
                </w:tcPr>
                <w:p w14:paraId="37D16C6B">
                  <w:pPr>
                    <w:widowControl/>
                    <w:jc w:val="center"/>
                    <w:rPr>
                      <w:kern w:val="0"/>
                    </w:rPr>
                  </w:pPr>
                  <w:r>
                    <w:rPr>
                      <w:rFonts w:hint="eastAsia"/>
                      <w:kern w:val="0"/>
                    </w:rPr>
                    <w:t>0</w:t>
                  </w:r>
                </w:p>
              </w:tc>
              <w:tc>
                <w:tcPr>
                  <w:tcW w:w="1140" w:type="pct"/>
                  <w:tcBorders>
                    <w:top w:val="single" w:color="auto" w:sz="4" w:space="0"/>
                    <w:left w:val="single" w:color="auto" w:sz="4" w:space="0"/>
                    <w:bottom w:val="single" w:color="auto" w:sz="4" w:space="0"/>
                    <w:right w:val="single" w:color="auto" w:sz="4" w:space="0"/>
                  </w:tcBorders>
                  <w:vAlign w:val="center"/>
                </w:tcPr>
                <w:p w14:paraId="7839090E">
                  <w:pPr>
                    <w:widowControl/>
                    <w:jc w:val="center"/>
                    <w:rPr>
                      <w:kern w:val="0"/>
                    </w:rPr>
                  </w:pPr>
                  <w:r>
                    <w:rPr>
                      <w:rFonts w:hint="eastAsia"/>
                      <w:kern w:val="0"/>
                    </w:rPr>
                    <w:t>1个</w:t>
                  </w:r>
                </w:p>
              </w:tc>
            </w:tr>
            <w:tr w14:paraId="66B6D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5217324D">
                  <w:pPr>
                    <w:jc w:val="center"/>
                    <w:rPr>
                      <w:b/>
                      <w:kern w:val="0"/>
                    </w:rPr>
                  </w:pPr>
                </w:p>
              </w:tc>
              <w:tc>
                <w:tcPr>
                  <w:tcW w:w="1223" w:type="pct"/>
                  <w:tcBorders>
                    <w:left w:val="single" w:color="auto" w:sz="4" w:space="0"/>
                    <w:bottom w:val="single" w:color="auto" w:sz="4" w:space="0"/>
                    <w:right w:val="single" w:color="auto" w:sz="4" w:space="0"/>
                  </w:tcBorders>
                  <w:vAlign w:val="center"/>
                </w:tcPr>
                <w:p w14:paraId="5EF1936E">
                  <w:pPr>
                    <w:widowControl/>
                    <w:jc w:val="center"/>
                    <w:rPr>
                      <w:kern w:val="0"/>
                    </w:rPr>
                  </w:pPr>
                  <w:r>
                    <w:rPr>
                      <w:rFonts w:hint="eastAsia"/>
                      <w:kern w:val="0"/>
                    </w:rPr>
                    <w:t>油水分离罐</w:t>
                  </w:r>
                </w:p>
              </w:tc>
              <w:tc>
                <w:tcPr>
                  <w:tcW w:w="917" w:type="pct"/>
                  <w:tcBorders>
                    <w:top w:val="single" w:color="auto" w:sz="4" w:space="0"/>
                    <w:left w:val="single" w:color="auto" w:sz="4" w:space="0"/>
                    <w:bottom w:val="single" w:color="auto" w:sz="4" w:space="0"/>
                    <w:right w:val="single" w:color="auto" w:sz="4" w:space="0"/>
                  </w:tcBorders>
                  <w:vAlign w:val="center"/>
                </w:tcPr>
                <w:p w14:paraId="74B1CC88">
                  <w:pPr>
                    <w:widowControl/>
                    <w:jc w:val="center"/>
                    <w:rPr>
                      <w:kern w:val="0"/>
                    </w:rPr>
                  </w:pPr>
                  <w:r>
                    <w:rPr>
                      <w:rFonts w:hint="eastAsia"/>
                      <w:kern w:val="0"/>
                    </w:rPr>
                    <w:t>2个</w:t>
                  </w:r>
                </w:p>
              </w:tc>
              <w:tc>
                <w:tcPr>
                  <w:tcW w:w="1076" w:type="pct"/>
                  <w:tcBorders>
                    <w:top w:val="single" w:color="auto" w:sz="4" w:space="0"/>
                    <w:left w:val="single" w:color="auto" w:sz="4" w:space="0"/>
                    <w:bottom w:val="single" w:color="auto" w:sz="4" w:space="0"/>
                    <w:right w:val="single" w:color="auto" w:sz="4" w:space="0"/>
                  </w:tcBorders>
                  <w:vAlign w:val="center"/>
                </w:tcPr>
                <w:p w14:paraId="64007AFC">
                  <w:pPr>
                    <w:widowControl/>
                    <w:jc w:val="center"/>
                    <w:rPr>
                      <w:kern w:val="0"/>
                    </w:rPr>
                  </w:pPr>
                  <w:r>
                    <w:rPr>
                      <w:rFonts w:hint="eastAsia"/>
                      <w:kern w:val="0"/>
                    </w:rPr>
                    <w:t>0</w:t>
                  </w:r>
                </w:p>
              </w:tc>
              <w:tc>
                <w:tcPr>
                  <w:tcW w:w="1140" w:type="pct"/>
                  <w:tcBorders>
                    <w:top w:val="single" w:color="auto" w:sz="4" w:space="0"/>
                    <w:left w:val="single" w:color="auto" w:sz="4" w:space="0"/>
                    <w:bottom w:val="single" w:color="auto" w:sz="4" w:space="0"/>
                    <w:right w:val="single" w:color="auto" w:sz="4" w:space="0"/>
                  </w:tcBorders>
                  <w:vAlign w:val="center"/>
                </w:tcPr>
                <w:p w14:paraId="017AFFE0">
                  <w:pPr>
                    <w:widowControl/>
                    <w:jc w:val="center"/>
                    <w:rPr>
                      <w:kern w:val="0"/>
                    </w:rPr>
                  </w:pPr>
                  <w:r>
                    <w:rPr>
                      <w:rFonts w:hint="eastAsia"/>
                      <w:kern w:val="0"/>
                    </w:rPr>
                    <w:t>2个</w:t>
                  </w:r>
                </w:p>
              </w:tc>
            </w:tr>
            <w:tr w14:paraId="034EA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77578064">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72E5775C">
                  <w:pPr>
                    <w:widowControl/>
                    <w:jc w:val="center"/>
                    <w:rPr>
                      <w:kern w:val="0"/>
                    </w:rPr>
                  </w:pPr>
                  <w:r>
                    <w:rPr>
                      <w:rFonts w:hint="eastAsia"/>
                    </w:rPr>
                    <w:t>造粒机</w:t>
                  </w:r>
                </w:p>
              </w:tc>
              <w:tc>
                <w:tcPr>
                  <w:tcW w:w="917" w:type="pct"/>
                  <w:tcBorders>
                    <w:top w:val="single" w:color="auto" w:sz="4" w:space="0"/>
                    <w:left w:val="single" w:color="auto" w:sz="4" w:space="0"/>
                    <w:bottom w:val="single" w:color="auto" w:sz="4" w:space="0"/>
                    <w:right w:val="single" w:color="auto" w:sz="4" w:space="0"/>
                  </w:tcBorders>
                  <w:vAlign w:val="center"/>
                </w:tcPr>
                <w:p w14:paraId="6820E826">
                  <w:pPr>
                    <w:widowControl/>
                    <w:jc w:val="center"/>
                    <w:rPr>
                      <w:kern w:val="0"/>
                    </w:rPr>
                  </w:pPr>
                  <w:r>
                    <w:rPr>
                      <w:rFonts w:hint="eastAsia"/>
                      <w:kern w:val="0"/>
                    </w:rPr>
                    <w:t>0</w:t>
                  </w:r>
                </w:p>
              </w:tc>
              <w:tc>
                <w:tcPr>
                  <w:tcW w:w="1076" w:type="pct"/>
                  <w:tcBorders>
                    <w:top w:val="single" w:color="auto" w:sz="4" w:space="0"/>
                    <w:left w:val="single" w:color="auto" w:sz="4" w:space="0"/>
                    <w:bottom w:val="single" w:color="auto" w:sz="4" w:space="0"/>
                    <w:right w:val="single" w:color="auto" w:sz="4" w:space="0"/>
                  </w:tcBorders>
                  <w:vAlign w:val="center"/>
                </w:tcPr>
                <w:p w14:paraId="5176F104">
                  <w:pPr>
                    <w:widowControl/>
                    <w:jc w:val="center"/>
                    <w:rPr>
                      <w:kern w:val="0"/>
                    </w:rPr>
                  </w:pPr>
                  <w:r>
                    <w:rPr>
                      <w:rFonts w:hint="eastAsia"/>
                    </w:rPr>
                    <w:t>2台</w:t>
                  </w:r>
                </w:p>
              </w:tc>
              <w:tc>
                <w:tcPr>
                  <w:tcW w:w="1140" w:type="pct"/>
                  <w:tcBorders>
                    <w:top w:val="single" w:color="auto" w:sz="4" w:space="0"/>
                    <w:left w:val="single" w:color="auto" w:sz="4" w:space="0"/>
                    <w:bottom w:val="single" w:color="auto" w:sz="4" w:space="0"/>
                    <w:right w:val="single" w:color="auto" w:sz="4" w:space="0"/>
                  </w:tcBorders>
                  <w:vAlign w:val="center"/>
                </w:tcPr>
                <w:p w14:paraId="5B08FFEB">
                  <w:pPr>
                    <w:widowControl/>
                    <w:jc w:val="center"/>
                    <w:rPr>
                      <w:kern w:val="0"/>
                    </w:rPr>
                  </w:pPr>
                  <w:r>
                    <w:rPr>
                      <w:rFonts w:hint="eastAsia"/>
                    </w:rPr>
                    <w:t>2台</w:t>
                  </w:r>
                </w:p>
              </w:tc>
            </w:tr>
            <w:tr w14:paraId="3E7A2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644" w:type="pct"/>
                  <w:vMerge w:val="continue"/>
                  <w:tcBorders>
                    <w:left w:val="single" w:color="auto" w:sz="4" w:space="0"/>
                    <w:right w:val="single" w:color="auto" w:sz="4" w:space="0"/>
                  </w:tcBorders>
                  <w:vAlign w:val="center"/>
                </w:tcPr>
                <w:p w14:paraId="7CB2154E">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56E8440D">
                  <w:pPr>
                    <w:widowControl/>
                    <w:jc w:val="center"/>
                    <w:rPr>
                      <w:kern w:val="0"/>
                    </w:rPr>
                  </w:pPr>
                  <w:r>
                    <w:rPr>
                      <w:rFonts w:hint="eastAsia"/>
                    </w:rPr>
                    <w:t>浸出罐</w:t>
                  </w:r>
                </w:p>
              </w:tc>
              <w:tc>
                <w:tcPr>
                  <w:tcW w:w="917" w:type="pct"/>
                  <w:tcBorders>
                    <w:top w:val="single" w:color="auto" w:sz="4" w:space="0"/>
                    <w:left w:val="single" w:color="auto" w:sz="4" w:space="0"/>
                    <w:bottom w:val="single" w:color="auto" w:sz="4" w:space="0"/>
                    <w:right w:val="single" w:color="auto" w:sz="4" w:space="0"/>
                  </w:tcBorders>
                  <w:vAlign w:val="center"/>
                </w:tcPr>
                <w:p w14:paraId="27879B17">
                  <w:pPr>
                    <w:widowControl/>
                    <w:jc w:val="center"/>
                  </w:pPr>
                  <w:r>
                    <w:rPr>
                      <w:rFonts w:hint="eastAsia"/>
                    </w:rPr>
                    <w:t>0</w:t>
                  </w:r>
                </w:p>
              </w:tc>
              <w:tc>
                <w:tcPr>
                  <w:tcW w:w="1076" w:type="pct"/>
                  <w:tcBorders>
                    <w:top w:val="single" w:color="auto" w:sz="4" w:space="0"/>
                    <w:left w:val="single" w:color="auto" w:sz="4" w:space="0"/>
                    <w:bottom w:val="single" w:color="auto" w:sz="4" w:space="0"/>
                    <w:right w:val="single" w:color="auto" w:sz="4" w:space="0"/>
                  </w:tcBorders>
                  <w:vAlign w:val="center"/>
                </w:tcPr>
                <w:p w14:paraId="18557835">
                  <w:pPr>
                    <w:widowControl/>
                    <w:jc w:val="center"/>
                  </w:pPr>
                  <w:r>
                    <w:rPr>
                      <w:rFonts w:hint="eastAsia"/>
                    </w:rPr>
                    <w:t>12个</w:t>
                  </w:r>
                </w:p>
              </w:tc>
              <w:tc>
                <w:tcPr>
                  <w:tcW w:w="1140" w:type="pct"/>
                  <w:tcBorders>
                    <w:top w:val="single" w:color="auto" w:sz="4" w:space="0"/>
                    <w:left w:val="single" w:color="auto" w:sz="4" w:space="0"/>
                    <w:bottom w:val="single" w:color="auto" w:sz="4" w:space="0"/>
                    <w:right w:val="single" w:color="auto" w:sz="4" w:space="0"/>
                  </w:tcBorders>
                  <w:vAlign w:val="center"/>
                </w:tcPr>
                <w:p w14:paraId="21F13B3C">
                  <w:pPr>
                    <w:widowControl/>
                    <w:jc w:val="center"/>
                    <w:rPr>
                      <w:rFonts w:cs="Cambria Math"/>
                    </w:rPr>
                  </w:pPr>
                  <w:r>
                    <w:rPr>
                      <w:rFonts w:hint="eastAsia"/>
                    </w:rPr>
                    <w:t>12个</w:t>
                  </w:r>
                </w:p>
              </w:tc>
            </w:tr>
            <w:tr w14:paraId="07BE5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6F1804E2">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07803F33">
                  <w:pPr>
                    <w:widowControl/>
                    <w:jc w:val="center"/>
                  </w:pPr>
                  <w:r>
                    <w:rPr>
                      <w:rFonts w:hint="eastAsia"/>
                    </w:rPr>
                    <w:t>混合油罐</w:t>
                  </w:r>
                </w:p>
              </w:tc>
              <w:tc>
                <w:tcPr>
                  <w:tcW w:w="917" w:type="pct"/>
                  <w:tcBorders>
                    <w:top w:val="single" w:color="auto" w:sz="4" w:space="0"/>
                    <w:left w:val="single" w:color="auto" w:sz="4" w:space="0"/>
                    <w:bottom w:val="single" w:color="auto" w:sz="4" w:space="0"/>
                    <w:right w:val="single" w:color="auto" w:sz="4" w:space="0"/>
                  </w:tcBorders>
                  <w:vAlign w:val="center"/>
                </w:tcPr>
                <w:p w14:paraId="5E054CFC">
                  <w:pPr>
                    <w:widowControl/>
                    <w:jc w:val="center"/>
                  </w:pPr>
                  <w:r>
                    <w:rPr>
                      <w:rFonts w:hint="eastAsia"/>
                    </w:rPr>
                    <w:t>0</w:t>
                  </w:r>
                </w:p>
              </w:tc>
              <w:tc>
                <w:tcPr>
                  <w:tcW w:w="1076" w:type="pct"/>
                  <w:tcBorders>
                    <w:top w:val="single" w:color="auto" w:sz="4" w:space="0"/>
                    <w:left w:val="single" w:color="auto" w:sz="4" w:space="0"/>
                    <w:bottom w:val="single" w:color="auto" w:sz="4" w:space="0"/>
                    <w:right w:val="single" w:color="auto" w:sz="4" w:space="0"/>
                  </w:tcBorders>
                  <w:vAlign w:val="center"/>
                </w:tcPr>
                <w:p w14:paraId="0C674800">
                  <w:pPr>
                    <w:widowControl/>
                    <w:jc w:val="center"/>
                  </w:pPr>
                  <w:r>
                    <w:rPr>
                      <w:rFonts w:hint="eastAsia"/>
                    </w:rPr>
                    <w:t>2个</w:t>
                  </w:r>
                </w:p>
              </w:tc>
              <w:tc>
                <w:tcPr>
                  <w:tcW w:w="1140" w:type="pct"/>
                  <w:tcBorders>
                    <w:top w:val="single" w:color="auto" w:sz="4" w:space="0"/>
                    <w:left w:val="single" w:color="auto" w:sz="4" w:space="0"/>
                    <w:bottom w:val="single" w:color="auto" w:sz="4" w:space="0"/>
                    <w:right w:val="single" w:color="auto" w:sz="4" w:space="0"/>
                  </w:tcBorders>
                  <w:vAlign w:val="center"/>
                </w:tcPr>
                <w:p w14:paraId="7141E36A">
                  <w:pPr>
                    <w:widowControl/>
                    <w:jc w:val="center"/>
                    <w:rPr>
                      <w:rFonts w:cs="Cambria Math"/>
                    </w:rPr>
                  </w:pPr>
                  <w:r>
                    <w:rPr>
                      <w:rFonts w:hint="eastAsia"/>
                    </w:rPr>
                    <w:t>2个</w:t>
                  </w:r>
                </w:p>
              </w:tc>
            </w:tr>
            <w:tr w14:paraId="66BB1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55189CD0">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2C44C137">
                  <w:pPr>
                    <w:widowControl/>
                    <w:jc w:val="center"/>
                  </w:pPr>
                  <w:r>
                    <w:rPr>
                      <w:rFonts w:hint="eastAsia"/>
                    </w:rPr>
                    <w:t>蒸发器</w:t>
                  </w:r>
                </w:p>
              </w:tc>
              <w:tc>
                <w:tcPr>
                  <w:tcW w:w="917" w:type="pct"/>
                  <w:tcBorders>
                    <w:top w:val="single" w:color="auto" w:sz="4" w:space="0"/>
                    <w:left w:val="single" w:color="auto" w:sz="4" w:space="0"/>
                    <w:bottom w:val="single" w:color="auto" w:sz="4" w:space="0"/>
                    <w:right w:val="single" w:color="auto" w:sz="4" w:space="0"/>
                  </w:tcBorders>
                  <w:vAlign w:val="center"/>
                </w:tcPr>
                <w:p w14:paraId="64B512CD">
                  <w:pPr>
                    <w:widowControl/>
                    <w:jc w:val="center"/>
                  </w:pPr>
                  <w:r>
                    <w:rPr>
                      <w:rFonts w:hint="eastAsia"/>
                    </w:rPr>
                    <w:t>0</w:t>
                  </w:r>
                </w:p>
              </w:tc>
              <w:tc>
                <w:tcPr>
                  <w:tcW w:w="1076" w:type="pct"/>
                  <w:tcBorders>
                    <w:top w:val="single" w:color="auto" w:sz="4" w:space="0"/>
                    <w:left w:val="single" w:color="auto" w:sz="4" w:space="0"/>
                    <w:bottom w:val="single" w:color="auto" w:sz="4" w:space="0"/>
                    <w:right w:val="single" w:color="auto" w:sz="4" w:space="0"/>
                  </w:tcBorders>
                  <w:vAlign w:val="center"/>
                </w:tcPr>
                <w:p w14:paraId="119F28AE">
                  <w:pPr>
                    <w:widowControl/>
                    <w:jc w:val="center"/>
                  </w:pPr>
                  <w:r>
                    <w:rPr>
                      <w:rFonts w:hint="eastAsia"/>
                    </w:rPr>
                    <w:t>3台</w:t>
                  </w:r>
                </w:p>
              </w:tc>
              <w:tc>
                <w:tcPr>
                  <w:tcW w:w="1140" w:type="pct"/>
                  <w:tcBorders>
                    <w:top w:val="single" w:color="auto" w:sz="4" w:space="0"/>
                    <w:left w:val="single" w:color="auto" w:sz="4" w:space="0"/>
                    <w:bottom w:val="single" w:color="auto" w:sz="4" w:space="0"/>
                    <w:right w:val="single" w:color="auto" w:sz="4" w:space="0"/>
                  </w:tcBorders>
                  <w:vAlign w:val="center"/>
                </w:tcPr>
                <w:p w14:paraId="21E84566">
                  <w:pPr>
                    <w:widowControl/>
                    <w:jc w:val="center"/>
                  </w:pPr>
                  <w:r>
                    <w:rPr>
                      <w:rFonts w:hint="eastAsia"/>
                    </w:rPr>
                    <w:t>3台</w:t>
                  </w:r>
                </w:p>
              </w:tc>
            </w:tr>
            <w:tr w14:paraId="6CF59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3286FA9F">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7F496BE4">
                  <w:pPr>
                    <w:widowControl/>
                    <w:jc w:val="center"/>
                  </w:pPr>
                  <w:r>
                    <w:rPr>
                      <w:rFonts w:hint="eastAsia"/>
                    </w:rPr>
                    <w:t>冷凝器</w:t>
                  </w:r>
                </w:p>
              </w:tc>
              <w:tc>
                <w:tcPr>
                  <w:tcW w:w="917" w:type="pct"/>
                  <w:tcBorders>
                    <w:top w:val="single" w:color="auto" w:sz="4" w:space="0"/>
                    <w:left w:val="single" w:color="auto" w:sz="4" w:space="0"/>
                    <w:bottom w:val="single" w:color="auto" w:sz="4" w:space="0"/>
                    <w:right w:val="single" w:color="auto" w:sz="4" w:space="0"/>
                  </w:tcBorders>
                  <w:vAlign w:val="center"/>
                </w:tcPr>
                <w:p w14:paraId="3EBD0AA1">
                  <w:pPr>
                    <w:widowControl/>
                    <w:jc w:val="center"/>
                  </w:pPr>
                  <w:r>
                    <w:rPr>
                      <w:rFonts w:hint="eastAsia"/>
                    </w:rPr>
                    <w:t>0</w:t>
                  </w:r>
                </w:p>
              </w:tc>
              <w:tc>
                <w:tcPr>
                  <w:tcW w:w="1076" w:type="pct"/>
                  <w:tcBorders>
                    <w:top w:val="single" w:color="auto" w:sz="4" w:space="0"/>
                    <w:left w:val="single" w:color="auto" w:sz="4" w:space="0"/>
                    <w:bottom w:val="single" w:color="auto" w:sz="4" w:space="0"/>
                    <w:right w:val="single" w:color="auto" w:sz="4" w:space="0"/>
                  </w:tcBorders>
                  <w:vAlign w:val="center"/>
                </w:tcPr>
                <w:p w14:paraId="754DA59E">
                  <w:pPr>
                    <w:widowControl/>
                    <w:jc w:val="center"/>
                  </w:pPr>
                  <w:r>
                    <w:rPr>
                      <w:rFonts w:hint="eastAsia"/>
                    </w:rPr>
                    <w:t>6台</w:t>
                  </w:r>
                </w:p>
              </w:tc>
              <w:tc>
                <w:tcPr>
                  <w:tcW w:w="1140" w:type="pct"/>
                  <w:tcBorders>
                    <w:top w:val="single" w:color="auto" w:sz="4" w:space="0"/>
                    <w:left w:val="single" w:color="auto" w:sz="4" w:space="0"/>
                    <w:bottom w:val="single" w:color="auto" w:sz="4" w:space="0"/>
                    <w:right w:val="single" w:color="auto" w:sz="4" w:space="0"/>
                  </w:tcBorders>
                  <w:vAlign w:val="center"/>
                </w:tcPr>
                <w:p w14:paraId="3ED78427">
                  <w:pPr>
                    <w:widowControl/>
                    <w:jc w:val="center"/>
                  </w:pPr>
                  <w:r>
                    <w:rPr>
                      <w:rFonts w:hint="eastAsia"/>
                    </w:rPr>
                    <w:t>6台</w:t>
                  </w:r>
                </w:p>
              </w:tc>
            </w:tr>
            <w:tr w14:paraId="055F7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250B8221">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458BE0F6">
                  <w:pPr>
                    <w:widowControl/>
                    <w:jc w:val="center"/>
                  </w:pPr>
                  <w:r>
                    <w:rPr>
                      <w:rFonts w:hint="eastAsia"/>
                    </w:rPr>
                    <w:t>溶剂油罐</w:t>
                  </w:r>
                </w:p>
              </w:tc>
              <w:tc>
                <w:tcPr>
                  <w:tcW w:w="917" w:type="pct"/>
                  <w:tcBorders>
                    <w:top w:val="single" w:color="auto" w:sz="4" w:space="0"/>
                    <w:left w:val="single" w:color="auto" w:sz="4" w:space="0"/>
                    <w:bottom w:val="single" w:color="auto" w:sz="4" w:space="0"/>
                    <w:right w:val="single" w:color="auto" w:sz="4" w:space="0"/>
                  </w:tcBorders>
                  <w:vAlign w:val="center"/>
                </w:tcPr>
                <w:p w14:paraId="22422751">
                  <w:pPr>
                    <w:widowControl/>
                    <w:jc w:val="center"/>
                  </w:pPr>
                  <w:r>
                    <w:rPr>
                      <w:rFonts w:hint="eastAsia"/>
                    </w:rPr>
                    <w:t>0</w:t>
                  </w:r>
                </w:p>
              </w:tc>
              <w:tc>
                <w:tcPr>
                  <w:tcW w:w="1076" w:type="pct"/>
                  <w:tcBorders>
                    <w:top w:val="single" w:color="auto" w:sz="4" w:space="0"/>
                    <w:left w:val="single" w:color="auto" w:sz="4" w:space="0"/>
                    <w:bottom w:val="single" w:color="auto" w:sz="4" w:space="0"/>
                    <w:right w:val="single" w:color="auto" w:sz="4" w:space="0"/>
                  </w:tcBorders>
                  <w:vAlign w:val="center"/>
                </w:tcPr>
                <w:p w14:paraId="5EEB221E">
                  <w:pPr>
                    <w:widowControl/>
                    <w:jc w:val="center"/>
                  </w:pPr>
                  <w:r>
                    <w:rPr>
                      <w:rFonts w:hint="eastAsia" w:eastAsiaTheme="minorEastAsia"/>
                    </w:rPr>
                    <w:t>50m</w:t>
                  </w:r>
                  <w:r>
                    <w:rPr>
                      <w:rFonts w:hint="eastAsia" w:eastAsiaTheme="minorEastAsia"/>
                      <w:vertAlign w:val="superscript"/>
                    </w:rPr>
                    <w:t>3</w:t>
                  </w:r>
                  <w:r>
                    <w:rPr>
                      <w:rFonts w:hint="eastAsia" w:eastAsiaTheme="minorEastAsia"/>
                    </w:rPr>
                    <w:t>储罐1个</w:t>
                  </w:r>
                </w:p>
              </w:tc>
              <w:tc>
                <w:tcPr>
                  <w:tcW w:w="1140" w:type="pct"/>
                  <w:tcBorders>
                    <w:top w:val="single" w:color="auto" w:sz="4" w:space="0"/>
                    <w:left w:val="single" w:color="auto" w:sz="4" w:space="0"/>
                    <w:bottom w:val="single" w:color="auto" w:sz="4" w:space="0"/>
                    <w:right w:val="single" w:color="auto" w:sz="4" w:space="0"/>
                  </w:tcBorders>
                  <w:vAlign w:val="center"/>
                </w:tcPr>
                <w:p w14:paraId="7D88D4FA">
                  <w:pPr>
                    <w:widowControl/>
                    <w:jc w:val="center"/>
                  </w:pPr>
                  <w:r>
                    <w:rPr>
                      <w:rFonts w:hint="eastAsia"/>
                    </w:rPr>
                    <w:t>1个</w:t>
                  </w:r>
                </w:p>
              </w:tc>
            </w:tr>
            <w:tr w14:paraId="40311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39D47461">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26816DD4">
                  <w:pPr>
                    <w:widowControl/>
                    <w:jc w:val="center"/>
                  </w:pPr>
                  <w:r>
                    <w:rPr>
                      <w:rFonts w:hint="eastAsia"/>
                    </w:rPr>
                    <w:t>分水箱</w:t>
                  </w:r>
                </w:p>
              </w:tc>
              <w:tc>
                <w:tcPr>
                  <w:tcW w:w="917" w:type="pct"/>
                  <w:tcBorders>
                    <w:top w:val="single" w:color="auto" w:sz="4" w:space="0"/>
                    <w:left w:val="single" w:color="auto" w:sz="4" w:space="0"/>
                    <w:bottom w:val="single" w:color="auto" w:sz="4" w:space="0"/>
                    <w:right w:val="single" w:color="auto" w:sz="4" w:space="0"/>
                  </w:tcBorders>
                  <w:vAlign w:val="center"/>
                </w:tcPr>
                <w:p w14:paraId="4E5F2785">
                  <w:pPr>
                    <w:widowControl/>
                    <w:jc w:val="center"/>
                  </w:pPr>
                  <w:r>
                    <w:rPr>
                      <w:rFonts w:hint="eastAsia"/>
                    </w:rPr>
                    <w:t>0</w:t>
                  </w:r>
                </w:p>
              </w:tc>
              <w:tc>
                <w:tcPr>
                  <w:tcW w:w="1076" w:type="pct"/>
                  <w:tcBorders>
                    <w:top w:val="single" w:color="auto" w:sz="4" w:space="0"/>
                    <w:left w:val="single" w:color="auto" w:sz="4" w:space="0"/>
                    <w:bottom w:val="single" w:color="auto" w:sz="4" w:space="0"/>
                    <w:right w:val="single" w:color="auto" w:sz="4" w:space="0"/>
                  </w:tcBorders>
                  <w:vAlign w:val="center"/>
                </w:tcPr>
                <w:p w14:paraId="337BFA6D">
                  <w:pPr>
                    <w:widowControl/>
                    <w:jc w:val="center"/>
                  </w:pPr>
                  <w:r>
                    <w:rPr>
                      <w:rFonts w:hint="eastAsia"/>
                    </w:rPr>
                    <w:t>1个</w:t>
                  </w:r>
                </w:p>
              </w:tc>
              <w:tc>
                <w:tcPr>
                  <w:tcW w:w="1140" w:type="pct"/>
                  <w:tcBorders>
                    <w:top w:val="single" w:color="auto" w:sz="4" w:space="0"/>
                    <w:left w:val="single" w:color="auto" w:sz="4" w:space="0"/>
                    <w:bottom w:val="single" w:color="auto" w:sz="4" w:space="0"/>
                    <w:right w:val="single" w:color="auto" w:sz="4" w:space="0"/>
                  </w:tcBorders>
                  <w:vAlign w:val="center"/>
                </w:tcPr>
                <w:p w14:paraId="3642EAA9">
                  <w:pPr>
                    <w:widowControl/>
                    <w:jc w:val="center"/>
                  </w:pPr>
                  <w:r>
                    <w:rPr>
                      <w:rFonts w:hint="eastAsia"/>
                    </w:rPr>
                    <w:t>1个</w:t>
                  </w:r>
                </w:p>
              </w:tc>
            </w:tr>
            <w:tr w14:paraId="00438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37729F0D">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434C8526">
                  <w:pPr>
                    <w:widowControl/>
                    <w:jc w:val="center"/>
                  </w:pPr>
                  <w:r>
                    <w:rPr>
                      <w:rFonts w:hint="eastAsia"/>
                    </w:rPr>
                    <w:t>冷却塔</w:t>
                  </w:r>
                </w:p>
              </w:tc>
              <w:tc>
                <w:tcPr>
                  <w:tcW w:w="917" w:type="pct"/>
                  <w:tcBorders>
                    <w:top w:val="single" w:color="auto" w:sz="4" w:space="0"/>
                    <w:left w:val="single" w:color="auto" w:sz="4" w:space="0"/>
                    <w:bottom w:val="single" w:color="auto" w:sz="4" w:space="0"/>
                    <w:right w:val="single" w:color="auto" w:sz="4" w:space="0"/>
                  </w:tcBorders>
                  <w:vAlign w:val="center"/>
                </w:tcPr>
                <w:p w14:paraId="699CCAF5">
                  <w:pPr>
                    <w:widowControl/>
                    <w:jc w:val="center"/>
                  </w:pPr>
                  <w:r>
                    <w:rPr>
                      <w:rFonts w:hint="eastAsia"/>
                    </w:rPr>
                    <w:t>0</w:t>
                  </w:r>
                </w:p>
              </w:tc>
              <w:tc>
                <w:tcPr>
                  <w:tcW w:w="1076" w:type="pct"/>
                  <w:tcBorders>
                    <w:top w:val="single" w:color="auto" w:sz="4" w:space="0"/>
                    <w:left w:val="single" w:color="auto" w:sz="4" w:space="0"/>
                    <w:bottom w:val="single" w:color="auto" w:sz="4" w:space="0"/>
                    <w:right w:val="single" w:color="auto" w:sz="4" w:space="0"/>
                  </w:tcBorders>
                  <w:vAlign w:val="center"/>
                </w:tcPr>
                <w:p w14:paraId="3F231622">
                  <w:pPr>
                    <w:widowControl/>
                    <w:jc w:val="center"/>
                  </w:pPr>
                  <w:r>
                    <w:rPr>
                      <w:rFonts w:hint="eastAsia"/>
                    </w:rPr>
                    <w:t>1个</w:t>
                  </w:r>
                </w:p>
              </w:tc>
              <w:tc>
                <w:tcPr>
                  <w:tcW w:w="1140" w:type="pct"/>
                  <w:tcBorders>
                    <w:top w:val="single" w:color="auto" w:sz="4" w:space="0"/>
                    <w:left w:val="single" w:color="auto" w:sz="4" w:space="0"/>
                    <w:bottom w:val="single" w:color="auto" w:sz="4" w:space="0"/>
                    <w:right w:val="single" w:color="auto" w:sz="4" w:space="0"/>
                  </w:tcBorders>
                  <w:vAlign w:val="center"/>
                </w:tcPr>
                <w:p w14:paraId="4014FD3A">
                  <w:pPr>
                    <w:widowControl/>
                    <w:jc w:val="center"/>
                  </w:pPr>
                  <w:r>
                    <w:rPr>
                      <w:rFonts w:hint="eastAsia"/>
                    </w:rPr>
                    <w:t>1个</w:t>
                  </w:r>
                </w:p>
              </w:tc>
            </w:tr>
            <w:tr w14:paraId="1E929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60FA331C">
                  <w:pPr>
                    <w:widowControl/>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7987B4E0">
                  <w:pPr>
                    <w:widowControl/>
                    <w:jc w:val="center"/>
                  </w:pPr>
                  <w:r>
                    <w:rPr>
                      <w:rFonts w:hint="eastAsia"/>
                    </w:rPr>
                    <w:t>成品油罐</w:t>
                  </w:r>
                </w:p>
              </w:tc>
              <w:tc>
                <w:tcPr>
                  <w:tcW w:w="917" w:type="pct"/>
                  <w:tcBorders>
                    <w:top w:val="single" w:color="auto" w:sz="4" w:space="0"/>
                    <w:left w:val="single" w:color="auto" w:sz="4" w:space="0"/>
                    <w:bottom w:val="single" w:color="auto" w:sz="4" w:space="0"/>
                    <w:right w:val="single" w:color="auto" w:sz="4" w:space="0"/>
                  </w:tcBorders>
                  <w:vAlign w:val="center"/>
                </w:tcPr>
                <w:p w14:paraId="6632F14E">
                  <w:pPr>
                    <w:widowControl/>
                    <w:jc w:val="center"/>
                  </w:pPr>
                  <w:r>
                    <w:rPr>
                      <w:rFonts w:hint="eastAsia" w:eastAsiaTheme="minorEastAsia"/>
                    </w:rPr>
                    <w:t>50m</w:t>
                  </w:r>
                  <w:r>
                    <w:rPr>
                      <w:rFonts w:hint="eastAsia" w:eastAsiaTheme="minorEastAsia"/>
                      <w:vertAlign w:val="superscript"/>
                    </w:rPr>
                    <w:t>3</w:t>
                  </w:r>
                  <w:r>
                    <w:rPr>
                      <w:rFonts w:hint="eastAsia" w:eastAsiaTheme="minorEastAsia"/>
                    </w:rPr>
                    <w:t>储罐2个、100m</w:t>
                  </w:r>
                  <w:r>
                    <w:rPr>
                      <w:rFonts w:hint="eastAsia" w:eastAsiaTheme="minorEastAsia"/>
                      <w:vertAlign w:val="superscript"/>
                    </w:rPr>
                    <w:t>3</w:t>
                  </w:r>
                  <w:r>
                    <w:rPr>
                      <w:rFonts w:hint="eastAsia" w:eastAsiaTheme="minorEastAsia"/>
                    </w:rPr>
                    <w:t>储罐2个</w:t>
                  </w:r>
                </w:p>
              </w:tc>
              <w:tc>
                <w:tcPr>
                  <w:tcW w:w="1076" w:type="pct"/>
                  <w:tcBorders>
                    <w:top w:val="single" w:color="auto" w:sz="4" w:space="0"/>
                    <w:left w:val="single" w:color="auto" w:sz="4" w:space="0"/>
                    <w:bottom w:val="single" w:color="auto" w:sz="4" w:space="0"/>
                    <w:right w:val="single" w:color="auto" w:sz="4" w:space="0"/>
                  </w:tcBorders>
                  <w:vAlign w:val="center"/>
                </w:tcPr>
                <w:p w14:paraId="4B6027F5">
                  <w:pPr>
                    <w:widowControl/>
                    <w:jc w:val="center"/>
                  </w:pPr>
                  <w:r>
                    <w:rPr>
                      <w:rFonts w:hint="eastAsia" w:eastAsiaTheme="minorEastAsia"/>
                    </w:rPr>
                    <w:t>400m</w:t>
                  </w:r>
                  <w:r>
                    <w:rPr>
                      <w:rFonts w:hint="eastAsia" w:eastAsiaTheme="minorEastAsia"/>
                      <w:vertAlign w:val="superscript"/>
                    </w:rPr>
                    <w:t>3</w:t>
                  </w:r>
                  <w:r>
                    <w:rPr>
                      <w:rFonts w:hint="eastAsia" w:eastAsiaTheme="minorEastAsia"/>
                    </w:rPr>
                    <w:t>储罐2个</w:t>
                  </w:r>
                </w:p>
              </w:tc>
              <w:tc>
                <w:tcPr>
                  <w:tcW w:w="1140" w:type="pct"/>
                  <w:tcBorders>
                    <w:top w:val="single" w:color="auto" w:sz="4" w:space="0"/>
                    <w:left w:val="single" w:color="auto" w:sz="4" w:space="0"/>
                    <w:bottom w:val="single" w:color="auto" w:sz="4" w:space="0"/>
                    <w:right w:val="single" w:color="auto" w:sz="4" w:space="0"/>
                  </w:tcBorders>
                  <w:vAlign w:val="center"/>
                </w:tcPr>
                <w:p w14:paraId="42E9CE0D">
                  <w:pPr>
                    <w:widowControl/>
                    <w:jc w:val="center"/>
                  </w:pPr>
                  <w:r>
                    <w:rPr>
                      <w:rFonts w:hint="eastAsia"/>
                    </w:rPr>
                    <w:t>6个</w:t>
                  </w:r>
                </w:p>
              </w:tc>
            </w:tr>
            <w:tr w14:paraId="3F41B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restart"/>
                  <w:tcBorders>
                    <w:left w:val="single" w:color="auto" w:sz="4" w:space="0"/>
                    <w:right w:val="single" w:color="auto" w:sz="4" w:space="0"/>
                  </w:tcBorders>
                  <w:vAlign w:val="center"/>
                </w:tcPr>
                <w:p w14:paraId="7A0604E5">
                  <w:pPr>
                    <w:jc w:val="center"/>
                    <w:rPr>
                      <w:kern w:val="0"/>
                    </w:rPr>
                  </w:pPr>
                  <w:r>
                    <w:rPr>
                      <w:rFonts w:hint="eastAsia"/>
                      <w:kern w:val="0"/>
                    </w:rPr>
                    <w:t>辅助公用单元</w:t>
                  </w:r>
                </w:p>
              </w:tc>
              <w:tc>
                <w:tcPr>
                  <w:tcW w:w="1223" w:type="pct"/>
                  <w:tcBorders>
                    <w:top w:val="single" w:color="auto" w:sz="4" w:space="0"/>
                    <w:left w:val="single" w:color="auto" w:sz="4" w:space="0"/>
                    <w:bottom w:val="single" w:color="auto" w:sz="4" w:space="0"/>
                    <w:right w:val="single" w:color="auto" w:sz="4" w:space="0"/>
                  </w:tcBorders>
                  <w:vAlign w:val="center"/>
                </w:tcPr>
                <w:p w14:paraId="53F6C817">
                  <w:pPr>
                    <w:widowControl/>
                    <w:jc w:val="center"/>
                  </w:pPr>
                  <w:r>
                    <w:rPr>
                      <w:rFonts w:hint="eastAsia"/>
                    </w:rPr>
                    <w:t>生物质成型燃料锅炉</w:t>
                  </w:r>
                </w:p>
              </w:tc>
              <w:tc>
                <w:tcPr>
                  <w:tcW w:w="917" w:type="pct"/>
                  <w:tcBorders>
                    <w:top w:val="single" w:color="auto" w:sz="4" w:space="0"/>
                    <w:left w:val="single" w:color="auto" w:sz="4" w:space="0"/>
                    <w:bottom w:val="single" w:color="auto" w:sz="4" w:space="0"/>
                    <w:right w:val="single" w:color="auto" w:sz="4" w:space="0"/>
                  </w:tcBorders>
                  <w:vAlign w:val="center"/>
                </w:tcPr>
                <w:p w14:paraId="3D6700C8">
                  <w:pPr>
                    <w:widowControl/>
                    <w:jc w:val="center"/>
                  </w:pPr>
                  <w:r>
                    <w:rPr>
                      <w:rFonts w:hint="eastAsia"/>
                    </w:rPr>
                    <w:t>1台2t/h</w:t>
                  </w:r>
                </w:p>
              </w:tc>
              <w:tc>
                <w:tcPr>
                  <w:tcW w:w="1076" w:type="pct"/>
                  <w:tcBorders>
                    <w:top w:val="single" w:color="auto" w:sz="4" w:space="0"/>
                    <w:left w:val="single" w:color="auto" w:sz="4" w:space="0"/>
                    <w:bottom w:val="single" w:color="auto" w:sz="4" w:space="0"/>
                    <w:right w:val="single" w:color="auto" w:sz="4" w:space="0"/>
                  </w:tcBorders>
                  <w:vAlign w:val="center"/>
                </w:tcPr>
                <w:p w14:paraId="3395DE1C">
                  <w:pPr>
                    <w:widowControl/>
                    <w:jc w:val="center"/>
                  </w:pPr>
                  <w:r>
                    <w:rPr>
                      <w:rFonts w:hint="eastAsia"/>
                    </w:rPr>
                    <w:t>1台6t/h</w:t>
                  </w:r>
                </w:p>
              </w:tc>
              <w:tc>
                <w:tcPr>
                  <w:tcW w:w="1140" w:type="pct"/>
                  <w:tcBorders>
                    <w:top w:val="single" w:color="auto" w:sz="4" w:space="0"/>
                    <w:left w:val="single" w:color="auto" w:sz="4" w:space="0"/>
                    <w:bottom w:val="single" w:color="auto" w:sz="4" w:space="0"/>
                    <w:right w:val="single" w:color="auto" w:sz="4" w:space="0"/>
                  </w:tcBorders>
                  <w:vAlign w:val="center"/>
                </w:tcPr>
                <w:p w14:paraId="1776AFC4">
                  <w:pPr>
                    <w:widowControl/>
                    <w:jc w:val="center"/>
                  </w:pPr>
                  <w:r>
                    <w:rPr>
                      <w:rFonts w:hint="eastAsia" w:eastAsiaTheme="minorEastAsia"/>
                    </w:rPr>
                    <w:t>拆除现有1台</w:t>
                  </w:r>
                  <w:r>
                    <w:rPr>
                      <w:rFonts w:hint="eastAsia"/>
                    </w:rPr>
                    <w:t>2t/h</w:t>
                  </w:r>
                  <w:r>
                    <w:rPr>
                      <w:rFonts w:hint="eastAsia" w:eastAsiaTheme="minorEastAsia"/>
                    </w:rPr>
                    <w:t>，新建1台</w:t>
                  </w:r>
                  <w:r>
                    <w:rPr>
                      <w:rFonts w:hint="eastAsia"/>
                    </w:rPr>
                    <w:t>6t/h</w:t>
                  </w:r>
                </w:p>
              </w:tc>
            </w:tr>
            <w:tr w14:paraId="1A50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Merge w:val="continue"/>
                  <w:tcBorders>
                    <w:left w:val="single" w:color="auto" w:sz="4" w:space="0"/>
                    <w:right w:val="single" w:color="auto" w:sz="4" w:space="0"/>
                  </w:tcBorders>
                  <w:vAlign w:val="center"/>
                </w:tcPr>
                <w:p w14:paraId="566F1F82">
                  <w:pPr>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0018A794">
                  <w:pPr>
                    <w:widowControl/>
                    <w:jc w:val="center"/>
                  </w:pPr>
                  <w:r>
                    <w:rPr>
                      <w:rFonts w:hint="eastAsia"/>
                    </w:rPr>
                    <w:t>生活污水处理系统</w:t>
                  </w:r>
                </w:p>
              </w:tc>
              <w:tc>
                <w:tcPr>
                  <w:tcW w:w="917" w:type="pct"/>
                  <w:tcBorders>
                    <w:top w:val="single" w:color="auto" w:sz="4" w:space="0"/>
                    <w:left w:val="single" w:color="auto" w:sz="4" w:space="0"/>
                    <w:bottom w:val="single" w:color="auto" w:sz="4" w:space="0"/>
                    <w:right w:val="single" w:color="auto" w:sz="4" w:space="0"/>
                  </w:tcBorders>
                  <w:vAlign w:val="center"/>
                </w:tcPr>
                <w:p w14:paraId="4CE19B14">
                  <w:pPr>
                    <w:widowControl/>
                    <w:jc w:val="center"/>
                  </w:pPr>
                  <w:r>
                    <w:rPr>
                      <w:rFonts w:hint="eastAsia"/>
                      <w:kern w:val="0"/>
                    </w:rPr>
                    <w:t>1套</w:t>
                  </w:r>
                </w:p>
              </w:tc>
              <w:tc>
                <w:tcPr>
                  <w:tcW w:w="1076" w:type="pct"/>
                  <w:tcBorders>
                    <w:top w:val="single" w:color="auto" w:sz="4" w:space="0"/>
                    <w:left w:val="single" w:color="auto" w:sz="4" w:space="0"/>
                    <w:bottom w:val="single" w:color="auto" w:sz="4" w:space="0"/>
                    <w:right w:val="single" w:color="auto" w:sz="4" w:space="0"/>
                  </w:tcBorders>
                  <w:vAlign w:val="center"/>
                </w:tcPr>
                <w:p w14:paraId="06071E98">
                  <w:pPr>
                    <w:widowControl/>
                    <w:jc w:val="center"/>
                    <w:rPr>
                      <w:kern w:val="0"/>
                    </w:rPr>
                  </w:pPr>
                  <w:r>
                    <w:rPr>
                      <w:rFonts w:hint="eastAsia"/>
                      <w:kern w:val="0"/>
                    </w:rPr>
                    <w:t>0</w:t>
                  </w:r>
                </w:p>
              </w:tc>
              <w:tc>
                <w:tcPr>
                  <w:tcW w:w="1140" w:type="pct"/>
                  <w:tcBorders>
                    <w:top w:val="single" w:color="auto" w:sz="4" w:space="0"/>
                    <w:left w:val="single" w:color="auto" w:sz="4" w:space="0"/>
                    <w:bottom w:val="single" w:color="auto" w:sz="4" w:space="0"/>
                    <w:right w:val="single" w:color="auto" w:sz="4" w:space="0"/>
                  </w:tcBorders>
                  <w:vAlign w:val="center"/>
                </w:tcPr>
                <w:p w14:paraId="5A2D638A">
                  <w:pPr>
                    <w:widowControl/>
                    <w:jc w:val="center"/>
                    <w:rPr>
                      <w:kern w:val="0"/>
                    </w:rPr>
                  </w:pPr>
                  <w:r>
                    <w:rPr>
                      <w:rFonts w:hint="eastAsia"/>
                      <w:kern w:val="0"/>
                    </w:rPr>
                    <w:t>1套，改扩建项目生活污水依托现有设施处理</w:t>
                  </w:r>
                </w:p>
              </w:tc>
            </w:tr>
            <w:tr w14:paraId="3FD3B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644" w:type="pct"/>
                  <w:vMerge w:val="continue"/>
                  <w:tcBorders>
                    <w:left w:val="single" w:color="auto" w:sz="4" w:space="0"/>
                    <w:right w:val="single" w:color="auto" w:sz="4" w:space="0"/>
                  </w:tcBorders>
                  <w:vAlign w:val="center"/>
                </w:tcPr>
                <w:p w14:paraId="211A9A7B">
                  <w:pPr>
                    <w:jc w:val="center"/>
                    <w:rPr>
                      <w:kern w:val="0"/>
                    </w:rPr>
                  </w:pPr>
                </w:p>
              </w:tc>
              <w:tc>
                <w:tcPr>
                  <w:tcW w:w="1223" w:type="pct"/>
                  <w:tcBorders>
                    <w:top w:val="single" w:color="auto" w:sz="4" w:space="0"/>
                    <w:left w:val="single" w:color="auto" w:sz="4" w:space="0"/>
                    <w:bottom w:val="single" w:color="auto" w:sz="4" w:space="0"/>
                    <w:right w:val="single" w:color="auto" w:sz="4" w:space="0"/>
                  </w:tcBorders>
                  <w:vAlign w:val="center"/>
                </w:tcPr>
                <w:p w14:paraId="14A516C9">
                  <w:pPr>
                    <w:widowControl/>
                    <w:jc w:val="center"/>
                  </w:pPr>
                  <w:r>
                    <w:rPr>
                      <w:rFonts w:hint="eastAsia"/>
                    </w:rPr>
                    <w:t>废气处理系统</w:t>
                  </w:r>
                </w:p>
              </w:tc>
              <w:tc>
                <w:tcPr>
                  <w:tcW w:w="917" w:type="pct"/>
                  <w:tcBorders>
                    <w:top w:val="single" w:color="auto" w:sz="4" w:space="0"/>
                    <w:left w:val="single" w:color="auto" w:sz="4" w:space="0"/>
                    <w:bottom w:val="single" w:color="auto" w:sz="4" w:space="0"/>
                    <w:right w:val="single" w:color="auto" w:sz="4" w:space="0"/>
                  </w:tcBorders>
                  <w:vAlign w:val="center"/>
                </w:tcPr>
                <w:p w14:paraId="1C67D60B">
                  <w:pPr>
                    <w:widowControl/>
                    <w:jc w:val="center"/>
                  </w:pPr>
                  <w:r>
                    <w:rPr>
                      <w:rFonts w:hint="eastAsia"/>
                      <w:kern w:val="0"/>
                    </w:rPr>
                    <w:t>1套</w:t>
                  </w:r>
                </w:p>
              </w:tc>
              <w:tc>
                <w:tcPr>
                  <w:tcW w:w="1076" w:type="pct"/>
                  <w:tcBorders>
                    <w:top w:val="single" w:color="auto" w:sz="4" w:space="0"/>
                    <w:left w:val="single" w:color="auto" w:sz="4" w:space="0"/>
                    <w:bottom w:val="single" w:color="auto" w:sz="4" w:space="0"/>
                    <w:right w:val="single" w:color="auto" w:sz="4" w:space="0"/>
                  </w:tcBorders>
                  <w:vAlign w:val="center"/>
                </w:tcPr>
                <w:p w14:paraId="568B203D">
                  <w:pPr>
                    <w:widowControl/>
                    <w:jc w:val="center"/>
                    <w:rPr>
                      <w:kern w:val="0"/>
                    </w:rPr>
                  </w:pPr>
                  <w:r>
                    <w:rPr>
                      <w:rFonts w:hint="eastAsia"/>
                      <w:kern w:val="0"/>
                    </w:rPr>
                    <w:t>1套</w:t>
                  </w:r>
                </w:p>
              </w:tc>
              <w:tc>
                <w:tcPr>
                  <w:tcW w:w="1140" w:type="pct"/>
                  <w:tcBorders>
                    <w:top w:val="single" w:color="auto" w:sz="4" w:space="0"/>
                    <w:left w:val="single" w:color="auto" w:sz="4" w:space="0"/>
                    <w:bottom w:val="single" w:color="auto" w:sz="4" w:space="0"/>
                    <w:right w:val="single" w:color="auto" w:sz="4" w:space="0"/>
                  </w:tcBorders>
                  <w:vAlign w:val="center"/>
                </w:tcPr>
                <w:p w14:paraId="32609F80">
                  <w:pPr>
                    <w:widowControl/>
                    <w:jc w:val="center"/>
                    <w:rPr>
                      <w:kern w:val="0"/>
                    </w:rPr>
                  </w:pPr>
                  <w:r>
                    <w:rPr>
                      <w:rFonts w:hint="eastAsia"/>
                      <w:kern w:val="0"/>
                    </w:rPr>
                    <w:t>2套</w:t>
                  </w:r>
                </w:p>
              </w:tc>
            </w:tr>
          </w:tbl>
          <w:p w14:paraId="7A4EDAA7">
            <w:pPr>
              <w:spacing w:before="120" w:beforeLines="50" w:line="360" w:lineRule="auto"/>
              <w:ind w:firstLine="482" w:firstLineChars="200"/>
              <w:rPr>
                <w:b/>
                <w:sz w:val="24"/>
                <w:szCs w:val="24"/>
              </w:rPr>
            </w:pPr>
          </w:p>
          <w:p w14:paraId="0BD70633">
            <w:pPr>
              <w:spacing w:before="120" w:beforeLines="50" w:line="360" w:lineRule="auto"/>
              <w:ind w:firstLine="482" w:firstLineChars="200"/>
              <w:rPr>
                <w:b/>
                <w:sz w:val="24"/>
                <w:szCs w:val="24"/>
              </w:rPr>
            </w:pPr>
            <w:r>
              <w:rPr>
                <w:rFonts w:hint="eastAsia"/>
                <w:b/>
                <w:sz w:val="24"/>
                <w:szCs w:val="24"/>
              </w:rPr>
              <w:t>4</w:t>
            </w:r>
            <w:r>
              <w:rPr>
                <w:b/>
                <w:sz w:val="24"/>
                <w:szCs w:val="24"/>
              </w:rPr>
              <w:t>.项目原辅材料用量及理化性质</w:t>
            </w:r>
          </w:p>
          <w:p w14:paraId="53157DD6">
            <w:pPr>
              <w:spacing w:line="360" w:lineRule="auto"/>
              <w:ind w:firstLine="482" w:firstLineChars="200"/>
              <w:rPr>
                <w:b/>
                <w:bCs/>
                <w:sz w:val="24"/>
                <w:szCs w:val="24"/>
              </w:rPr>
            </w:pPr>
            <w:r>
              <w:rPr>
                <w:rFonts w:hint="eastAsia"/>
                <w:b/>
                <w:bCs/>
                <w:sz w:val="24"/>
                <w:szCs w:val="24"/>
              </w:rPr>
              <w:t>4</w:t>
            </w:r>
            <w:r>
              <w:rPr>
                <w:b/>
                <w:bCs/>
                <w:sz w:val="24"/>
                <w:szCs w:val="24"/>
              </w:rPr>
              <w:t>.1原辅材料用量</w:t>
            </w:r>
          </w:p>
          <w:p w14:paraId="7A895421">
            <w:pPr>
              <w:spacing w:line="360" w:lineRule="auto"/>
              <w:ind w:firstLine="480" w:firstLineChars="200"/>
              <w:rPr>
                <w:sz w:val="24"/>
                <w:szCs w:val="24"/>
              </w:rPr>
            </w:pPr>
            <w:r>
              <w:rPr>
                <w:rFonts w:hint="eastAsia"/>
                <w:sz w:val="24"/>
                <w:szCs w:val="24"/>
              </w:rPr>
              <w:t>改扩建</w:t>
            </w:r>
            <w:r>
              <w:rPr>
                <w:sz w:val="24"/>
                <w:szCs w:val="24"/>
              </w:rPr>
              <w:t>项目的主要原辅材料年消耗量见表</w:t>
            </w:r>
            <w:r>
              <w:rPr>
                <w:rFonts w:hint="eastAsia"/>
                <w:sz w:val="24"/>
                <w:szCs w:val="24"/>
              </w:rPr>
              <w:t>2-6，改扩建前后全厂主要原辅材料变化情况见表2-7。</w:t>
            </w:r>
          </w:p>
          <w:p w14:paraId="27BECC20">
            <w:pPr>
              <w:pStyle w:val="14"/>
              <w:spacing w:before="0" w:beforeLines="0" w:after="0" w:afterLines="0" w:line="360" w:lineRule="auto"/>
              <w:rPr>
                <w:rFonts w:eastAsia="宋体"/>
                <w:b/>
                <w:sz w:val="21"/>
              </w:rPr>
            </w:pPr>
            <w:r>
              <w:rPr>
                <w:rFonts w:hint="eastAsia" w:eastAsia="宋体"/>
                <w:b/>
                <w:sz w:val="21"/>
              </w:rPr>
              <w:t>表2-6 改扩建项目</w:t>
            </w:r>
            <w:r>
              <w:rPr>
                <w:rFonts w:eastAsia="宋体"/>
                <w:b/>
                <w:sz w:val="21"/>
              </w:rPr>
              <w:t>主要原辅材料及用量</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36"/>
              <w:gridCol w:w="1718"/>
              <w:gridCol w:w="1596"/>
              <w:gridCol w:w="874"/>
              <w:gridCol w:w="2034"/>
              <w:gridCol w:w="1018"/>
              <w:gridCol w:w="1183"/>
            </w:tblGrid>
            <w:tr w14:paraId="3A862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99" w:type="pct"/>
                  <w:vAlign w:val="center"/>
                </w:tcPr>
                <w:p w14:paraId="5D9E7B84">
                  <w:pPr>
                    <w:pStyle w:val="50"/>
                    <w:spacing w:line="240" w:lineRule="auto"/>
                  </w:pPr>
                  <w:r>
                    <w:t>序号</w:t>
                  </w:r>
                </w:p>
              </w:tc>
              <w:tc>
                <w:tcPr>
                  <w:tcW w:w="959" w:type="pct"/>
                  <w:vAlign w:val="center"/>
                </w:tcPr>
                <w:p w14:paraId="23F5694C">
                  <w:pPr>
                    <w:pStyle w:val="50"/>
                    <w:spacing w:line="240" w:lineRule="auto"/>
                  </w:pPr>
                  <w:r>
                    <w:rPr>
                      <w:rFonts w:hint="eastAsia"/>
                    </w:rPr>
                    <w:t>原料</w:t>
                  </w:r>
                  <w:r>
                    <w:t>名称</w:t>
                  </w:r>
                </w:p>
              </w:tc>
              <w:tc>
                <w:tcPr>
                  <w:tcW w:w="891" w:type="pct"/>
                  <w:vAlign w:val="center"/>
                </w:tcPr>
                <w:p w14:paraId="18D54E98">
                  <w:pPr>
                    <w:pStyle w:val="50"/>
                    <w:spacing w:line="240" w:lineRule="auto"/>
                  </w:pPr>
                  <w:r>
                    <w:t>年用量</w:t>
                  </w:r>
                  <w:r>
                    <w:rPr>
                      <w:rFonts w:hint="eastAsia"/>
                    </w:rPr>
                    <w:t>（吨）</w:t>
                  </w:r>
                </w:p>
              </w:tc>
              <w:tc>
                <w:tcPr>
                  <w:tcW w:w="488" w:type="pct"/>
                  <w:vAlign w:val="center"/>
                </w:tcPr>
                <w:p w14:paraId="4A34E9B8">
                  <w:pPr>
                    <w:pStyle w:val="50"/>
                    <w:spacing w:line="240" w:lineRule="auto"/>
                  </w:pPr>
                  <w:r>
                    <w:t>性状</w:t>
                  </w:r>
                </w:p>
              </w:tc>
              <w:tc>
                <w:tcPr>
                  <w:tcW w:w="1135" w:type="pct"/>
                  <w:vAlign w:val="center"/>
                </w:tcPr>
                <w:p w14:paraId="6AF72324">
                  <w:pPr>
                    <w:pStyle w:val="50"/>
                    <w:spacing w:line="240" w:lineRule="auto"/>
                  </w:pPr>
                  <w:r>
                    <w:t>最大储存量</w:t>
                  </w:r>
                  <w:r>
                    <w:rPr>
                      <w:rFonts w:hint="eastAsia"/>
                    </w:rPr>
                    <w:t>（吨）</w:t>
                  </w:r>
                </w:p>
              </w:tc>
              <w:tc>
                <w:tcPr>
                  <w:tcW w:w="568" w:type="pct"/>
                  <w:vAlign w:val="center"/>
                </w:tcPr>
                <w:p w14:paraId="260BFA1D">
                  <w:pPr>
                    <w:pStyle w:val="50"/>
                    <w:spacing w:line="240" w:lineRule="auto"/>
                  </w:pPr>
                  <w:r>
                    <w:t>储存方式</w:t>
                  </w:r>
                </w:p>
              </w:tc>
              <w:tc>
                <w:tcPr>
                  <w:tcW w:w="660" w:type="pct"/>
                  <w:vAlign w:val="center"/>
                </w:tcPr>
                <w:p w14:paraId="2A47E512">
                  <w:pPr>
                    <w:pStyle w:val="50"/>
                    <w:spacing w:line="240" w:lineRule="auto"/>
                  </w:pPr>
                  <w:r>
                    <w:rPr>
                      <w:rFonts w:hint="eastAsia"/>
                    </w:rPr>
                    <w:t>备注</w:t>
                  </w:r>
                </w:p>
              </w:tc>
            </w:tr>
            <w:tr w14:paraId="09987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99" w:type="pct"/>
                  <w:vAlign w:val="center"/>
                </w:tcPr>
                <w:p w14:paraId="4831966F">
                  <w:pPr>
                    <w:pStyle w:val="50"/>
                    <w:spacing w:line="240" w:lineRule="auto"/>
                  </w:pPr>
                  <w:r>
                    <w:t>1</w:t>
                  </w:r>
                </w:p>
              </w:tc>
              <w:tc>
                <w:tcPr>
                  <w:tcW w:w="959" w:type="pct"/>
                  <w:vAlign w:val="center"/>
                </w:tcPr>
                <w:p w14:paraId="31650D6C">
                  <w:pPr>
                    <w:pStyle w:val="50"/>
                    <w:spacing w:line="240" w:lineRule="auto"/>
                  </w:pPr>
                  <w:r>
                    <w:rPr>
                      <w:rFonts w:hint="eastAsia"/>
                    </w:rPr>
                    <w:t>废白土</w:t>
                  </w:r>
                </w:p>
              </w:tc>
              <w:tc>
                <w:tcPr>
                  <w:tcW w:w="891" w:type="pct"/>
                  <w:vAlign w:val="center"/>
                </w:tcPr>
                <w:p w14:paraId="0CC0ADB2">
                  <w:pPr>
                    <w:pStyle w:val="50"/>
                    <w:spacing w:line="240" w:lineRule="auto"/>
                  </w:pPr>
                  <w:r>
                    <w:rPr>
                      <w:rFonts w:hint="eastAsia"/>
                    </w:rPr>
                    <w:t>30000</w:t>
                  </w:r>
                </w:p>
              </w:tc>
              <w:tc>
                <w:tcPr>
                  <w:tcW w:w="488" w:type="pct"/>
                  <w:vAlign w:val="center"/>
                </w:tcPr>
                <w:p w14:paraId="56D447C0">
                  <w:pPr>
                    <w:pStyle w:val="50"/>
                    <w:spacing w:line="240" w:lineRule="auto"/>
                  </w:pPr>
                  <w:r>
                    <w:rPr>
                      <w:rFonts w:hint="eastAsia"/>
                    </w:rPr>
                    <w:t>固态</w:t>
                  </w:r>
                </w:p>
              </w:tc>
              <w:tc>
                <w:tcPr>
                  <w:tcW w:w="1135" w:type="pct"/>
                  <w:vAlign w:val="center"/>
                </w:tcPr>
                <w:p w14:paraId="28D17288">
                  <w:pPr>
                    <w:pStyle w:val="50"/>
                    <w:spacing w:line="240" w:lineRule="auto"/>
                  </w:pPr>
                  <w:r>
                    <w:rPr>
                      <w:rFonts w:hint="eastAsia"/>
                    </w:rPr>
                    <w:t>600</w:t>
                  </w:r>
                </w:p>
              </w:tc>
              <w:tc>
                <w:tcPr>
                  <w:tcW w:w="568" w:type="pct"/>
                  <w:vAlign w:val="center"/>
                </w:tcPr>
                <w:p w14:paraId="0623A6D3">
                  <w:pPr>
                    <w:pStyle w:val="50"/>
                    <w:spacing w:line="240" w:lineRule="auto"/>
                  </w:pPr>
                  <w:r>
                    <w:rPr>
                      <w:rFonts w:hint="eastAsia"/>
                    </w:rPr>
                    <w:t>堆存</w:t>
                  </w:r>
                </w:p>
              </w:tc>
              <w:tc>
                <w:tcPr>
                  <w:tcW w:w="660" w:type="pct"/>
                  <w:vAlign w:val="center"/>
                </w:tcPr>
                <w:p w14:paraId="5F636B8A">
                  <w:pPr>
                    <w:pStyle w:val="50"/>
                    <w:spacing w:line="240" w:lineRule="auto"/>
                  </w:pPr>
                  <w:r>
                    <w:rPr>
                      <w:rFonts w:hint="eastAsia"/>
                    </w:rPr>
                    <w:t>/</w:t>
                  </w:r>
                </w:p>
              </w:tc>
            </w:tr>
            <w:tr w14:paraId="1B53C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99" w:type="pct"/>
                  <w:vAlign w:val="center"/>
                </w:tcPr>
                <w:p w14:paraId="3A284217">
                  <w:pPr>
                    <w:pStyle w:val="50"/>
                    <w:spacing w:line="240" w:lineRule="auto"/>
                  </w:pPr>
                  <w:r>
                    <w:t>2</w:t>
                  </w:r>
                </w:p>
              </w:tc>
              <w:tc>
                <w:tcPr>
                  <w:tcW w:w="959" w:type="pct"/>
                  <w:vAlign w:val="center"/>
                </w:tcPr>
                <w:p w14:paraId="357C3AE2">
                  <w:pPr>
                    <w:pStyle w:val="50"/>
                    <w:spacing w:line="240" w:lineRule="auto"/>
                  </w:pPr>
                  <w:r>
                    <w:rPr>
                      <w:rFonts w:hint="eastAsia"/>
                    </w:rPr>
                    <w:t>植物油抽提溶剂</w:t>
                  </w:r>
                </w:p>
              </w:tc>
              <w:tc>
                <w:tcPr>
                  <w:tcW w:w="891" w:type="pct"/>
                  <w:vAlign w:val="center"/>
                </w:tcPr>
                <w:p w14:paraId="79EBB15C">
                  <w:pPr>
                    <w:pStyle w:val="50"/>
                    <w:spacing w:line="240" w:lineRule="auto"/>
                  </w:pPr>
                  <w:r>
                    <w:rPr>
                      <w:rFonts w:hint="eastAsia"/>
                    </w:rPr>
                    <w:t>34</w:t>
                  </w:r>
                </w:p>
              </w:tc>
              <w:tc>
                <w:tcPr>
                  <w:tcW w:w="488" w:type="pct"/>
                  <w:vAlign w:val="center"/>
                </w:tcPr>
                <w:p w14:paraId="62001EA4">
                  <w:pPr>
                    <w:pStyle w:val="50"/>
                    <w:spacing w:line="240" w:lineRule="auto"/>
                  </w:pPr>
                  <w:r>
                    <w:rPr>
                      <w:rFonts w:hint="eastAsia"/>
                    </w:rPr>
                    <w:t>液态</w:t>
                  </w:r>
                </w:p>
              </w:tc>
              <w:tc>
                <w:tcPr>
                  <w:tcW w:w="1135" w:type="pct"/>
                  <w:vAlign w:val="center"/>
                </w:tcPr>
                <w:p w14:paraId="39A45C1C">
                  <w:pPr>
                    <w:pStyle w:val="50"/>
                    <w:spacing w:line="240" w:lineRule="auto"/>
                  </w:pPr>
                  <w:r>
                    <w:rPr>
                      <w:rFonts w:hint="eastAsia"/>
                    </w:rPr>
                    <w:t>34</w:t>
                  </w:r>
                </w:p>
              </w:tc>
              <w:tc>
                <w:tcPr>
                  <w:tcW w:w="568" w:type="pct"/>
                  <w:vAlign w:val="center"/>
                </w:tcPr>
                <w:p w14:paraId="716E728A">
                  <w:pPr>
                    <w:pStyle w:val="50"/>
                    <w:spacing w:line="240" w:lineRule="auto"/>
                  </w:pPr>
                  <w:r>
                    <w:rPr>
                      <w:rFonts w:hint="eastAsia"/>
                    </w:rPr>
                    <w:t>储罐</w:t>
                  </w:r>
                </w:p>
              </w:tc>
              <w:tc>
                <w:tcPr>
                  <w:tcW w:w="660" w:type="pct"/>
                  <w:vAlign w:val="center"/>
                </w:tcPr>
                <w:p w14:paraId="12583A89">
                  <w:pPr>
                    <w:pStyle w:val="50"/>
                    <w:spacing w:line="240" w:lineRule="auto"/>
                  </w:pPr>
                  <w:r>
                    <w:rPr>
                      <w:rFonts w:hint="eastAsia"/>
                    </w:rPr>
                    <w:t>循环使用量</w:t>
                  </w:r>
                </w:p>
              </w:tc>
            </w:tr>
            <w:tr w14:paraId="4D485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99" w:type="pct"/>
                  <w:vAlign w:val="center"/>
                </w:tcPr>
                <w:p w14:paraId="78D0ECB9">
                  <w:pPr>
                    <w:pStyle w:val="50"/>
                    <w:spacing w:line="240" w:lineRule="auto"/>
                  </w:pPr>
                  <w:r>
                    <w:t>3</w:t>
                  </w:r>
                </w:p>
              </w:tc>
              <w:tc>
                <w:tcPr>
                  <w:tcW w:w="959" w:type="pct"/>
                  <w:vAlign w:val="center"/>
                </w:tcPr>
                <w:p w14:paraId="02167E1B">
                  <w:pPr>
                    <w:pStyle w:val="50"/>
                    <w:spacing w:line="240" w:lineRule="auto"/>
                  </w:pPr>
                  <w:r>
                    <w:rPr>
                      <w:rFonts w:hint="eastAsia"/>
                    </w:rPr>
                    <w:t>生物质成型燃料</w:t>
                  </w:r>
                </w:p>
              </w:tc>
              <w:tc>
                <w:tcPr>
                  <w:tcW w:w="891" w:type="pct"/>
                  <w:vAlign w:val="center"/>
                </w:tcPr>
                <w:p w14:paraId="33F07FE4">
                  <w:pPr>
                    <w:pStyle w:val="50"/>
                    <w:spacing w:line="240" w:lineRule="auto"/>
                  </w:pPr>
                  <w:r>
                    <w:rPr>
                      <w:rFonts w:hint="eastAsia"/>
                    </w:rPr>
                    <w:t>3300</w:t>
                  </w:r>
                </w:p>
              </w:tc>
              <w:tc>
                <w:tcPr>
                  <w:tcW w:w="488" w:type="pct"/>
                  <w:vAlign w:val="center"/>
                </w:tcPr>
                <w:p w14:paraId="2C671C82">
                  <w:pPr>
                    <w:pStyle w:val="50"/>
                    <w:spacing w:line="240" w:lineRule="auto"/>
                  </w:pPr>
                  <w:r>
                    <w:rPr>
                      <w:rFonts w:hint="eastAsia"/>
                    </w:rPr>
                    <w:t>固态</w:t>
                  </w:r>
                </w:p>
              </w:tc>
              <w:tc>
                <w:tcPr>
                  <w:tcW w:w="1135" w:type="pct"/>
                  <w:vAlign w:val="center"/>
                </w:tcPr>
                <w:p w14:paraId="0ABD6712">
                  <w:pPr>
                    <w:pStyle w:val="50"/>
                    <w:spacing w:line="240" w:lineRule="auto"/>
                  </w:pPr>
                  <w:r>
                    <w:rPr>
                      <w:rFonts w:hint="eastAsia"/>
                    </w:rPr>
                    <w:t>100吨</w:t>
                  </w:r>
                </w:p>
              </w:tc>
              <w:tc>
                <w:tcPr>
                  <w:tcW w:w="568" w:type="pct"/>
                  <w:vAlign w:val="center"/>
                </w:tcPr>
                <w:p w14:paraId="1F27C7BA">
                  <w:pPr>
                    <w:jc w:val="center"/>
                  </w:pPr>
                  <w:r>
                    <w:rPr>
                      <w:rFonts w:hint="eastAsia"/>
                    </w:rPr>
                    <w:t>袋装</w:t>
                  </w:r>
                </w:p>
              </w:tc>
              <w:tc>
                <w:tcPr>
                  <w:tcW w:w="660" w:type="pct"/>
                  <w:vAlign w:val="center"/>
                </w:tcPr>
                <w:p w14:paraId="354A1854">
                  <w:pPr>
                    <w:jc w:val="center"/>
                  </w:pPr>
                  <w:r>
                    <w:rPr>
                      <w:rFonts w:hint="eastAsia"/>
                    </w:rPr>
                    <w:t>/</w:t>
                  </w:r>
                </w:p>
              </w:tc>
            </w:tr>
          </w:tbl>
          <w:p w14:paraId="2D06B9C5">
            <w:pPr>
              <w:pStyle w:val="14"/>
              <w:spacing w:before="120" w:after="0" w:afterLines="0" w:line="360" w:lineRule="auto"/>
              <w:rPr>
                <w:rFonts w:eastAsia="宋体"/>
                <w:b/>
                <w:sz w:val="21"/>
              </w:rPr>
            </w:pPr>
            <w:r>
              <w:rPr>
                <w:rFonts w:hint="eastAsia" w:eastAsia="宋体"/>
                <w:b/>
                <w:sz w:val="21"/>
              </w:rPr>
              <w:t>表2-7 改扩建前后全厂</w:t>
            </w:r>
            <w:r>
              <w:rPr>
                <w:rFonts w:eastAsia="宋体"/>
                <w:b/>
                <w:sz w:val="21"/>
              </w:rPr>
              <w:t>主要原辅材料</w:t>
            </w:r>
            <w:r>
              <w:rPr>
                <w:rFonts w:hint="eastAsia" w:eastAsia="宋体"/>
                <w:b/>
                <w:sz w:val="21"/>
              </w:rPr>
              <w:t>变化情况</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6"/>
              <w:gridCol w:w="2200"/>
              <w:gridCol w:w="2329"/>
              <w:gridCol w:w="2244"/>
            </w:tblGrid>
            <w:tr w14:paraId="287A1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0" w:type="pct"/>
                  <w:vMerge w:val="restart"/>
                  <w:tcBorders>
                    <w:top w:val="single" w:color="auto" w:sz="4" w:space="0"/>
                    <w:left w:val="single" w:color="auto" w:sz="4" w:space="0"/>
                    <w:right w:val="single" w:color="auto" w:sz="4" w:space="0"/>
                  </w:tcBorders>
                  <w:vAlign w:val="center"/>
                </w:tcPr>
                <w:p w14:paraId="68114B11">
                  <w:pPr>
                    <w:widowControl/>
                    <w:jc w:val="center"/>
                    <w:rPr>
                      <w:b/>
                      <w:kern w:val="0"/>
                    </w:rPr>
                  </w:pPr>
                  <w:r>
                    <w:rPr>
                      <w:rFonts w:hint="eastAsia"/>
                    </w:rPr>
                    <w:t>原料</w:t>
                  </w:r>
                  <w:r>
                    <w:t>名称</w:t>
                  </w:r>
                </w:p>
              </w:tc>
              <w:tc>
                <w:tcPr>
                  <w:tcW w:w="3780" w:type="pct"/>
                  <w:gridSpan w:val="3"/>
                  <w:tcBorders>
                    <w:top w:val="single" w:color="auto" w:sz="4" w:space="0"/>
                    <w:left w:val="single" w:color="auto" w:sz="4" w:space="0"/>
                    <w:bottom w:val="single" w:color="auto" w:sz="4" w:space="0"/>
                    <w:right w:val="single" w:color="auto" w:sz="4" w:space="0"/>
                  </w:tcBorders>
                  <w:vAlign w:val="center"/>
                </w:tcPr>
                <w:p w14:paraId="7A79A9F5">
                  <w:pPr>
                    <w:widowControl/>
                    <w:jc w:val="center"/>
                    <w:rPr>
                      <w:b/>
                      <w:kern w:val="0"/>
                    </w:rPr>
                  </w:pPr>
                  <w:r>
                    <w:rPr>
                      <w:rFonts w:hint="eastAsia"/>
                      <w:b/>
                      <w:kern w:val="0"/>
                    </w:rPr>
                    <w:t>年用量</w:t>
                  </w:r>
                </w:p>
              </w:tc>
            </w:tr>
            <w:tr w14:paraId="767A2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0" w:type="pct"/>
                  <w:vMerge w:val="continue"/>
                  <w:tcBorders>
                    <w:left w:val="single" w:color="auto" w:sz="4" w:space="0"/>
                    <w:bottom w:val="single" w:color="auto" w:sz="4" w:space="0"/>
                    <w:right w:val="single" w:color="auto" w:sz="4" w:space="0"/>
                  </w:tcBorders>
                  <w:vAlign w:val="center"/>
                </w:tcPr>
                <w:p w14:paraId="4F71420F">
                  <w:pPr>
                    <w:widowControl/>
                    <w:jc w:val="center"/>
                    <w:rPr>
                      <w:b/>
                      <w:kern w:val="0"/>
                    </w:rPr>
                  </w:pPr>
                </w:p>
              </w:tc>
              <w:tc>
                <w:tcPr>
                  <w:tcW w:w="1228" w:type="pct"/>
                  <w:tcBorders>
                    <w:top w:val="single" w:color="auto" w:sz="4" w:space="0"/>
                    <w:left w:val="single" w:color="auto" w:sz="4" w:space="0"/>
                    <w:bottom w:val="single" w:color="auto" w:sz="4" w:space="0"/>
                    <w:right w:val="single" w:color="auto" w:sz="4" w:space="0"/>
                  </w:tcBorders>
                  <w:vAlign w:val="center"/>
                </w:tcPr>
                <w:p w14:paraId="47002978">
                  <w:pPr>
                    <w:widowControl/>
                    <w:jc w:val="center"/>
                    <w:rPr>
                      <w:b/>
                      <w:kern w:val="0"/>
                    </w:rPr>
                  </w:pPr>
                  <w:r>
                    <w:rPr>
                      <w:rFonts w:hint="eastAsia"/>
                      <w:b/>
                      <w:kern w:val="0"/>
                    </w:rPr>
                    <w:t>现有项目</w:t>
                  </w:r>
                </w:p>
              </w:tc>
              <w:tc>
                <w:tcPr>
                  <w:tcW w:w="1300" w:type="pct"/>
                  <w:tcBorders>
                    <w:top w:val="single" w:color="auto" w:sz="4" w:space="0"/>
                    <w:left w:val="single" w:color="auto" w:sz="4" w:space="0"/>
                    <w:bottom w:val="single" w:color="auto" w:sz="4" w:space="0"/>
                    <w:right w:val="single" w:color="auto" w:sz="4" w:space="0"/>
                  </w:tcBorders>
                  <w:vAlign w:val="center"/>
                </w:tcPr>
                <w:p w14:paraId="6C43A946">
                  <w:pPr>
                    <w:widowControl/>
                    <w:jc w:val="center"/>
                    <w:rPr>
                      <w:b/>
                      <w:kern w:val="0"/>
                    </w:rPr>
                  </w:pPr>
                  <w:r>
                    <w:rPr>
                      <w:rFonts w:hint="eastAsia"/>
                      <w:b/>
                      <w:kern w:val="0"/>
                    </w:rPr>
                    <w:t>改扩建项目</w:t>
                  </w:r>
                </w:p>
              </w:tc>
              <w:tc>
                <w:tcPr>
                  <w:tcW w:w="1252" w:type="pct"/>
                  <w:tcBorders>
                    <w:top w:val="single" w:color="auto" w:sz="4" w:space="0"/>
                    <w:left w:val="single" w:color="auto" w:sz="4" w:space="0"/>
                    <w:bottom w:val="single" w:color="auto" w:sz="4" w:space="0"/>
                    <w:right w:val="single" w:color="auto" w:sz="4" w:space="0"/>
                  </w:tcBorders>
                  <w:vAlign w:val="center"/>
                </w:tcPr>
                <w:p w14:paraId="7AC1C39C">
                  <w:pPr>
                    <w:widowControl/>
                    <w:jc w:val="center"/>
                    <w:rPr>
                      <w:b/>
                      <w:kern w:val="0"/>
                    </w:rPr>
                  </w:pPr>
                  <w:r>
                    <w:rPr>
                      <w:rFonts w:hint="eastAsia"/>
                      <w:b/>
                      <w:kern w:val="0"/>
                    </w:rPr>
                    <w:t>改扩建后全厂</w:t>
                  </w:r>
                </w:p>
              </w:tc>
            </w:tr>
            <w:tr w14:paraId="6A89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0" w:type="pct"/>
                  <w:tcBorders>
                    <w:left w:val="single" w:color="auto" w:sz="4" w:space="0"/>
                    <w:bottom w:val="single" w:color="auto" w:sz="4" w:space="0"/>
                    <w:right w:val="single" w:color="auto" w:sz="4" w:space="0"/>
                  </w:tcBorders>
                  <w:vAlign w:val="center"/>
                </w:tcPr>
                <w:p w14:paraId="316ACEA8">
                  <w:pPr>
                    <w:widowControl/>
                    <w:jc w:val="center"/>
                    <w:rPr>
                      <w:kern w:val="0"/>
                    </w:rPr>
                  </w:pPr>
                  <w:r>
                    <w:rPr>
                      <w:rFonts w:hint="eastAsia"/>
                    </w:rPr>
                    <w:t>废白土</w:t>
                  </w:r>
                </w:p>
              </w:tc>
              <w:tc>
                <w:tcPr>
                  <w:tcW w:w="1228" w:type="pct"/>
                  <w:tcBorders>
                    <w:top w:val="single" w:color="auto" w:sz="4" w:space="0"/>
                    <w:left w:val="single" w:color="auto" w:sz="4" w:space="0"/>
                    <w:bottom w:val="single" w:color="auto" w:sz="4" w:space="0"/>
                    <w:right w:val="single" w:color="auto" w:sz="4" w:space="0"/>
                  </w:tcBorders>
                  <w:vAlign w:val="center"/>
                </w:tcPr>
                <w:p w14:paraId="6986D227">
                  <w:pPr>
                    <w:widowControl/>
                    <w:jc w:val="center"/>
                    <w:rPr>
                      <w:kern w:val="0"/>
                    </w:rPr>
                  </w:pPr>
                  <w:r>
                    <w:rPr>
                      <w:rFonts w:hint="eastAsia"/>
                      <w:kern w:val="0"/>
                    </w:rPr>
                    <w:t>60000吨</w:t>
                  </w:r>
                </w:p>
              </w:tc>
              <w:tc>
                <w:tcPr>
                  <w:tcW w:w="1300" w:type="pct"/>
                  <w:tcBorders>
                    <w:top w:val="single" w:color="auto" w:sz="4" w:space="0"/>
                    <w:left w:val="single" w:color="auto" w:sz="4" w:space="0"/>
                    <w:bottom w:val="single" w:color="auto" w:sz="4" w:space="0"/>
                    <w:right w:val="single" w:color="auto" w:sz="4" w:space="0"/>
                  </w:tcBorders>
                  <w:vAlign w:val="center"/>
                </w:tcPr>
                <w:p w14:paraId="74391B2D">
                  <w:pPr>
                    <w:widowControl/>
                    <w:jc w:val="center"/>
                    <w:rPr>
                      <w:kern w:val="0"/>
                    </w:rPr>
                  </w:pPr>
                  <w:r>
                    <w:rPr>
                      <w:rFonts w:hint="eastAsia"/>
                    </w:rPr>
                    <w:t>30000</w:t>
                  </w:r>
                  <w:r>
                    <w:rPr>
                      <w:rFonts w:hint="eastAsia"/>
                      <w:kern w:val="0"/>
                    </w:rPr>
                    <w:t>吨</w:t>
                  </w:r>
                </w:p>
              </w:tc>
              <w:tc>
                <w:tcPr>
                  <w:tcW w:w="1252" w:type="pct"/>
                  <w:tcBorders>
                    <w:top w:val="single" w:color="auto" w:sz="4" w:space="0"/>
                    <w:left w:val="single" w:color="auto" w:sz="4" w:space="0"/>
                    <w:bottom w:val="single" w:color="auto" w:sz="4" w:space="0"/>
                    <w:right w:val="single" w:color="auto" w:sz="4" w:space="0"/>
                  </w:tcBorders>
                  <w:vAlign w:val="center"/>
                </w:tcPr>
                <w:p w14:paraId="4DD47499">
                  <w:pPr>
                    <w:widowControl/>
                    <w:jc w:val="center"/>
                    <w:rPr>
                      <w:kern w:val="0"/>
                    </w:rPr>
                  </w:pPr>
                  <w:r>
                    <w:rPr>
                      <w:rFonts w:hint="eastAsia"/>
                      <w:kern w:val="0"/>
                    </w:rPr>
                    <w:t>90000吨</w:t>
                  </w:r>
                </w:p>
              </w:tc>
            </w:tr>
            <w:tr w14:paraId="0253D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0" w:type="pct"/>
                  <w:tcBorders>
                    <w:left w:val="single" w:color="auto" w:sz="4" w:space="0"/>
                    <w:bottom w:val="single" w:color="auto" w:sz="4" w:space="0"/>
                    <w:right w:val="single" w:color="auto" w:sz="4" w:space="0"/>
                  </w:tcBorders>
                  <w:vAlign w:val="center"/>
                </w:tcPr>
                <w:p w14:paraId="4369A79D">
                  <w:pPr>
                    <w:widowControl/>
                    <w:jc w:val="center"/>
                    <w:rPr>
                      <w:kern w:val="0"/>
                    </w:rPr>
                  </w:pPr>
                  <w:r>
                    <w:rPr>
                      <w:rFonts w:hint="eastAsia"/>
                    </w:rPr>
                    <w:t>植物油抽提溶剂</w:t>
                  </w:r>
                </w:p>
              </w:tc>
              <w:tc>
                <w:tcPr>
                  <w:tcW w:w="1228" w:type="pct"/>
                  <w:tcBorders>
                    <w:top w:val="single" w:color="auto" w:sz="4" w:space="0"/>
                    <w:left w:val="single" w:color="auto" w:sz="4" w:space="0"/>
                    <w:bottom w:val="single" w:color="auto" w:sz="4" w:space="0"/>
                    <w:right w:val="single" w:color="auto" w:sz="4" w:space="0"/>
                  </w:tcBorders>
                  <w:vAlign w:val="center"/>
                </w:tcPr>
                <w:p w14:paraId="47501457">
                  <w:pPr>
                    <w:widowControl/>
                    <w:jc w:val="center"/>
                    <w:rPr>
                      <w:kern w:val="0"/>
                    </w:rPr>
                  </w:pPr>
                  <w:r>
                    <w:rPr>
                      <w:rFonts w:hint="eastAsia"/>
                      <w:kern w:val="0"/>
                    </w:rPr>
                    <w:t>0吨</w:t>
                  </w:r>
                </w:p>
              </w:tc>
              <w:tc>
                <w:tcPr>
                  <w:tcW w:w="1300" w:type="pct"/>
                  <w:tcBorders>
                    <w:top w:val="single" w:color="auto" w:sz="4" w:space="0"/>
                    <w:left w:val="single" w:color="auto" w:sz="4" w:space="0"/>
                    <w:bottom w:val="single" w:color="auto" w:sz="4" w:space="0"/>
                    <w:right w:val="single" w:color="auto" w:sz="4" w:space="0"/>
                  </w:tcBorders>
                  <w:vAlign w:val="center"/>
                </w:tcPr>
                <w:p w14:paraId="6629336E">
                  <w:pPr>
                    <w:widowControl/>
                    <w:jc w:val="center"/>
                    <w:rPr>
                      <w:kern w:val="0"/>
                    </w:rPr>
                  </w:pPr>
                  <w:r>
                    <w:rPr>
                      <w:rFonts w:hint="eastAsia"/>
                      <w:kern w:val="0"/>
                    </w:rPr>
                    <w:t>34吨</w:t>
                  </w:r>
                </w:p>
              </w:tc>
              <w:tc>
                <w:tcPr>
                  <w:tcW w:w="1252" w:type="pct"/>
                  <w:tcBorders>
                    <w:top w:val="single" w:color="auto" w:sz="4" w:space="0"/>
                    <w:left w:val="single" w:color="auto" w:sz="4" w:space="0"/>
                    <w:bottom w:val="single" w:color="auto" w:sz="4" w:space="0"/>
                    <w:right w:val="single" w:color="auto" w:sz="4" w:space="0"/>
                  </w:tcBorders>
                  <w:vAlign w:val="center"/>
                </w:tcPr>
                <w:p w14:paraId="55A6FD65">
                  <w:pPr>
                    <w:widowControl/>
                    <w:jc w:val="center"/>
                    <w:rPr>
                      <w:kern w:val="0"/>
                    </w:rPr>
                  </w:pPr>
                  <w:r>
                    <w:rPr>
                      <w:rFonts w:hint="eastAsia"/>
                      <w:kern w:val="0"/>
                    </w:rPr>
                    <w:t>34吨</w:t>
                  </w:r>
                </w:p>
              </w:tc>
            </w:tr>
            <w:tr w14:paraId="1A6A9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0" w:type="pct"/>
                  <w:tcBorders>
                    <w:left w:val="single" w:color="auto" w:sz="4" w:space="0"/>
                    <w:bottom w:val="single" w:color="auto" w:sz="4" w:space="0"/>
                    <w:right w:val="single" w:color="auto" w:sz="4" w:space="0"/>
                  </w:tcBorders>
                  <w:vAlign w:val="center"/>
                </w:tcPr>
                <w:p w14:paraId="1292FBD0">
                  <w:pPr>
                    <w:widowControl/>
                    <w:jc w:val="center"/>
                    <w:rPr>
                      <w:kern w:val="0"/>
                    </w:rPr>
                  </w:pPr>
                  <w:r>
                    <w:rPr>
                      <w:rFonts w:hint="eastAsia"/>
                    </w:rPr>
                    <w:t>生物质成型燃料</w:t>
                  </w:r>
                </w:p>
              </w:tc>
              <w:tc>
                <w:tcPr>
                  <w:tcW w:w="1228" w:type="pct"/>
                  <w:tcBorders>
                    <w:top w:val="single" w:color="auto" w:sz="4" w:space="0"/>
                    <w:left w:val="single" w:color="auto" w:sz="4" w:space="0"/>
                    <w:bottom w:val="single" w:color="auto" w:sz="4" w:space="0"/>
                    <w:right w:val="single" w:color="auto" w:sz="4" w:space="0"/>
                  </w:tcBorders>
                  <w:vAlign w:val="center"/>
                </w:tcPr>
                <w:p w14:paraId="2BD31994">
                  <w:pPr>
                    <w:widowControl/>
                    <w:jc w:val="center"/>
                    <w:rPr>
                      <w:kern w:val="0"/>
                    </w:rPr>
                  </w:pPr>
                  <w:r>
                    <w:rPr>
                      <w:rFonts w:hint="eastAsia"/>
                      <w:kern w:val="0"/>
                    </w:rPr>
                    <w:t>1100吨</w:t>
                  </w:r>
                </w:p>
              </w:tc>
              <w:tc>
                <w:tcPr>
                  <w:tcW w:w="1300" w:type="pct"/>
                  <w:tcBorders>
                    <w:top w:val="single" w:color="auto" w:sz="4" w:space="0"/>
                    <w:left w:val="single" w:color="auto" w:sz="4" w:space="0"/>
                    <w:bottom w:val="single" w:color="auto" w:sz="4" w:space="0"/>
                    <w:right w:val="single" w:color="auto" w:sz="4" w:space="0"/>
                  </w:tcBorders>
                  <w:vAlign w:val="center"/>
                </w:tcPr>
                <w:p w14:paraId="5C891363">
                  <w:pPr>
                    <w:widowControl/>
                    <w:jc w:val="center"/>
                    <w:rPr>
                      <w:kern w:val="0"/>
                    </w:rPr>
                  </w:pPr>
                  <w:r>
                    <w:rPr>
                      <w:rFonts w:hint="eastAsia"/>
                    </w:rPr>
                    <w:t>3300</w:t>
                  </w:r>
                  <w:r>
                    <w:rPr>
                      <w:rFonts w:hint="eastAsia"/>
                      <w:kern w:val="0"/>
                    </w:rPr>
                    <w:t>吨</w:t>
                  </w:r>
                </w:p>
              </w:tc>
              <w:tc>
                <w:tcPr>
                  <w:tcW w:w="1252" w:type="pct"/>
                  <w:tcBorders>
                    <w:top w:val="single" w:color="auto" w:sz="4" w:space="0"/>
                    <w:left w:val="single" w:color="auto" w:sz="4" w:space="0"/>
                    <w:bottom w:val="single" w:color="auto" w:sz="4" w:space="0"/>
                    <w:right w:val="single" w:color="auto" w:sz="4" w:space="0"/>
                  </w:tcBorders>
                  <w:vAlign w:val="center"/>
                </w:tcPr>
                <w:p w14:paraId="11B9A7E4">
                  <w:pPr>
                    <w:widowControl/>
                    <w:jc w:val="center"/>
                    <w:rPr>
                      <w:kern w:val="0"/>
                    </w:rPr>
                  </w:pPr>
                  <w:r>
                    <w:rPr>
                      <w:rFonts w:hint="eastAsia"/>
                    </w:rPr>
                    <w:t>3300</w:t>
                  </w:r>
                  <w:r>
                    <w:rPr>
                      <w:rFonts w:hint="eastAsia"/>
                      <w:kern w:val="0"/>
                    </w:rPr>
                    <w:t>吨</w:t>
                  </w:r>
                </w:p>
              </w:tc>
            </w:tr>
          </w:tbl>
          <w:p w14:paraId="33DE4B47">
            <w:pPr>
              <w:spacing w:before="120" w:beforeLines="50" w:line="360" w:lineRule="auto"/>
              <w:ind w:firstLine="482" w:firstLineChars="200"/>
              <w:rPr>
                <w:b/>
                <w:bCs/>
                <w:sz w:val="24"/>
              </w:rPr>
            </w:pPr>
            <w:bookmarkStart w:id="7" w:name="_Toc200469835"/>
            <w:bookmarkStart w:id="8" w:name="_Toc194583551"/>
            <w:r>
              <w:rPr>
                <w:rFonts w:hint="eastAsia"/>
                <w:b/>
                <w:bCs/>
                <w:sz w:val="24"/>
              </w:rPr>
              <w:t>生物质成型燃料</w:t>
            </w:r>
            <w:r>
              <w:rPr>
                <w:b/>
                <w:bCs/>
                <w:sz w:val="24"/>
              </w:rPr>
              <w:t>消耗量估算</w:t>
            </w:r>
            <w:bookmarkEnd w:id="7"/>
            <w:bookmarkEnd w:id="8"/>
          </w:p>
          <w:p w14:paraId="115B6719">
            <w:pPr>
              <w:spacing w:line="360" w:lineRule="auto"/>
              <w:ind w:firstLine="480" w:firstLineChars="200"/>
              <w:rPr>
                <w:sz w:val="24"/>
              </w:rPr>
            </w:pPr>
            <w:r>
              <w:rPr>
                <w:rFonts w:hint="eastAsia"/>
                <w:sz w:val="24"/>
              </w:rPr>
              <w:t>改扩建</w:t>
            </w:r>
            <w:r>
              <w:rPr>
                <w:sz w:val="24"/>
              </w:rPr>
              <w:t>项目新建</w:t>
            </w:r>
            <w:r>
              <w:rPr>
                <w:rFonts w:hint="eastAsia"/>
                <w:sz w:val="24"/>
              </w:rPr>
              <w:t>1台</w:t>
            </w:r>
            <w:r>
              <w:rPr>
                <w:sz w:val="24"/>
              </w:rPr>
              <w:t>6t/h</w:t>
            </w:r>
            <w:r>
              <w:rPr>
                <w:rFonts w:hint="eastAsia"/>
                <w:sz w:val="24"/>
              </w:rPr>
              <w:t>燃生物质成型燃料</w:t>
            </w:r>
            <w:r>
              <w:rPr>
                <w:sz w:val="24"/>
              </w:rPr>
              <w:t>锅炉，</w:t>
            </w:r>
            <w:r>
              <w:rPr>
                <w:rFonts w:hint="eastAsia"/>
                <w:sz w:val="24"/>
              </w:rPr>
              <w:t>热</w:t>
            </w:r>
            <w:r>
              <w:rPr>
                <w:sz w:val="24"/>
              </w:rPr>
              <w:t>效率为8</w:t>
            </w:r>
            <w:r>
              <w:rPr>
                <w:rFonts w:hint="eastAsia"/>
                <w:sz w:val="24"/>
              </w:rPr>
              <w:t>0</w:t>
            </w:r>
            <w:r>
              <w:rPr>
                <w:sz w:val="24"/>
              </w:rPr>
              <w:t>%，</w:t>
            </w:r>
            <w:r>
              <w:rPr>
                <w:rFonts w:hint="eastAsia"/>
                <w:sz w:val="24"/>
              </w:rPr>
              <w:t>日运行时间为10h/d，根据检测报告（附件</w:t>
            </w:r>
            <w:r>
              <w:rPr>
                <w:rFonts w:hint="eastAsia"/>
                <w:sz w:val="24"/>
                <w:lang w:val="en-US" w:eastAsia="zh-CN"/>
              </w:rPr>
              <w:t>8</w:t>
            </w:r>
            <w:r>
              <w:rPr>
                <w:rFonts w:hint="eastAsia"/>
                <w:sz w:val="24"/>
              </w:rPr>
              <w:t>），生物质成型燃料收到基低位发热量为4113</w:t>
            </w:r>
            <w:r>
              <w:rPr>
                <w:sz w:val="24"/>
              </w:rPr>
              <w:t>K</w:t>
            </w:r>
            <w:r>
              <w:rPr>
                <w:rFonts w:hint="eastAsia"/>
                <w:sz w:val="24"/>
              </w:rPr>
              <w:t>cal/kg。</w:t>
            </w:r>
          </w:p>
          <w:p w14:paraId="7E9A7AA4">
            <w:pPr>
              <w:spacing w:line="360" w:lineRule="auto"/>
              <w:ind w:firstLine="480" w:firstLineChars="200"/>
              <w:rPr>
                <w:sz w:val="24"/>
              </w:rPr>
            </w:pPr>
            <w:r>
              <w:rPr>
                <w:rFonts w:hint="eastAsia"/>
                <w:sz w:val="24"/>
              </w:rPr>
              <w:t>锅炉所需生物质成型燃料消耗量=锅炉额定热功率</w:t>
            </w:r>
            <w:r>
              <w:rPr>
                <w:sz w:val="24"/>
              </w:rPr>
              <w:t>÷</w:t>
            </w:r>
            <w:r>
              <w:rPr>
                <w:rFonts w:hint="eastAsia"/>
                <w:sz w:val="24"/>
              </w:rPr>
              <w:t>（燃料发热值</w:t>
            </w:r>
            <w:r>
              <w:rPr>
                <w:sz w:val="24"/>
              </w:rPr>
              <w:t>×</w:t>
            </w:r>
            <w:r>
              <w:rPr>
                <w:rFonts w:hint="eastAsia"/>
                <w:sz w:val="24"/>
              </w:rPr>
              <w:t>热效率）=60万大卡</w:t>
            </w:r>
            <w:r>
              <w:rPr>
                <w:sz w:val="24"/>
              </w:rPr>
              <w:t>×</w:t>
            </w:r>
            <w:r>
              <w:rPr>
                <w:rFonts w:hint="eastAsia"/>
                <w:sz w:val="24"/>
              </w:rPr>
              <w:t>6蒸吨/时</w:t>
            </w:r>
            <w:r>
              <w:rPr>
                <w:sz w:val="24"/>
              </w:rPr>
              <w:t>÷</w:t>
            </w:r>
            <w:r>
              <w:rPr>
                <w:rFonts w:hint="eastAsia"/>
                <w:sz w:val="24"/>
              </w:rPr>
              <w:t>（4113</w:t>
            </w:r>
            <w:r>
              <w:rPr>
                <w:sz w:val="24"/>
              </w:rPr>
              <w:t>K</w:t>
            </w:r>
            <w:r>
              <w:rPr>
                <w:rFonts w:hint="eastAsia"/>
                <w:sz w:val="24"/>
              </w:rPr>
              <w:t>cal/kg</w:t>
            </w:r>
            <w:r>
              <w:rPr>
                <w:sz w:val="24"/>
              </w:rPr>
              <w:t>×8</w:t>
            </w:r>
            <w:r>
              <w:rPr>
                <w:rFonts w:hint="eastAsia"/>
                <w:sz w:val="24"/>
              </w:rPr>
              <w:t>0</w:t>
            </w:r>
            <w:r>
              <w:rPr>
                <w:sz w:val="24"/>
              </w:rPr>
              <w:t>%</w:t>
            </w:r>
            <w:r>
              <w:rPr>
                <w:rFonts w:hint="eastAsia"/>
                <w:sz w:val="24"/>
              </w:rPr>
              <w:t>）</w:t>
            </w:r>
            <w:r>
              <w:rPr>
                <w:sz w:val="24"/>
              </w:rPr>
              <w:t>÷</w:t>
            </w:r>
            <w:r>
              <w:rPr>
                <w:rFonts w:hint="eastAsia"/>
                <w:sz w:val="24"/>
              </w:rPr>
              <w:t>1000=1.10</w:t>
            </w:r>
            <w:r>
              <w:rPr>
                <w:sz w:val="24"/>
              </w:rPr>
              <w:t>t/h</w:t>
            </w:r>
            <w:r>
              <w:rPr>
                <w:rFonts w:hint="eastAsia"/>
                <w:sz w:val="24"/>
              </w:rPr>
              <w:t>，即3300</w:t>
            </w:r>
            <w:r>
              <w:rPr>
                <w:sz w:val="24"/>
              </w:rPr>
              <w:t xml:space="preserve"> t/</w:t>
            </w:r>
            <w:r>
              <w:rPr>
                <w:rFonts w:hint="eastAsia"/>
                <w:sz w:val="24"/>
              </w:rPr>
              <w:t>a。</w:t>
            </w:r>
          </w:p>
          <w:p w14:paraId="7B0A26A8">
            <w:pPr>
              <w:spacing w:before="120" w:beforeLines="50" w:line="360" w:lineRule="auto"/>
              <w:ind w:firstLine="482" w:firstLineChars="200"/>
              <w:rPr>
                <w:b/>
                <w:bCs/>
                <w:sz w:val="24"/>
                <w:szCs w:val="24"/>
              </w:rPr>
            </w:pPr>
            <w:r>
              <w:rPr>
                <w:rFonts w:hint="eastAsia"/>
                <w:b/>
                <w:bCs/>
                <w:sz w:val="24"/>
                <w:szCs w:val="24"/>
              </w:rPr>
              <w:t>4</w:t>
            </w:r>
            <w:r>
              <w:rPr>
                <w:b/>
                <w:bCs/>
                <w:sz w:val="24"/>
                <w:szCs w:val="24"/>
              </w:rPr>
              <w:t>.2理化性质</w:t>
            </w:r>
          </w:p>
          <w:p w14:paraId="4F79F17E">
            <w:pPr>
              <w:spacing w:line="360" w:lineRule="auto"/>
              <w:ind w:firstLine="480" w:firstLineChars="200"/>
              <w:rPr>
                <w:sz w:val="24"/>
                <w:szCs w:val="24"/>
              </w:rPr>
            </w:pPr>
            <w:r>
              <w:rPr>
                <w:rFonts w:hint="eastAsia"/>
                <w:sz w:val="24"/>
                <w:szCs w:val="24"/>
              </w:rPr>
              <w:t>改扩建</w:t>
            </w:r>
            <w:r>
              <w:rPr>
                <w:sz w:val="24"/>
                <w:szCs w:val="24"/>
              </w:rPr>
              <w:t>项目主要原辅材料理化性质</w:t>
            </w:r>
            <w:r>
              <w:rPr>
                <w:rFonts w:hint="eastAsia"/>
                <w:sz w:val="24"/>
                <w:szCs w:val="24"/>
              </w:rPr>
              <w:t>如下</w:t>
            </w:r>
            <w:r>
              <w:rPr>
                <w:sz w:val="24"/>
                <w:szCs w:val="24"/>
              </w:rPr>
              <w:t>。</w:t>
            </w:r>
          </w:p>
          <w:p w14:paraId="165303DB">
            <w:pPr>
              <w:spacing w:line="360" w:lineRule="auto"/>
              <w:ind w:firstLine="480" w:firstLineChars="200"/>
              <w:rPr>
                <w:sz w:val="24"/>
                <w:szCs w:val="24"/>
              </w:rPr>
            </w:pPr>
            <w:r>
              <w:rPr>
                <w:rFonts w:hint="eastAsia"/>
                <w:sz w:val="24"/>
                <w:szCs w:val="24"/>
              </w:rPr>
              <w:t>（1）废白土</w:t>
            </w:r>
          </w:p>
          <w:p w14:paraId="7E3C0933">
            <w:pPr>
              <w:spacing w:line="360" w:lineRule="auto"/>
              <w:ind w:firstLine="480" w:firstLineChars="200"/>
              <w:rPr>
                <w:sz w:val="24"/>
                <w:szCs w:val="24"/>
              </w:rPr>
            </w:pPr>
            <w:r>
              <w:rPr>
                <w:rFonts w:hint="eastAsia"/>
                <w:sz w:val="24"/>
                <w:szCs w:val="24"/>
              </w:rPr>
              <w:t>植物油加工厂</w:t>
            </w:r>
            <w:r>
              <w:rPr>
                <w:rFonts w:ascii="宋体" w:hAnsi="宋体"/>
                <w:kern w:val="0"/>
                <w:sz w:val="24"/>
                <w:szCs w:val="20"/>
              </w:rPr>
              <w:t>油脂精炼工艺中</w:t>
            </w:r>
            <w:r>
              <w:rPr>
                <w:rFonts w:hint="eastAsia" w:ascii="宋体" w:hAnsi="宋体"/>
                <w:kern w:val="0"/>
                <w:sz w:val="24"/>
                <w:szCs w:val="20"/>
              </w:rPr>
              <w:t>，</w:t>
            </w:r>
            <w:r>
              <w:rPr>
                <w:rFonts w:hint="eastAsia"/>
                <w:sz w:val="24"/>
                <w:szCs w:val="24"/>
              </w:rPr>
              <w:t>使用活性白土对油脂进行脱色，</w:t>
            </w:r>
            <w:r>
              <w:rPr>
                <w:rFonts w:ascii="宋体" w:hAnsi="宋体"/>
                <w:kern w:val="0"/>
                <w:sz w:val="24"/>
                <w:szCs w:val="20"/>
              </w:rPr>
              <w:t>脱色以后的白土失去了活性即成为废白土</w:t>
            </w:r>
            <w:r>
              <w:rPr>
                <w:rFonts w:hint="eastAsia"/>
                <w:sz w:val="24"/>
                <w:szCs w:val="24"/>
              </w:rPr>
              <w:t>，其外观呈泥土状。废白土的主要成分除SiO</w:t>
            </w:r>
            <w:r>
              <w:rPr>
                <w:rFonts w:hint="eastAsia"/>
                <w:sz w:val="24"/>
                <w:szCs w:val="24"/>
                <w:vertAlign w:val="subscript"/>
              </w:rPr>
              <w:t>2</w:t>
            </w:r>
            <w:r>
              <w:rPr>
                <w:rFonts w:hint="eastAsia"/>
                <w:sz w:val="24"/>
                <w:szCs w:val="24"/>
              </w:rPr>
              <w:t>、Al</w:t>
            </w:r>
            <w:r>
              <w:rPr>
                <w:rFonts w:hint="eastAsia"/>
                <w:sz w:val="24"/>
                <w:szCs w:val="24"/>
                <w:vertAlign w:val="subscript"/>
              </w:rPr>
              <w:t>2</w:t>
            </w:r>
            <w:r>
              <w:rPr>
                <w:rFonts w:hint="eastAsia"/>
                <w:sz w:val="24"/>
                <w:szCs w:val="24"/>
              </w:rPr>
              <w:t>O</w:t>
            </w:r>
            <w:r>
              <w:rPr>
                <w:rFonts w:hint="eastAsia"/>
                <w:sz w:val="24"/>
                <w:szCs w:val="24"/>
                <w:vertAlign w:val="subscript"/>
              </w:rPr>
              <w:t>3</w:t>
            </w:r>
            <w:r>
              <w:rPr>
                <w:rFonts w:hint="eastAsia"/>
                <w:sz w:val="24"/>
                <w:szCs w:val="24"/>
              </w:rPr>
              <w:t>、Fe</w:t>
            </w:r>
            <w:r>
              <w:rPr>
                <w:rFonts w:hint="eastAsia"/>
                <w:sz w:val="24"/>
                <w:szCs w:val="24"/>
                <w:vertAlign w:val="subscript"/>
              </w:rPr>
              <w:t>2</w:t>
            </w:r>
            <w:r>
              <w:rPr>
                <w:rFonts w:hint="eastAsia"/>
                <w:sz w:val="24"/>
                <w:szCs w:val="24"/>
              </w:rPr>
              <w:t>O</w:t>
            </w:r>
            <w:r>
              <w:rPr>
                <w:rFonts w:hint="eastAsia"/>
                <w:sz w:val="24"/>
                <w:szCs w:val="24"/>
                <w:vertAlign w:val="subscript"/>
              </w:rPr>
              <w:t>3</w:t>
            </w:r>
            <w:r>
              <w:rPr>
                <w:rFonts w:hint="eastAsia"/>
                <w:sz w:val="24"/>
                <w:szCs w:val="24"/>
              </w:rPr>
              <w:t>、MgO、Na</w:t>
            </w:r>
            <w:r>
              <w:rPr>
                <w:rFonts w:hint="eastAsia"/>
                <w:sz w:val="24"/>
                <w:szCs w:val="24"/>
                <w:vertAlign w:val="subscript"/>
              </w:rPr>
              <w:t>2</w:t>
            </w:r>
            <w:r>
              <w:rPr>
                <w:rFonts w:hint="eastAsia"/>
                <w:sz w:val="24"/>
                <w:szCs w:val="24"/>
              </w:rPr>
              <w:t>O、CaO、K</w:t>
            </w:r>
            <w:r>
              <w:rPr>
                <w:rFonts w:hint="eastAsia"/>
                <w:sz w:val="24"/>
                <w:szCs w:val="24"/>
                <w:vertAlign w:val="subscript"/>
              </w:rPr>
              <w:t>2</w:t>
            </w:r>
            <w:r>
              <w:rPr>
                <w:rFonts w:hint="eastAsia"/>
                <w:sz w:val="24"/>
                <w:szCs w:val="24"/>
              </w:rPr>
              <w:t>O以及其他杂质外，还含有大量的中性油脂、脂肪酸。</w:t>
            </w:r>
          </w:p>
          <w:p w14:paraId="71CD9CF8">
            <w:pPr>
              <w:spacing w:line="360" w:lineRule="auto"/>
              <w:ind w:firstLine="480" w:firstLineChars="200"/>
              <w:rPr>
                <w:sz w:val="24"/>
              </w:rPr>
            </w:pPr>
            <w:r>
              <w:rPr>
                <w:rFonts w:hint="eastAsia"/>
                <w:sz w:val="24"/>
                <w:szCs w:val="24"/>
              </w:rPr>
              <w:t>改扩建项目废白土主要来源于本地粮油、油脂生产企业生产中油脂脱色产生的废白土，</w:t>
            </w:r>
            <w:r>
              <w:rPr>
                <w:rFonts w:hint="eastAsia"/>
                <w:bCs/>
                <w:sz w:val="24"/>
              </w:rPr>
              <w:t>吸附有一定量植物油脂，含油量约为20~25</w:t>
            </w:r>
            <w:r>
              <w:rPr>
                <w:bCs/>
                <w:sz w:val="24"/>
              </w:rPr>
              <w:t>%</w:t>
            </w:r>
            <w:r>
              <w:rPr>
                <w:rFonts w:hint="eastAsia"/>
                <w:bCs/>
                <w:sz w:val="24"/>
              </w:rPr>
              <w:t>，根据《固体废物分类与代码目录》（2024年），</w:t>
            </w:r>
            <w:r>
              <w:rPr>
                <w:bCs/>
                <w:sz w:val="24"/>
              </w:rPr>
              <w:t>植物油加工过程中在脱色工段产生的废白土</w:t>
            </w:r>
            <w:r>
              <w:rPr>
                <w:rFonts w:hint="eastAsia"/>
                <w:bCs/>
                <w:sz w:val="24"/>
              </w:rPr>
              <w:t>为一般固废，固废类别为SW13食品残渣，废物代码为133-001-S13。</w:t>
            </w:r>
          </w:p>
          <w:p w14:paraId="63D1DA6B">
            <w:pPr>
              <w:spacing w:line="360" w:lineRule="auto"/>
              <w:ind w:firstLine="480" w:firstLineChars="200"/>
              <w:rPr>
                <w:sz w:val="24"/>
                <w:szCs w:val="24"/>
              </w:rPr>
            </w:pPr>
            <w:r>
              <w:rPr>
                <w:rFonts w:hint="eastAsia"/>
                <w:sz w:val="24"/>
                <w:szCs w:val="24"/>
              </w:rPr>
              <w:t>本项目委托广东天鉴检测技术服务股份有限公司和领先材料检测技术(深圳)有限公司对废白土的相关指标进行了检测分析，检测结果详见表2-8，检测报告见附件</w:t>
            </w:r>
            <w:r>
              <w:rPr>
                <w:rFonts w:hint="eastAsia"/>
                <w:sz w:val="24"/>
                <w:szCs w:val="24"/>
                <w:lang w:val="en-US" w:eastAsia="zh-CN"/>
              </w:rPr>
              <w:t>9</w:t>
            </w:r>
            <w:r>
              <w:rPr>
                <w:rFonts w:hint="eastAsia"/>
                <w:sz w:val="24"/>
                <w:szCs w:val="24"/>
              </w:rPr>
              <w:t>。</w:t>
            </w:r>
          </w:p>
          <w:p w14:paraId="3F40B9C0">
            <w:pPr>
              <w:pStyle w:val="14"/>
              <w:spacing w:before="0" w:beforeLines="0" w:after="0" w:afterLines="0" w:line="360" w:lineRule="auto"/>
              <w:rPr>
                <w:rFonts w:eastAsia="宋体"/>
                <w:b/>
                <w:sz w:val="21"/>
              </w:rPr>
            </w:pPr>
            <w:r>
              <w:rPr>
                <w:rFonts w:hint="eastAsia" w:eastAsia="宋体"/>
                <w:b/>
                <w:sz w:val="21"/>
              </w:rPr>
              <w:t>表2-8 废白土相关指标检测结果</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2987"/>
              <w:gridCol w:w="2987"/>
              <w:gridCol w:w="2985"/>
            </w:tblGrid>
            <w:tr w14:paraId="03E07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6B87FA62">
                  <w:pPr>
                    <w:widowControl/>
                    <w:jc w:val="center"/>
                    <w:rPr>
                      <w:rFonts w:cs="宋体"/>
                      <w:kern w:val="0"/>
                      <w:szCs w:val="20"/>
                    </w:rPr>
                  </w:pPr>
                  <w:r>
                    <w:rPr>
                      <w:rFonts w:cs="Calibri"/>
                      <w:kern w:val="0"/>
                      <w:szCs w:val="22"/>
                    </w:rPr>
                    <w:t>检测项目</w:t>
                  </w:r>
                </w:p>
              </w:tc>
              <w:tc>
                <w:tcPr>
                  <w:tcW w:w="1667" w:type="pct"/>
                  <w:noWrap/>
                  <w:vAlign w:val="center"/>
                </w:tcPr>
                <w:p w14:paraId="5A9D73DE">
                  <w:pPr>
                    <w:widowControl/>
                    <w:jc w:val="center"/>
                    <w:rPr>
                      <w:rFonts w:cs="宋体"/>
                      <w:kern w:val="0"/>
                      <w:szCs w:val="20"/>
                    </w:rPr>
                  </w:pPr>
                  <w:r>
                    <w:rPr>
                      <w:rFonts w:cs="Calibri"/>
                      <w:kern w:val="0"/>
                      <w:szCs w:val="22"/>
                    </w:rPr>
                    <w:t>检测结果</w:t>
                  </w:r>
                </w:p>
              </w:tc>
              <w:tc>
                <w:tcPr>
                  <w:tcW w:w="1667" w:type="pct"/>
                  <w:noWrap/>
                  <w:vAlign w:val="center"/>
                </w:tcPr>
                <w:p w14:paraId="6572E5A3">
                  <w:pPr>
                    <w:widowControl/>
                    <w:jc w:val="center"/>
                    <w:rPr>
                      <w:rFonts w:cs="宋体"/>
                      <w:kern w:val="0"/>
                      <w:szCs w:val="20"/>
                    </w:rPr>
                  </w:pPr>
                  <w:r>
                    <w:rPr>
                      <w:rFonts w:cs="Calibri"/>
                      <w:kern w:val="0"/>
                      <w:szCs w:val="22"/>
                    </w:rPr>
                    <w:t>计量单位</w:t>
                  </w:r>
                </w:p>
              </w:tc>
            </w:tr>
            <w:tr w14:paraId="7204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5647D8CC">
                  <w:pPr>
                    <w:widowControl/>
                    <w:jc w:val="center"/>
                    <w:rPr>
                      <w:rFonts w:cs="宋体"/>
                      <w:kern w:val="0"/>
                      <w:szCs w:val="20"/>
                    </w:rPr>
                  </w:pPr>
                  <w:r>
                    <w:rPr>
                      <w:rFonts w:cs="Calibri"/>
                      <w:kern w:val="0"/>
                      <w:szCs w:val="22"/>
                    </w:rPr>
                    <w:t>砷</w:t>
                  </w:r>
                </w:p>
              </w:tc>
              <w:tc>
                <w:tcPr>
                  <w:tcW w:w="1667" w:type="pct"/>
                  <w:noWrap/>
                  <w:vAlign w:val="center"/>
                </w:tcPr>
                <w:p w14:paraId="1D54FF73">
                  <w:pPr>
                    <w:widowControl/>
                    <w:jc w:val="center"/>
                    <w:rPr>
                      <w:rFonts w:cs="宋体"/>
                      <w:kern w:val="0"/>
                      <w:szCs w:val="20"/>
                    </w:rPr>
                  </w:pPr>
                  <w:r>
                    <w:rPr>
                      <w:rFonts w:cs="Calibri"/>
                      <w:kern w:val="0"/>
                      <w:szCs w:val="22"/>
                    </w:rPr>
                    <w:t>0.0171</w:t>
                  </w:r>
                </w:p>
              </w:tc>
              <w:tc>
                <w:tcPr>
                  <w:tcW w:w="1667" w:type="pct"/>
                  <w:noWrap/>
                  <w:vAlign w:val="center"/>
                </w:tcPr>
                <w:p w14:paraId="60D8A37C">
                  <w:pPr>
                    <w:widowControl/>
                    <w:jc w:val="center"/>
                    <w:rPr>
                      <w:rFonts w:cs="宋体"/>
                      <w:kern w:val="0"/>
                      <w:szCs w:val="20"/>
                    </w:rPr>
                  </w:pPr>
                  <w:r>
                    <w:rPr>
                      <w:rFonts w:cs="Calibri"/>
                      <w:kern w:val="0"/>
                      <w:szCs w:val="22"/>
                    </w:rPr>
                    <w:t>mg/L</w:t>
                  </w:r>
                </w:p>
              </w:tc>
            </w:tr>
            <w:tr w14:paraId="74979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3A9B81C3">
                  <w:pPr>
                    <w:widowControl/>
                    <w:jc w:val="center"/>
                    <w:rPr>
                      <w:rFonts w:cs="宋体"/>
                      <w:kern w:val="0"/>
                      <w:szCs w:val="20"/>
                    </w:rPr>
                  </w:pPr>
                  <w:r>
                    <w:rPr>
                      <w:rFonts w:cs="Calibri"/>
                      <w:kern w:val="0"/>
                      <w:szCs w:val="22"/>
                    </w:rPr>
                    <w:t>锑</w:t>
                  </w:r>
                </w:p>
              </w:tc>
              <w:tc>
                <w:tcPr>
                  <w:tcW w:w="1667" w:type="pct"/>
                  <w:noWrap/>
                  <w:vAlign w:val="center"/>
                </w:tcPr>
                <w:p w14:paraId="7ACDED94">
                  <w:pPr>
                    <w:widowControl/>
                    <w:jc w:val="center"/>
                    <w:rPr>
                      <w:rFonts w:cs="宋体"/>
                      <w:kern w:val="0"/>
                      <w:szCs w:val="20"/>
                    </w:rPr>
                  </w:pPr>
                  <w:r>
                    <w:rPr>
                      <w:rFonts w:cs="Calibri"/>
                      <w:kern w:val="0"/>
                      <w:szCs w:val="22"/>
                    </w:rPr>
                    <w:t>&lt;0.02</w:t>
                  </w:r>
                </w:p>
              </w:tc>
              <w:tc>
                <w:tcPr>
                  <w:tcW w:w="1667" w:type="pct"/>
                  <w:noWrap/>
                  <w:vAlign w:val="center"/>
                </w:tcPr>
                <w:p w14:paraId="49203B81">
                  <w:pPr>
                    <w:widowControl/>
                    <w:jc w:val="center"/>
                    <w:rPr>
                      <w:rFonts w:cs="宋体"/>
                      <w:kern w:val="0"/>
                      <w:szCs w:val="20"/>
                    </w:rPr>
                  </w:pPr>
                  <w:r>
                    <w:rPr>
                      <w:rFonts w:cs="Calibri"/>
                      <w:kern w:val="0"/>
                      <w:szCs w:val="22"/>
                    </w:rPr>
                    <w:t>mg/L</w:t>
                  </w:r>
                </w:p>
              </w:tc>
            </w:tr>
            <w:tr w14:paraId="1D9F2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7789D40F">
                  <w:pPr>
                    <w:widowControl/>
                    <w:jc w:val="center"/>
                    <w:rPr>
                      <w:rFonts w:cs="宋体"/>
                      <w:kern w:val="0"/>
                      <w:szCs w:val="20"/>
                    </w:rPr>
                  </w:pPr>
                  <w:r>
                    <w:rPr>
                      <w:rFonts w:cs="Calibri"/>
                      <w:kern w:val="0"/>
                      <w:szCs w:val="22"/>
                    </w:rPr>
                    <w:t>锰</w:t>
                  </w:r>
                </w:p>
              </w:tc>
              <w:tc>
                <w:tcPr>
                  <w:tcW w:w="1667" w:type="pct"/>
                  <w:noWrap/>
                  <w:vAlign w:val="center"/>
                </w:tcPr>
                <w:p w14:paraId="7D994359">
                  <w:pPr>
                    <w:widowControl/>
                    <w:jc w:val="center"/>
                    <w:rPr>
                      <w:rFonts w:cs="宋体"/>
                      <w:kern w:val="0"/>
                      <w:szCs w:val="20"/>
                    </w:rPr>
                  </w:pPr>
                  <w:r>
                    <w:rPr>
                      <w:rFonts w:cs="Calibri"/>
                      <w:kern w:val="0"/>
                      <w:szCs w:val="22"/>
                    </w:rPr>
                    <w:t>1.24</w:t>
                  </w:r>
                </w:p>
              </w:tc>
              <w:tc>
                <w:tcPr>
                  <w:tcW w:w="1667" w:type="pct"/>
                  <w:noWrap/>
                  <w:vAlign w:val="center"/>
                </w:tcPr>
                <w:p w14:paraId="7BB9AFEE">
                  <w:pPr>
                    <w:widowControl/>
                    <w:jc w:val="center"/>
                    <w:rPr>
                      <w:rFonts w:cs="宋体"/>
                      <w:kern w:val="0"/>
                      <w:szCs w:val="20"/>
                    </w:rPr>
                  </w:pPr>
                  <w:r>
                    <w:rPr>
                      <w:rFonts w:cs="Calibri"/>
                      <w:kern w:val="0"/>
                      <w:szCs w:val="22"/>
                    </w:rPr>
                    <w:t>mg/L</w:t>
                  </w:r>
                </w:p>
              </w:tc>
            </w:tr>
            <w:tr w14:paraId="168B7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7EC30EE2">
                  <w:pPr>
                    <w:widowControl/>
                    <w:jc w:val="center"/>
                    <w:rPr>
                      <w:rFonts w:cs="宋体"/>
                      <w:kern w:val="0"/>
                      <w:szCs w:val="20"/>
                    </w:rPr>
                  </w:pPr>
                  <w:r>
                    <w:rPr>
                      <w:rFonts w:cs="Calibri"/>
                      <w:kern w:val="0"/>
                      <w:szCs w:val="22"/>
                    </w:rPr>
                    <w:t>镉</w:t>
                  </w:r>
                </w:p>
              </w:tc>
              <w:tc>
                <w:tcPr>
                  <w:tcW w:w="1667" w:type="pct"/>
                  <w:noWrap/>
                  <w:vAlign w:val="center"/>
                </w:tcPr>
                <w:p w14:paraId="1C1EF787">
                  <w:pPr>
                    <w:widowControl/>
                    <w:jc w:val="center"/>
                    <w:rPr>
                      <w:rFonts w:cs="宋体"/>
                      <w:kern w:val="0"/>
                      <w:szCs w:val="20"/>
                    </w:rPr>
                  </w:pPr>
                  <w:r>
                    <w:rPr>
                      <w:rFonts w:cs="Calibri"/>
                      <w:kern w:val="0"/>
                      <w:szCs w:val="22"/>
                    </w:rPr>
                    <w:t>&lt;0.01</w:t>
                  </w:r>
                </w:p>
              </w:tc>
              <w:tc>
                <w:tcPr>
                  <w:tcW w:w="1667" w:type="pct"/>
                  <w:noWrap/>
                  <w:vAlign w:val="center"/>
                </w:tcPr>
                <w:p w14:paraId="6B0AC098">
                  <w:pPr>
                    <w:widowControl/>
                    <w:jc w:val="center"/>
                    <w:rPr>
                      <w:rFonts w:cs="宋体"/>
                      <w:kern w:val="0"/>
                      <w:szCs w:val="20"/>
                    </w:rPr>
                  </w:pPr>
                  <w:r>
                    <w:rPr>
                      <w:rFonts w:cs="Calibri"/>
                      <w:kern w:val="0"/>
                      <w:szCs w:val="22"/>
                    </w:rPr>
                    <w:t>mg/L</w:t>
                  </w:r>
                </w:p>
              </w:tc>
            </w:tr>
            <w:tr w14:paraId="69BFB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004D3DC7">
                  <w:pPr>
                    <w:widowControl/>
                    <w:jc w:val="center"/>
                    <w:rPr>
                      <w:rFonts w:cs="宋体"/>
                      <w:kern w:val="0"/>
                      <w:szCs w:val="20"/>
                    </w:rPr>
                  </w:pPr>
                  <w:r>
                    <w:rPr>
                      <w:rFonts w:cs="Calibri"/>
                      <w:kern w:val="0"/>
                      <w:szCs w:val="22"/>
                    </w:rPr>
                    <w:t>铬</w:t>
                  </w:r>
                </w:p>
              </w:tc>
              <w:tc>
                <w:tcPr>
                  <w:tcW w:w="1667" w:type="pct"/>
                  <w:noWrap/>
                  <w:vAlign w:val="center"/>
                </w:tcPr>
                <w:p w14:paraId="2E47B165">
                  <w:pPr>
                    <w:widowControl/>
                    <w:jc w:val="center"/>
                    <w:rPr>
                      <w:rFonts w:cs="宋体"/>
                      <w:kern w:val="0"/>
                      <w:szCs w:val="20"/>
                    </w:rPr>
                  </w:pPr>
                  <w:r>
                    <w:rPr>
                      <w:rFonts w:cs="Calibri"/>
                      <w:kern w:val="0"/>
                      <w:szCs w:val="22"/>
                    </w:rPr>
                    <w:t>&lt;0.02</w:t>
                  </w:r>
                </w:p>
              </w:tc>
              <w:tc>
                <w:tcPr>
                  <w:tcW w:w="1667" w:type="pct"/>
                  <w:noWrap/>
                  <w:vAlign w:val="center"/>
                </w:tcPr>
                <w:p w14:paraId="0F6D28B7">
                  <w:pPr>
                    <w:widowControl/>
                    <w:jc w:val="center"/>
                    <w:rPr>
                      <w:rFonts w:cs="宋体"/>
                      <w:kern w:val="0"/>
                      <w:szCs w:val="20"/>
                    </w:rPr>
                  </w:pPr>
                  <w:r>
                    <w:rPr>
                      <w:rFonts w:cs="Calibri"/>
                      <w:kern w:val="0"/>
                      <w:szCs w:val="22"/>
                    </w:rPr>
                    <w:t>mg/L</w:t>
                  </w:r>
                </w:p>
              </w:tc>
            </w:tr>
            <w:tr w14:paraId="03A9B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7C136BB6">
                  <w:pPr>
                    <w:widowControl/>
                    <w:jc w:val="center"/>
                    <w:rPr>
                      <w:rFonts w:cs="宋体"/>
                      <w:kern w:val="0"/>
                      <w:szCs w:val="20"/>
                    </w:rPr>
                  </w:pPr>
                  <w:r>
                    <w:rPr>
                      <w:rFonts w:cs="Calibri"/>
                      <w:kern w:val="0"/>
                      <w:szCs w:val="22"/>
                    </w:rPr>
                    <w:t>铜</w:t>
                  </w:r>
                </w:p>
              </w:tc>
              <w:tc>
                <w:tcPr>
                  <w:tcW w:w="1667" w:type="pct"/>
                  <w:noWrap/>
                  <w:vAlign w:val="center"/>
                </w:tcPr>
                <w:p w14:paraId="10181D75">
                  <w:pPr>
                    <w:widowControl/>
                    <w:jc w:val="center"/>
                    <w:rPr>
                      <w:rFonts w:cs="宋体"/>
                      <w:kern w:val="0"/>
                      <w:szCs w:val="20"/>
                    </w:rPr>
                  </w:pPr>
                  <w:r>
                    <w:rPr>
                      <w:rFonts w:cs="Calibri"/>
                      <w:kern w:val="0"/>
                      <w:szCs w:val="22"/>
                    </w:rPr>
                    <w:t>&lt;0.01</w:t>
                  </w:r>
                </w:p>
              </w:tc>
              <w:tc>
                <w:tcPr>
                  <w:tcW w:w="1667" w:type="pct"/>
                  <w:noWrap/>
                  <w:vAlign w:val="center"/>
                </w:tcPr>
                <w:p w14:paraId="082EBA32">
                  <w:pPr>
                    <w:widowControl/>
                    <w:jc w:val="center"/>
                    <w:rPr>
                      <w:rFonts w:cs="宋体"/>
                      <w:kern w:val="0"/>
                      <w:szCs w:val="20"/>
                    </w:rPr>
                  </w:pPr>
                  <w:r>
                    <w:rPr>
                      <w:rFonts w:cs="Calibri"/>
                      <w:kern w:val="0"/>
                      <w:szCs w:val="22"/>
                    </w:rPr>
                    <w:t>mg/L</w:t>
                  </w:r>
                </w:p>
              </w:tc>
            </w:tr>
            <w:tr w14:paraId="2D650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20A3F4B2">
                  <w:pPr>
                    <w:widowControl/>
                    <w:jc w:val="center"/>
                    <w:rPr>
                      <w:rFonts w:cs="宋体"/>
                      <w:kern w:val="0"/>
                      <w:szCs w:val="20"/>
                    </w:rPr>
                  </w:pPr>
                  <w:r>
                    <w:rPr>
                      <w:rFonts w:cs="Calibri"/>
                      <w:kern w:val="0"/>
                      <w:szCs w:val="22"/>
                    </w:rPr>
                    <w:t>铅</w:t>
                  </w:r>
                </w:p>
              </w:tc>
              <w:tc>
                <w:tcPr>
                  <w:tcW w:w="1667" w:type="pct"/>
                  <w:noWrap/>
                  <w:vAlign w:val="center"/>
                </w:tcPr>
                <w:p w14:paraId="4CEF0F4E">
                  <w:pPr>
                    <w:widowControl/>
                    <w:jc w:val="center"/>
                    <w:rPr>
                      <w:rFonts w:cs="宋体"/>
                      <w:kern w:val="0"/>
                      <w:szCs w:val="20"/>
                    </w:rPr>
                  </w:pPr>
                  <w:r>
                    <w:rPr>
                      <w:rFonts w:cs="Calibri"/>
                      <w:kern w:val="0"/>
                      <w:szCs w:val="22"/>
                    </w:rPr>
                    <w:t>&lt;0.03</w:t>
                  </w:r>
                </w:p>
              </w:tc>
              <w:tc>
                <w:tcPr>
                  <w:tcW w:w="1667" w:type="pct"/>
                  <w:noWrap/>
                  <w:vAlign w:val="center"/>
                </w:tcPr>
                <w:p w14:paraId="0A2AF77C">
                  <w:pPr>
                    <w:widowControl/>
                    <w:jc w:val="center"/>
                    <w:rPr>
                      <w:rFonts w:cs="宋体"/>
                      <w:kern w:val="0"/>
                      <w:szCs w:val="20"/>
                    </w:rPr>
                  </w:pPr>
                  <w:r>
                    <w:rPr>
                      <w:rFonts w:cs="Calibri"/>
                      <w:kern w:val="0"/>
                      <w:szCs w:val="22"/>
                    </w:rPr>
                    <w:t>mg/L</w:t>
                  </w:r>
                </w:p>
              </w:tc>
            </w:tr>
            <w:tr w14:paraId="5C4F8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172B1E85">
                  <w:pPr>
                    <w:widowControl/>
                    <w:jc w:val="center"/>
                    <w:rPr>
                      <w:rFonts w:cs="宋体"/>
                      <w:kern w:val="0"/>
                      <w:szCs w:val="20"/>
                    </w:rPr>
                  </w:pPr>
                  <w:r>
                    <w:rPr>
                      <w:rFonts w:cs="Calibri"/>
                      <w:kern w:val="0"/>
                      <w:szCs w:val="22"/>
                    </w:rPr>
                    <w:t>锌</w:t>
                  </w:r>
                </w:p>
              </w:tc>
              <w:tc>
                <w:tcPr>
                  <w:tcW w:w="1667" w:type="pct"/>
                  <w:noWrap/>
                  <w:vAlign w:val="center"/>
                </w:tcPr>
                <w:p w14:paraId="6C3E8611">
                  <w:pPr>
                    <w:widowControl/>
                    <w:jc w:val="center"/>
                    <w:rPr>
                      <w:rFonts w:cs="宋体"/>
                      <w:kern w:val="0"/>
                      <w:szCs w:val="20"/>
                    </w:rPr>
                  </w:pPr>
                  <w:r>
                    <w:rPr>
                      <w:rFonts w:cs="Calibri"/>
                      <w:kern w:val="0"/>
                      <w:szCs w:val="22"/>
                    </w:rPr>
                    <w:t>0.07</w:t>
                  </w:r>
                </w:p>
              </w:tc>
              <w:tc>
                <w:tcPr>
                  <w:tcW w:w="1667" w:type="pct"/>
                  <w:noWrap/>
                  <w:vAlign w:val="center"/>
                </w:tcPr>
                <w:p w14:paraId="35AA2B65">
                  <w:pPr>
                    <w:widowControl/>
                    <w:jc w:val="center"/>
                    <w:rPr>
                      <w:rFonts w:cs="宋体"/>
                      <w:kern w:val="0"/>
                      <w:szCs w:val="20"/>
                    </w:rPr>
                  </w:pPr>
                  <w:r>
                    <w:rPr>
                      <w:rFonts w:cs="Calibri"/>
                      <w:kern w:val="0"/>
                      <w:szCs w:val="22"/>
                    </w:rPr>
                    <w:t>mg/L</w:t>
                  </w:r>
                </w:p>
              </w:tc>
            </w:tr>
            <w:tr w14:paraId="5480A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71F525C5">
                  <w:pPr>
                    <w:widowControl/>
                    <w:jc w:val="center"/>
                    <w:rPr>
                      <w:rFonts w:cs="宋体"/>
                      <w:kern w:val="0"/>
                      <w:szCs w:val="20"/>
                    </w:rPr>
                  </w:pPr>
                  <w:r>
                    <w:rPr>
                      <w:rFonts w:cs="Calibri"/>
                      <w:kern w:val="0"/>
                      <w:szCs w:val="22"/>
                    </w:rPr>
                    <w:t>锡</w:t>
                  </w:r>
                </w:p>
              </w:tc>
              <w:tc>
                <w:tcPr>
                  <w:tcW w:w="1667" w:type="pct"/>
                  <w:noWrap/>
                  <w:vAlign w:val="center"/>
                </w:tcPr>
                <w:p w14:paraId="64B6E8D5">
                  <w:pPr>
                    <w:widowControl/>
                    <w:jc w:val="center"/>
                    <w:rPr>
                      <w:rFonts w:cs="宋体"/>
                      <w:kern w:val="0"/>
                      <w:szCs w:val="20"/>
                    </w:rPr>
                  </w:pPr>
                  <w:r>
                    <w:rPr>
                      <w:rFonts w:cs="Calibri"/>
                      <w:kern w:val="0"/>
                      <w:szCs w:val="22"/>
                    </w:rPr>
                    <w:t>6.0</w:t>
                  </w:r>
                </w:p>
              </w:tc>
              <w:tc>
                <w:tcPr>
                  <w:tcW w:w="1667" w:type="pct"/>
                  <w:noWrap/>
                  <w:vAlign w:val="center"/>
                </w:tcPr>
                <w:p w14:paraId="580F0D5E">
                  <w:pPr>
                    <w:widowControl/>
                    <w:jc w:val="center"/>
                    <w:rPr>
                      <w:rFonts w:cs="宋体"/>
                      <w:kern w:val="0"/>
                      <w:szCs w:val="20"/>
                    </w:rPr>
                  </w:pPr>
                  <w:r>
                    <w:rPr>
                      <w:rFonts w:cs="Calibri"/>
                      <w:kern w:val="0"/>
                      <w:szCs w:val="22"/>
                    </w:rPr>
                    <w:t>mg/L</w:t>
                  </w:r>
                </w:p>
              </w:tc>
            </w:tr>
            <w:tr w14:paraId="35DCD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67BD199F">
                  <w:pPr>
                    <w:widowControl/>
                    <w:jc w:val="center"/>
                    <w:rPr>
                      <w:rFonts w:cs="宋体"/>
                      <w:kern w:val="0"/>
                      <w:szCs w:val="20"/>
                    </w:rPr>
                  </w:pPr>
                  <w:r>
                    <w:rPr>
                      <w:rFonts w:cs="Calibri"/>
                      <w:kern w:val="0"/>
                      <w:szCs w:val="22"/>
                    </w:rPr>
                    <w:t>矿物油</w:t>
                  </w:r>
                </w:p>
              </w:tc>
              <w:tc>
                <w:tcPr>
                  <w:tcW w:w="1667" w:type="pct"/>
                  <w:noWrap/>
                  <w:vAlign w:val="center"/>
                </w:tcPr>
                <w:p w14:paraId="5C8CDE19">
                  <w:pPr>
                    <w:widowControl/>
                    <w:jc w:val="center"/>
                    <w:rPr>
                      <w:rFonts w:cs="宋体"/>
                      <w:kern w:val="0"/>
                      <w:szCs w:val="20"/>
                    </w:rPr>
                  </w:pPr>
                  <w:r>
                    <w:rPr>
                      <w:rFonts w:cs="Calibri"/>
                      <w:kern w:val="0"/>
                      <w:szCs w:val="22"/>
                    </w:rPr>
                    <w:t>2.64x103</w:t>
                  </w:r>
                </w:p>
              </w:tc>
              <w:tc>
                <w:tcPr>
                  <w:tcW w:w="1667" w:type="pct"/>
                  <w:noWrap/>
                  <w:vAlign w:val="center"/>
                </w:tcPr>
                <w:p w14:paraId="23315028">
                  <w:pPr>
                    <w:widowControl/>
                    <w:jc w:val="center"/>
                    <w:rPr>
                      <w:rFonts w:cs="宋体"/>
                      <w:kern w:val="0"/>
                      <w:szCs w:val="20"/>
                    </w:rPr>
                  </w:pPr>
                  <w:r>
                    <w:rPr>
                      <w:rFonts w:cs="Calibri"/>
                      <w:kern w:val="0"/>
                      <w:szCs w:val="22"/>
                    </w:rPr>
                    <w:t>mg/kg</w:t>
                  </w:r>
                </w:p>
              </w:tc>
            </w:tr>
            <w:tr w14:paraId="5876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744A5305">
                  <w:pPr>
                    <w:widowControl/>
                    <w:jc w:val="center"/>
                    <w:rPr>
                      <w:rFonts w:cs="宋体"/>
                      <w:kern w:val="0"/>
                      <w:szCs w:val="20"/>
                    </w:rPr>
                  </w:pPr>
                  <w:r>
                    <w:rPr>
                      <w:rFonts w:cs="Calibri"/>
                      <w:kern w:val="0"/>
                      <w:szCs w:val="22"/>
                    </w:rPr>
                    <w:t>低位热值</w:t>
                  </w:r>
                </w:p>
              </w:tc>
              <w:tc>
                <w:tcPr>
                  <w:tcW w:w="1667" w:type="pct"/>
                  <w:noWrap/>
                  <w:vAlign w:val="center"/>
                </w:tcPr>
                <w:p w14:paraId="625FE4D8">
                  <w:pPr>
                    <w:widowControl/>
                    <w:jc w:val="center"/>
                    <w:rPr>
                      <w:rFonts w:cs="宋体"/>
                      <w:kern w:val="0"/>
                      <w:szCs w:val="20"/>
                    </w:rPr>
                  </w:pPr>
                  <w:r>
                    <w:rPr>
                      <w:rFonts w:cs="Calibri"/>
                      <w:kern w:val="0"/>
                      <w:szCs w:val="22"/>
                    </w:rPr>
                    <w:t>12182.2</w:t>
                  </w:r>
                </w:p>
              </w:tc>
              <w:tc>
                <w:tcPr>
                  <w:tcW w:w="1667" w:type="pct"/>
                  <w:noWrap/>
                  <w:vAlign w:val="center"/>
                </w:tcPr>
                <w:p w14:paraId="13DB2064">
                  <w:pPr>
                    <w:widowControl/>
                    <w:jc w:val="center"/>
                    <w:rPr>
                      <w:rFonts w:cs="宋体"/>
                      <w:kern w:val="0"/>
                      <w:szCs w:val="20"/>
                    </w:rPr>
                  </w:pPr>
                  <w:r>
                    <w:rPr>
                      <w:rFonts w:cs="Calibri"/>
                      <w:kern w:val="0"/>
                      <w:szCs w:val="22"/>
                    </w:rPr>
                    <w:t>J/g</w:t>
                  </w:r>
                </w:p>
              </w:tc>
            </w:tr>
            <w:tr w14:paraId="53F06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508F6499">
                  <w:pPr>
                    <w:widowControl/>
                    <w:jc w:val="center"/>
                    <w:rPr>
                      <w:rFonts w:cs="宋体"/>
                      <w:kern w:val="0"/>
                      <w:szCs w:val="20"/>
                    </w:rPr>
                  </w:pPr>
                  <w:r>
                    <w:rPr>
                      <w:rFonts w:cs="Calibri"/>
                      <w:kern w:val="0"/>
                      <w:szCs w:val="22"/>
                    </w:rPr>
                    <w:t>总氮</w:t>
                  </w:r>
                </w:p>
              </w:tc>
              <w:tc>
                <w:tcPr>
                  <w:tcW w:w="1667" w:type="pct"/>
                  <w:noWrap/>
                  <w:vAlign w:val="center"/>
                </w:tcPr>
                <w:p w14:paraId="2813277C">
                  <w:pPr>
                    <w:widowControl/>
                    <w:jc w:val="center"/>
                    <w:rPr>
                      <w:rFonts w:cs="宋体"/>
                      <w:kern w:val="0"/>
                      <w:szCs w:val="20"/>
                    </w:rPr>
                  </w:pPr>
                  <w:r>
                    <w:rPr>
                      <w:rFonts w:cs="Calibri"/>
                      <w:kern w:val="0"/>
                      <w:szCs w:val="22"/>
                    </w:rPr>
                    <w:t>126</w:t>
                  </w:r>
                </w:p>
              </w:tc>
              <w:tc>
                <w:tcPr>
                  <w:tcW w:w="1667" w:type="pct"/>
                  <w:noWrap/>
                  <w:vAlign w:val="center"/>
                </w:tcPr>
                <w:p w14:paraId="01DE9B17">
                  <w:pPr>
                    <w:widowControl/>
                    <w:jc w:val="center"/>
                    <w:rPr>
                      <w:rFonts w:cs="宋体"/>
                      <w:kern w:val="0"/>
                      <w:szCs w:val="20"/>
                    </w:rPr>
                  </w:pPr>
                  <w:r>
                    <w:rPr>
                      <w:rFonts w:cs="Calibri"/>
                      <w:kern w:val="0"/>
                      <w:szCs w:val="22"/>
                    </w:rPr>
                    <w:t>mg/kg</w:t>
                  </w:r>
                </w:p>
              </w:tc>
            </w:tr>
            <w:tr w14:paraId="11924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48FB955B">
                  <w:pPr>
                    <w:widowControl/>
                    <w:jc w:val="center"/>
                    <w:rPr>
                      <w:rFonts w:cs="宋体"/>
                      <w:kern w:val="0"/>
                      <w:szCs w:val="20"/>
                    </w:rPr>
                  </w:pPr>
                  <w:r>
                    <w:rPr>
                      <w:rFonts w:cs="Calibri"/>
                      <w:kern w:val="0"/>
                      <w:szCs w:val="22"/>
                    </w:rPr>
                    <w:t>总磷</w:t>
                  </w:r>
                </w:p>
              </w:tc>
              <w:tc>
                <w:tcPr>
                  <w:tcW w:w="1667" w:type="pct"/>
                  <w:noWrap/>
                  <w:vAlign w:val="center"/>
                </w:tcPr>
                <w:p w14:paraId="769DAF47">
                  <w:pPr>
                    <w:widowControl/>
                    <w:jc w:val="center"/>
                    <w:rPr>
                      <w:rFonts w:cs="宋体"/>
                      <w:kern w:val="0"/>
                      <w:szCs w:val="20"/>
                    </w:rPr>
                  </w:pPr>
                  <w:r>
                    <w:rPr>
                      <w:rFonts w:cs="Calibri"/>
                      <w:kern w:val="0"/>
                      <w:szCs w:val="22"/>
                    </w:rPr>
                    <w:t>1.27x10</w:t>
                  </w:r>
                </w:p>
              </w:tc>
              <w:tc>
                <w:tcPr>
                  <w:tcW w:w="1667" w:type="pct"/>
                  <w:noWrap/>
                  <w:vAlign w:val="center"/>
                </w:tcPr>
                <w:p w14:paraId="1A5A343A">
                  <w:pPr>
                    <w:widowControl/>
                    <w:jc w:val="center"/>
                    <w:rPr>
                      <w:rFonts w:cs="宋体"/>
                      <w:kern w:val="0"/>
                      <w:szCs w:val="20"/>
                    </w:rPr>
                  </w:pPr>
                  <w:r>
                    <w:rPr>
                      <w:rFonts w:cs="Calibri"/>
                      <w:kern w:val="0"/>
                      <w:szCs w:val="22"/>
                    </w:rPr>
                    <w:t>mg/kg</w:t>
                  </w:r>
                </w:p>
              </w:tc>
            </w:tr>
            <w:tr w14:paraId="3A102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345D6FE0">
                  <w:pPr>
                    <w:widowControl/>
                    <w:jc w:val="center"/>
                    <w:rPr>
                      <w:rFonts w:cs="宋体"/>
                      <w:kern w:val="0"/>
                      <w:szCs w:val="20"/>
                    </w:rPr>
                  </w:pPr>
                  <w:r>
                    <w:rPr>
                      <w:rFonts w:cs="Calibri"/>
                      <w:kern w:val="0"/>
                      <w:szCs w:val="22"/>
                    </w:rPr>
                    <w:t>氟离子</w:t>
                  </w:r>
                </w:p>
              </w:tc>
              <w:tc>
                <w:tcPr>
                  <w:tcW w:w="1667" w:type="pct"/>
                  <w:noWrap/>
                  <w:vAlign w:val="center"/>
                </w:tcPr>
                <w:p w14:paraId="7F99C2DB">
                  <w:pPr>
                    <w:widowControl/>
                    <w:jc w:val="center"/>
                    <w:rPr>
                      <w:rFonts w:cs="宋体"/>
                      <w:kern w:val="0"/>
                      <w:szCs w:val="20"/>
                    </w:rPr>
                  </w:pPr>
                  <w:r>
                    <w:rPr>
                      <w:rFonts w:cs="Calibri"/>
                      <w:kern w:val="0"/>
                      <w:szCs w:val="22"/>
                    </w:rPr>
                    <w:t>&lt;14.8</w:t>
                  </w:r>
                </w:p>
              </w:tc>
              <w:tc>
                <w:tcPr>
                  <w:tcW w:w="1667" w:type="pct"/>
                  <w:noWrap/>
                  <w:vAlign w:val="center"/>
                </w:tcPr>
                <w:p w14:paraId="48D54DA2">
                  <w:pPr>
                    <w:widowControl/>
                    <w:jc w:val="center"/>
                    <w:rPr>
                      <w:rFonts w:cs="宋体"/>
                      <w:kern w:val="0"/>
                      <w:szCs w:val="20"/>
                    </w:rPr>
                  </w:pPr>
                  <w:r>
                    <w:rPr>
                      <w:rFonts w:cs="Calibri"/>
                      <w:kern w:val="0"/>
                      <w:szCs w:val="22"/>
                    </w:rPr>
                    <w:t>μg/L</w:t>
                  </w:r>
                </w:p>
              </w:tc>
            </w:tr>
            <w:tr w14:paraId="01FCD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tcBorders>
                    <w:bottom w:val="single" w:color="auto" w:sz="4" w:space="0"/>
                  </w:tcBorders>
                  <w:noWrap/>
                  <w:vAlign w:val="center"/>
                </w:tcPr>
                <w:p w14:paraId="18995740">
                  <w:pPr>
                    <w:widowControl/>
                    <w:jc w:val="center"/>
                    <w:rPr>
                      <w:rFonts w:cs="宋体"/>
                      <w:kern w:val="0"/>
                      <w:szCs w:val="20"/>
                    </w:rPr>
                  </w:pPr>
                  <w:r>
                    <w:rPr>
                      <w:rFonts w:cs="Calibri"/>
                      <w:kern w:val="0"/>
                      <w:szCs w:val="22"/>
                    </w:rPr>
                    <w:t>氯离子</w:t>
                  </w:r>
                </w:p>
              </w:tc>
              <w:tc>
                <w:tcPr>
                  <w:tcW w:w="1667" w:type="pct"/>
                  <w:tcBorders>
                    <w:bottom w:val="single" w:color="auto" w:sz="4" w:space="0"/>
                  </w:tcBorders>
                  <w:noWrap/>
                  <w:vAlign w:val="center"/>
                </w:tcPr>
                <w:p w14:paraId="4DB4E37A">
                  <w:pPr>
                    <w:widowControl/>
                    <w:jc w:val="center"/>
                    <w:rPr>
                      <w:rFonts w:cs="宋体"/>
                      <w:kern w:val="0"/>
                      <w:szCs w:val="20"/>
                    </w:rPr>
                  </w:pPr>
                  <w:r>
                    <w:rPr>
                      <w:rFonts w:cs="Calibri"/>
                      <w:kern w:val="0"/>
                      <w:szCs w:val="22"/>
                    </w:rPr>
                    <w:t>2.70x103</w:t>
                  </w:r>
                </w:p>
              </w:tc>
              <w:tc>
                <w:tcPr>
                  <w:tcW w:w="1667" w:type="pct"/>
                  <w:tcBorders>
                    <w:bottom w:val="single" w:color="auto" w:sz="4" w:space="0"/>
                  </w:tcBorders>
                  <w:noWrap/>
                  <w:vAlign w:val="center"/>
                </w:tcPr>
                <w:p w14:paraId="2F87A620">
                  <w:pPr>
                    <w:widowControl/>
                    <w:jc w:val="center"/>
                    <w:rPr>
                      <w:rFonts w:cs="宋体"/>
                      <w:kern w:val="0"/>
                      <w:szCs w:val="20"/>
                    </w:rPr>
                  </w:pPr>
                  <w:r>
                    <w:rPr>
                      <w:rFonts w:cs="Calibri"/>
                      <w:kern w:val="0"/>
                      <w:szCs w:val="22"/>
                    </w:rPr>
                    <w:t>μg/L</w:t>
                  </w:r>
                </w:p>
              </w:tc>
            </w:tr>
            <w:tr w14:paraId="65CA8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667" w:type="pct"/>
                  <w:noWrap/>
                  <w:vAlign w:val="center"/>
                </w:tcPr>
                <w:p w14:paraId="5B8BA226">
                  <w:pPr>
                    <w:widowControl/>
                    <w:jc w:val="center"/>
                    <w:rPr>
                      <w:rFonts w:cs="宋体"/>
                      <w:kern w:val="0"/>
                      <w:szCs w:val="20"/>
                    </w:rPr>
                  </w:pPr>
                  <w:r>
                    <w:rPr>
                      <w:rFonts w:cs="Calibri"/>
                      <w:kern w:val="0"/>
                      <w:szCs w:val="22"/>
                    </w:rPr>
                    <w:t>含水率</w:t>
                  </w:r>
                </w:p>
              </w:tc>
              <w:tc>
                <w:tcPr>
                  <w:tcW w:w="1667" w:type="pct"/>
                  <w:noWrap/>
                  <w:vAlign w:val="center"/>
                </w:tcPr>
                <w:p w14:paraId="16D8747C">
                  <w:pPr>
                    <w:widowControl/>
                    <w:jc w:val="center"/>
                    <w:rPr>
                      <w:rFonts w:cs="宋体"/>
                      <w:kern w:val="0"/>
                      <w:szCs w:val="20"/>
                    </w:rPr>
                  </w:pPr>
                  <w:r>
                    <w:rPr>
                      <w:rFonts w:cs="Calibri"/>
                      <w:kern w:val="0"/>
                      <w:szCs w:val="22"/>
                    </w:rPr>
                    <w:t>3.6</w:t>
                  </w:r>
                </w:p>
              </w:tc>
              <w:tc>
                <w:tcPr>
                  <w:tcW w:w="1667" w:type="pct"/>
                  <w:noWrap/>
                  <w:vAlign w:val="center"/>
                </w:tcPr>
                <w:p w14:paraId="08F97A03">
                  <w:pPr>
                    <w:widowControl/>
                    <w:jc w:val="center"/>
                    <w:rPr>
                      <w:rFonts w:cs="宋体"/>
                      <w:kern w:val="0"/>
                      <w:szCs w:val="20"/>
                    </w:rPr>
                  </w:pPr>
                  <w:r>
                    <w:rPr>
                      <w:rFonts w:cs="Calibri"/>
                      <w:kern w:val="0"/>
                      <w:szCs w:val="22"/>
                    </w:rPr>
                    <w:t>%</w:t>
                  </w:r>
                </w:p>
              </w:tc>
            </w:tr>
            <w:tr w14:paraId="3160A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1667" w:type="pct"/>
                  <w:tcBorders>
                    <w:top w:val="single" w:color="auto" w:sz="4" w:space="0"/>
                    <w:left w:val="single" w:color="auto" w:sz="4" w:space="0"/>
                    <w:bottom w:val="single" w:color="auto" w:sz="4" w:space="0"/>
                    <w:right w:val="single" w:color="auto" w:sz="4" w:space="0"/>
                  </w:tcBorders>
                  <w:noWrap/>
                  <w:vAlign w:val="center"/>
                </w:tcPr>
                <w:p w14:paraId="6A2CDB3E">
                  <w:pPr>
                    <w:widowControl/>
                    <w:jc w:val="center"/>
                    <w:rPr>
                      <w:rFonts w:cs="宋体"/>
                      <w:kern w:val="0"/>
                      <w:szCs w:val="20"/>
                    </w:rPr>
                  </w:pPr>
                  <w:r>
                    <w:rPr>
                      <w:rFonts w:cs="Calibri"/>
                      <w:kern w:val="0"/>
                      <w:szCs w:val="22"/>
                    </w:rPr>
                    <w:t>C</w:t>
                  </w:r>
                </w:p>
              </w:tc>
              <w:tc>
                <w:tcPr>
                  <w:tcW w:w="1667" w:type="pct"/>
                  <w:tcBorders>
                    <w:top w:val="single" w:color="auto" w:sz="4" w:space="0"/>
                    <w:left w:val="single" w:color="auto" w:sz="4" w:space="0"/>
                    <w:bottom w:val="single" w:color="auto" w:sz="4" w:space="0"/>
                    <w:right w:val="single" w:color="auto" w:sz="4" w:space="0"/>
                  </w:tcBorders>
                  <w:noWrap/>
                  <w:vAlign w:val="center"/>
                </w:tcPr>
                <w:p w14:paraId="55E3C0B3">
                  <w:pPr>
                    <w:widowControl/>
                    <w:jc w:val="center"/>
                    <w:rPr>
                      <w:rFonts w:cs="宋体"/>
                      <w:kern w:val="0"/>
                      <w:szCs w:val="20"/>
                    </w:rPr>
                  </w:pPr>
                  <w:r>
                    <w:rPr>
                      <w:rFonts w:cs="Calibri"/>
                      <w:kern w:val="0"/>
                      <w:szCs w:val="22"/>
                    </w:rPr>
                    <w:t>21.29</w:t>
                  </w:r>
                </w:p>
              </w:tc>
              <w:tc>
                <w:tcPr>
                  <w:tcW w:w="1667" w:type="pct"/>
                  <w:tcBorders>
                    <w:top w:val="single" w:color="auto" w:sz="4" w:space="0"/>
                    <w:left w:val="single" w:color="auto" w:sz="4" w:space="0"/>
                    <w:bottom w:val="single" w:color="auto" w:sz="4" w:space="0"/>
                    <w:right w:val="single" w:color="auto" w:sz="4" w:space="0"/>
                  </w:tcBorders>
                  <w:noWrap/>
                  <w:vAlign w:val="center"/>
                </w:tcPr>
                <w:p w14:paraId="1D647170">
                  <w:pPr>
                    <w:widowControl/>
                    <w:jc w:val="center"/>
                    <w:rPr>
                      <w:rFonts w:cs="宋体"/>
                      <w:kern w:val="0"/>
                      <w:szCs w:val="20"/>
                    </w:rPr>
                  </w:pPr>
                  <w:r>
                    <w:rPr>
                      <w:rFonts w:cs="Calibri"/>
                      <w:kern w:val="0"/>
                      <w:szCs w:val="22"/>
                    </w:rPr>
                    <w:t>%</w:t>
                  </w:r>
                </w:p>
              </w:tc>
            </w:tr>
            <w:tr w14:paraId="7089B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1667" w:type="pct"/>
                  <w:tcBorders>
                    <w:top w:val="single" w:color="auto" w:sz="4" w:space="0"/>
                    <w:left w:val="single" w:color="auto" w:sz="4" w:space="0"/>
                    <w:bottom w:val="single" w:color="auto" w:sz="4" w:space="0"/>
                    <w:right w:val="single" w:color="auto" w:sz="4" w:space="0"/>
                  </w:tcBorders>
                  <w:noWrap/>
                  <w:vAlign w:val="center"/>
                </w:tcPr>
                <w:p w14:paraId="64772882">
                  <w:pPr>
                    <w:widowControl/>
                    <w:jc w:val="center"/>
                    <w:rPr>
                      <w:rFonts w:cs="宋体"/>
                      <w:kern w:val="0"/>
                      <w:szCs w:val="20"/>
                    </w:rPr>
                  </w:pPr>
                  <w:r>
                    <w:rPr>
                      <w:rFonts w:cs="Calibri"/>
                      <w:kern w:val="0"/>
                      <w:szCs w:val="22"/>
                    </w:rPr>
                    <w:t>H</w:t>
                  </w:r>
                </w:p>
              </w:tc>
              <w:tc>
                <w:tcPr>
                  <w:tcW w:w="1667" w:type="pct"/>
                  <w:tcBorders>
                    <w:top w:val="single" w:color="auto" w:sz="4" w:space="0"/>
                    <w:left w:val="single" w:color="auto" w:sz="4" w:space="0"/>
                    <w:bottom w:val="single" w:color="auto" w:sz="4" w:space="0"/>
                    <w:right w:val="single" w:color="auto" w:sz="4" w:space="0"/>
                  </w:tcBorders>
                  <w:noWrap/>
                  <w:vAlign w:val="center"/>
                </w:tcPr>
                <w:p w14:paraId="4A59E84E">
                  <w:pPr>
                    <w:widowControl/>
                    <w:jc w:val="center"/>
                    <w:rPr>
                      <w:rFonts w:cs="宋体"/>
                      <w:kern w:val="0"/>
                      <w:szCs w:val="20"/>
                    </w:rPr>
                  </w:pPr>
                  <w:r>
                    <w:rPr>
                      <w:rFonts w:cs="Calibri"/>
                      <w:kern w:val="0"/>
                      <w:szCs w:val="22"/>
                    </w:rPr>
                    <w:t>3.586</w:t>
                  </w:r>
                </w:p>
              </w:tc>
              <w:tc>
                <w:tcPr>
                  <w:tcW w:w="1667" w:type="pct"/>
                  <w:tcBorders>
                    <w:top w:val="single" w:color="auto" w:sz="4" w:space="0"/>
                    <w:left w:val="single" w:color="auto" w:sz="4" w:space="0"/>
                    <w:bottom w:val="single" w:color="auto" w:sz="4" w:space="0"/>
                    <w:right w:val="single" w:color="auto" w:sz="4" w:space="0"/>
                  </w:tcBorders>
                  <w:noWrap/>
                  <w:vAlign w:val="center"/>
                </w:tcPr>
                <w:p w14:paraId="7631D372">
                  <w:pPr>
                    <w:widowControl/>
                    <w:jc w:val="center"/>
                    <w:rPr>
                      <w:rFonts w:cs="宋体"/>
                      <w:kern w:val="0"/>
                      <w:szCs w:val="20"/>
                    </w:rPr>
                  </w:pPr>
                  <w:r>
                    <w:rPr>
                      <w:rFonts w:cs="Calibri"/>
                      <w:kern w:val="0"/>
                      <w:szCs w:val="22"/>
                    </w:rPr>
                    <w:t>%</w:t>
                  </w:r>
                </w:p>
              </w:tc>
            </w:tr>
            <w:tr w14:paraId="67CAA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1667" w:type="pct"/>
                  <w:tcBorders>
                    <w:top w:val="single" w:color="auto" w:sz="4" w:space="0"/>
                    <w:left w:val="single" w:color="auto" w:sz="4" w:space="0"/>
                    <w:bottom w:val="single" w:color="auto" w:sz="4" w:space="0"/>
                    <w:right w:val="single" w:color="auto" w:sz="4" w:space="0"/>
                  </w:tcBorders>
                  <w:noWrap/>
                  <w:vAlign w:val="center"/>
                </w:tcPr>
                <w:p w14:paraId="6E5DD36B">
                  <w:pPr>
                    <w:widowControl/>
                    <w:jc w:val="center"/>
                    <w:rPr>
                      <w:rFonts w:cs="宋体"/>
                      <w:kern w:val="0"/>
                      <w:szCs w:val="20"/>
                    </w:rPr>
                  </w:pPr>
                  <w:r>
                    <w:rPr>
                      <w:rFonts w:hint="eastAsia" w:cs="宋体"/>
                      <w:kern w:val="0"/>
                      <w:szCs w:val="20"/>
                    </w:rPr>
                    <w:t>O</w:t>
                  </w:r>
                </w:p>
              </w:tc>
              <w:tc>
                <w:tcPr>
                  <w:tcW w:w="1667" w:type="pct"/>
                  <w:tcBorders>
                    <w:top w:val="single" w:color="auto" w:sz="4" w:space="0"/>
                    <w:left w:val="single" w:color="auto" w:sz="4" w:space="0"/>
                    <w:bottom w:val="single" w:color="auto" w:sz="4" w:space="0"/>
                    <w:right w:val="single" w:color="auto" w:sz="4" w:space="0"/>
                  </w:tcBorders>
                  <w:noWrap/>
                  <w:vAlign w:val="center"/>
                </w:tcPr>
                <w:p w14:paraId="2084B1E0">
                  <w:pPr>
                    <w:widowControl/>
                    <w:jc w:val="center"/>
                    <w:rPr>
                      <w:rFonts w:cs="宋体"/>
                      <w:kern w:val="0"/>
                      <w:szCs w:val="20"/>
                    </w:rPr>
                  </w:pPr>
                  <w:r>
                    <w:rPr>
                      <w:rFonts w:cs="Calibri"/>
                      <w:kern w:val="0"/>
                      <w:szCs w:val="22"/>
                    </w:rPr>
                    <w:t>10.063</w:t>
                  </w:r>
                </w:p>
              </w:tc>
              <w:tc>
                <w:tcPr>
                  <w:tcW w:w="1667" w:type="pct"/>
                  <w:tcBorders>
                    <w:top w:val="single" w:color="auto" w:sz="4" w:space="0"/>
                    <w:left w:val="single" w:color="auto" w:sz="4" w:space="0"/>
                    <w:bottom w:val="single" w:color="auto" w:sz="4" w:space="0"/>
                    <w:right w:val="single" w:color="auto" w:sz="4" w:space="0"/>
                  </w:tcBorders>
                  <w:noWrap/>
                  <w:vAlign w:val="center"/>
                </w:tcPr>
                <w:p w14:paraId="1DA8978C">
                  <w:pPr>
                    <w:widowControl/>
                    <w:jc w:val="center"/>
                    <w:rPr>
                      <w:rFonts w:cs="宋体"/>
                      <w:kern w:val="0"/>
                      <w:szCs w:val="20"/>
                    </w:rPr>
                  </w:pPr>
                  <w:r>
                    <w:rPr>
                      <w:rFonts w:cs="Calibri"/>
                      <w:kern w:val="0"/>
                      <w:szCs w:val="22"/>
                    </w:rPr>
                    <w:t>%</w:t>
                  </w:r>
                </w:p>
              </w:tc>
            </w:tr>
            <w:tr w14:paraId="180EF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1667" w:type="pct"/>
                  <w:tcBorders>
                    <w:top w:val="single" w:color="auto" w:sz="4" w:space="0"/>
                    <w:left w:val="single" w:color="auto" w:sz="4" w:space="0"/>
                    <w:bottom w:val="single" w:color="auto" w:sz="4" w:space="0"/>
                    <w:right w:val="single" w:color="auto" w:sz="4" w:space="0"/>
                  </w:tcBorders>
                  <w:noWrap/>
                  <w:vAlign w:val="center"/>
                </w:tcPr>
                <w:p w14:paraId="636A72BA">
                  <w:pPr>
                    <w:widowControl/>
                    <w:jc w:val="center"/>
                    <w:rPr>
                      <w:rFonts w:cs="宋体"/>
                      <w:kern w:val="0"/>
                      <w:szCs w:val="20"/>
                    </w:rPr>
                  </w:pPr>
                  <w:r>
                    <w:rPr>
                      <w:rFonts w:hint="eastAsia" w:cs="宋体"/>
                      <w:kern w:val="0"/>
                      <w:szCs w:val="20"/>
                    </w:rPr>
                    <w:t>S</w:t>
                  </w:r>
                </w:p>
              </w:tc>
              <w:tc>
                <w:tcPr>
                  <w:tcW w:w="1667" w:type="pct"/>
                  <w:tcBorders>
                    <w:top w:val="single" w:color="auto" w:sz="4" w:space="0"/>
                    <w:left w:val="single" w:color="auto" w:sz="4" w:space="0"/>
                    <w:bottom w:val="single" w:color="auto" w:sz="4" w:space="0"/>
                    <w:right w:val="single" w:color="auto" w:sz="4" w:space="0"/>
                  </w:tcBorders>
                  <w:noWrap/>
                  <w:vAlign w:val="center"/>
                </w:tcPr>
                <w:p w14:paraId="05C03446">
                  <w:pPr>
                    <w:widowControl/>
                    <w:jc w:val="center"/>
                    <w:rPr>
                      <w:kern w:val="0"/>
                      <w:szCs w:val="20"/>
                    </w:rPr>
                  </w:pPr>
                  <w:r>
                    <w:rPr>
                      <w:rFonts w:cs="Calibri"/>
                      <w:kern w:val="0"/>
                      <w:szCs w:val="22"/>
                    </w:rPr>
                    <w:t>0.502</w:t>
                  </w:r>
                </w:p>
              </w:tc>
              <w:tc>
                <w:tcPr>
                  <w:tcW w:w="1667" w:type="pct"/>
                  <w:tcBorders>
                    <w:top w:val="single" w:color="auto" w:sz="4" w:space="0"/>
                    <w:left w:val="single" w:color="auto" w:sz="4" w:space="0"/>
                    <w:bottom w:val="single" w:color="auto" w:sz="4" w:space="0"/>
                    <w:right w:val="single" w:color="auto" w:sz="4" w:space="0"/>
                  </w:tcBorders>
                  <w:noWrap/>
                  <w:vAlign w:val="center"/>
                </w:tcPr>
                <w:p w14:paraId="39A207B8">
                  <w:pPr>
                    <w:widowControl/>
                    <w:jc w:val="center"/>
                    <w:rPr>
                      <w:rFonts w:cs="宋体"/>
                      <w:kern w:val="0"/>
                      <w:szCs w:val="20"/>
                    </w:rPr>
                  </w:pPr>
                  <w:r>
                    <w:rPr>
                      <w:rFonts w:cs="Calibri"/>
                      <w:kern w:val="0"/>
                      <w:szCs w:val="22"/>
                    </w:rPr>
                    <w:t>%</w:t>
                  </w:r>
                </w:p>
              </w:tc>
            </w:tr>
            <w:tr w14:paraId="3ECCC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1667" w:type="pct"/>
                  <w:tcBorders>
                    <w:top w:val="single" w:color="auto" w:sz="4" w:space="0"/>
                    <w:left w:val="single" w:color="auto" w:sz="4" w:space="0"/>
                    <w:bottom w:val="single" w:color="auto" w:sz="4" w:space="0"/>
                    <w:right w:val="single" w:color="auto" w:sz="4" w:space="0"/>
                  </w:tcBorders>
                  <w:noWrap/>
                  <w:vAlign w:val="center"/>
                </w:tcPr>
                <w:p w14:paraId="5778CD96">
                  <w:pPr>
                    <w:widowControl/>
                    <w:jc w:val="center"/>
                    <w:rPr>
                      <w:rFonts w:cs="宋体"/>
                      <w:kern w:val="0"/>
                      <w:szCs w:val="20"/>
                    </w:rPr>
                  </w:pPr>
                  <w:r>
                    <w:rPr>
                      <w:rFonts w:hint="eastAsia" w:cs="宋体"/>
                      <w:kern w:val="0"/>
                      <w:szCs w:val="20"/>
                    </w:rPr>
                    <w:t>密度</w:t>
                  </w:r>
                </w:p>
              </w:tc>
              <w:tc>
                <w:tcPr>
                  <w:tcW w:w="1667" w:type="pct"/>
                  <w:tcBorders>
                    <w:top w:val="single" w:color="auto" w:sz="4" w:space="0"/>
                    <w:left w:val="single" w:color="auto" w:sz="4" w:space="0"/>
                    <w:bottom w:val="single" w:color="auto" w:sz="4" w:space="0"/>
                    <w:right w:val="single" w:color="auto" w:sz="4" w:space="0"/>
                  </w:tcBorders>
                  <w:noWrap/>
                  <w:vAlign w:val="center"/>
                </w:tcPr>
                <w:p w14:paraId="5073DD24">
                  <w:pPr>
                    <w:widowControl/>
                    <w:jc w:val="center"/>
                    <w:rPr>
                      <w:rFonts w:cs="Calibri"/>
                      <w:kern w:val="0"/>
                      <w:szCs w:val="22"/>
                    </w:rPr>
                  </w:pPr>
                  <w:r>
                    <w:rPr>
                      <w:rFonts w:hint="eastAsia" w:cs="Calibri"/>
                      <w:kern w:val="0"/>
                      <w:szCs w:val="22"/>
                    </w:rPr>
                    <w:t>1.491</w:t>
                  </w:r>
                </w:p>
              </w:tc>
              <w:tc>
                <w:tcPr>
                  <w:tcW w:w="1667" w:type="pct"/>
                  <w:tcBorders>
                    <w:top w:val="single" w:color="auto" w:sz="4" w:space="0"/>
                    <w:left w:val="single" w:color="auto" w:sz="4" w:space="0"/>
                    <w:bottom w:val="single" w:color="auto" w:sz="4" w:space="0"/>
                    <w:right w:val="single" w:color="auto" w:sz="4" w:space="0"/>
                  </w:tcBorders>
                  <w:noWrap/>
                  <w:vAlign w:val="center"/>
                </w:tcPr>
                <w:p w14:paraId="07F78C44">
                  <w:pPr>
                    <w:widowControl/>
                    <w:jc w:val="center"/>
                    <w:rPr>
                      <w:rFonts w:cs="Calibri"/>
                      <w:kern w:val="0"/>
                      <w:szCs w:val="22"/>
                    </w:rPr>
                  </w:pPr>
                  <w:r>
                    <w:rPr>
                      <w:rFonts w:hint="eastAsia" w:cs="Calibri"/>
                      <w:kern w:val="0"/>
                      <w:szCs w:val="22"/>
                    </w:rPr>
                    <w:t>g/mL</w:t>
                  </w:r>
                </w:p>
              </w:tc>
            </w:tr>
            <w:tr w14:paraId="24257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5000" w:type="pct"/>
                  <w:gridSpan w:val="3"/>
                  <w:tcBorders>
                    <w:top w:val="single" w:color="auto" w:sz="4" w:space="0"/>
                    <w:left w:val="single" w:color="auto" w:sz="4" w:space="0"/>
                    <w:bottom w:val="single" w:color="auto" w:sz="4" w:space="0"/>
                    <w:right w:val="single" w:color="auto" w:sz="4" w:space="0"/>
                  </w:tcBorders>
                  <w:noWrap/>
                  <w:vAlign w:val="center"/>
                </w:tcPr>
                <w:p w14:paraId="55FB48D2">
                  <w:pPr>
                    <w:widowControl/>
                    <w:rPr>
                      <w:rFonts w:cs="Calibri"/>
                      <w:kern w:val="0"/>
                      <w:szCs w:val="22"/>
                    </w:rPr>
                  </w:pPr>
                  <w:r>
                    <w:rPr>
                      <w:rFonts w:hint="eastAsia" w:cs="Calibri"/>
                      <w:kern w:val="0"/>
                      <w:szCs w:val="22"/>
                    </w:rPr>
                    <w:t>注：“</w:t>
                  </w:r>
                  <w:r>
                    <w:rPr>
                      <w:rFonts w:cs="Calibri"/>
                      <w:kern w:val="0"/>
                      <w:szCs w:val="22"/>
                    </w:rPr>
                    <w:t>&lt;</w:t>
                  </w:r>
                  <w:r>
                    <w:rPr>
                      <w:rFonts w:hint="eastAsia" w:cs="Calibri"/>
                      <w:kern w:val="0"/>
                      <w:szCs w:val="22"/>
                    </w:rPr>
                    <w:t>”</w:t>
                  </w:r>
                  <w:r>
                    <w:rPr>
                      <w:rFonts w:hint="eastAsia"/>
                      <w:szCs w:val="24"/>
                    </w:rPr>
                    <w:t>表示小于方法检出限。</w:t>
                  </w:r>
                </w:p>
              </w:tc>
            </w:tr>
          </w:tbl>
          <w:p w14:paraId="7D5BC572">
            <w:pPr>
              <w:spacing w:before="120" w:beforeLines="50" w:line="360" w:lineRule="auto"/>
              <w:ind w:firstLine="480" w:firstLineChars="200"/>
              <w:rPr>
                <w:sz w:val="24"/>
                <w:szCs w:val="24"/>
              </w:rPr>
            </w:pPr>
            <w:r>
              <w:rPr>
                <w:rFonts w:hint="eastAsia"/>
                <w:sz w:val="24"/>
                <w:szCs w:val="24"/>
              </w:rPr>
              <w:t>（2）植物油抽提溶剂</w:t>
            </w:r>
          </w:p>
          <w:p w14:paraId="34F328FF">
            <w:pPr>
              <w:spacing w:line="360" w:lineRule="auto"/>
              <w:ind w:firstLine="480" w:firstLineChars="200"/>
              <w:rPr>
                <w:sz w:val="24"/>
                <w:szCs w:val="24"/>
              </w:rPr>
            </w:pPr>
            <w:r>
              <w:rPr>
                <w:rFonts w:hint="eastAsia"/>
                <w:sz w:val="24"/>
                <w:szCs w:val="24"/>
              </w:rPr>
              <w:t>植物油抽取溶剂为</w:t>
            </w:r>
            <w:r>
              <w:rPr>
                <w:sz w:val="24"/>
                <w:szCs w:val="24"/>
              </w:rPr>
              <w:t>混合溶剂，</w:t>
            </w:r>
            <w:r>
              <w:rPr>
                <w:rFonts w:hint="eastAsia"/>
                <w:sz w:val="24"/>
                <w:szCs w:val="24"/>
              </w:rPr>
              <w:t>为无色的透明液体，不溶于水，溶于乙醇、乙醚以及丙酮。其馏点≥61℃，干点≤76℃，密度约680kg/m</w:t>
            </w:r>
            <w:r>
              <w:rPr>
                <w:rFonts w:hint="eastAsia"/>
                <w:sz w:val="24"/>
                <w:szCs w:val="24"/>
                <w:vertAlign w:val="superscript"/>
              </w:rPr>
              <w:t>3</w:t>
            </w:r>
            <w:r>
              <w:rPr>
                <w:rFonts w:hint="eastAsia"/>
                <w:sz w:val="24"/>
                <w:szCs w:val="24"/>
              </w:rPr>
              <w:t>。</w:t>
            </w:r>
            <w:r>
              <w:rPr>
                <w:sz w:val="24"/>
                <w:szCs w:val="24"/>
              </w:rPr>
              <w:t>其主要成分为液体烷烃类化合物，</w:t>
            </w:r>
            <w:r>
              <w:rPr>
                <w:rFonts w:hint="eastAsia"/>
                <w:sz w:val="24"/>
                <w:szCs w:val="24"/>
              </w:rPr>
              <w:t>包括</w:t>
            </w:r>
            <w:r>
              <w:rPr>
                <w:sz w:val="24"/>
                <w:szCs w:val="24"/>
              </w:rPr>
              <w:t>正己烷、2-甲基戊烷、3-甲基戊烷、甲基环戊烷、环己烷等</w:t>
            </w:r>
            <w:r>
              <w:rPr>
                <w:rFonts w:hint="eastAsia"/>
                <w:sz w:val="24"/>
                <w:szCs w:val="24"/>
              </w:rPr>
              <w:t>，是</w:t>
            </w:r>
            <w:r>
              <w:rPr>
                <w:sz w:val="24"/>
                <w:szCs w:val="24"/>
              </w:rPr>
              <w:t>低毒、有微弱的特殊气味的无色液体</w:t>
            </w:r>
            <w:r>
              <w:rPr>
                <w:rFonts w:hint="eastAsia"/>
                <w:sz w:val="24"/>
                <w:szCs w:val="24"/>
              </w:rPr>
              <w:t>。其中</w:t>
            </w:r>
            <w:r>
              <w:rPr>
                <w:sz w:val="24"/>
                <w:szCs w:val="24"/>
              </w:rPr>
              <w:t>正己烷</w:t>
            </w:r>
            <w:r>
              <w:rPr>
                <w:rFonts w:hint="eastAsia"/>
                <w:sz w:val="24"/>
                <w:szCs w:val="24"/>
              </w:rPr>
              <w:t>含量为90%以上。</w:t>
            </w:r>
          </w:p>
          <w:p w14:paraId="49DA0A42">
            <w:pPr>
              <w:spacing w:line="360" w:lineRule="auto"/>
              <w:ind w:firstLine="480" w:firstLineChars="200"/>
              <w:rPr>
                <w:sz w:val="24"/>
                <w:szCs w:val="24"/>
              </w:rPr>
            </w:pPr>
            <w:r>
              <w:rPr>
                <w:sz w:val="24"/>
                <w:szCs w:val="24"/>
              </w:rPr>
              <w:t>正己烷化学式为C</w:t>
            </w:r>
            <w:r>
              <w:rPr>
                <w:sz w:val="24"/>
                <w:szCs w:val="24"/>
                <w:vertAlign w:val="subscript"/>
              </w:rPr>
              <w:t>6</w:t>
            </w:r>
            <w:r>
              <w:rPr>
                <w:sz w:val="24"/>
                <w:szCs w:val="24"/>
              </w:rPr>
              <w:t>H</w:t>
            </w:r>
            <w:r>
              <w:rPr>
                <w:sz w:val="24"/>
                <w:szCs w:val="24"/>
                <w:vertAlign w:val="subscript"/>
              </w:rPr>
              <w:t>14</w:t>
            </w:r>
            <w:r>
              <w:rPr>
                <w:rFonts w:hint="eastAsia"/>
                <w:sz w:val="24"/>
                <w:szCs w:val="24"/>
              </w:rPr>
              <w:t>，是</w:t>
            </w:r>
            <w:r>
              <w:rPr>
                <w:sz w:val="24"/>
                <w:szCs w:val="24"/>
              </w:rPr>
              <w:t>石油中天然存在的一种碳氢化合物，也是石油醚和石脑油的主要成分之一。</w:t>
            </w:r>
            <w:r>
              <w:rPr>
                <w:rFonts w:hint="eastAsia"/>
                <w:sz w:val="24"/>
                <w:szCs w:val="24"/>
              </w:rPr>
              <w:t>正己烷</w:t>
            </w:r>
            <w:r>
              <w:rPr>
                <w:sz w:val="24"/>
                <w:szCs w:val="24"/>
              </w:rPr>
              <w:t>广泛用作食油提取溶剂、橡胶溶剂、人造革整理剂、精密器件清洗剂、衣服去污剂、医药片剂洗涤剂以及配制混合溶剂等</w:t>
            </w:r>
            <w:r>
              <w:rPr>
                <w:rFonts w:hint="eastAsia"/>
                <w:sz w:val="24"/>
                <w:szCs w:val="24"/>
              </w:rPr>
              <w:t>。正己烷</w:t>
            </w:r>
            <w:r>
              <w:rPr>
                <w:sz w:val="24"/>
                <w:szCs w:val="24"/>
              </w:rPr>
              <w:t>属于直链饱和脂肪烃类，常温下为无色透明液体，略带石油气味</w:t>
            </w:r>
            <w:r>
              <w:rPr>
                <w:rFonts w:hint="eastAsia"/>
                <w:sz w:val="24"/>
                <w:szCs w:val="24"/>
              </w:rPr>
              <w:t>，</w:t>
            </w:r>
            <w:r>
              <w:rPr>
                <w:sz w:val="24"/>
                <w:szCs w:val="24"/>
              </w:rPr>
              <w:t>易挥发</w:t>
            </w:r>
            <w:r>
              <w:rPr>
                <w:rFonts w:hint="eastAsia"/>
                <w:sz w:val="24"/>
                <w:szCs w:val="24"/>
              </w:rPr>
              <w:t>。</w:t>
            </w:r>
            <w:r>
              <w:rPr>
                <w:sz w:val="24"/>
                <w:szCs w:val="24"/>
              </w:rPr>
              <w:t>密度0.6</w:t>
            </w:r>
            <w:r>
              <w:rPr>
                <w:rFonts w:hint="eastAsia"/>
                <w:sz w:val="24"/>
                <w:szCs w:val="24"/>
              </w:rPr>
              <w:t>6</w:t>
            </w:r>
            <w:r>
              <w:rPr>
                <w:sz w:val="24"/>
                <w:szCs w:val="24"/>
              </w:rPr>
              <w:t>g/cm</w:t>
            </w:r>
            <w:r>
              <w:rPr>
                <w:sz w:val="24"/>
                <w:szCs w:val="24"/>
                <w:vertAlign w:val="superscript"/>
              </w:rPr>
              <w:t>3</w:t>
            </w:r>
            <w:r>
              <w:rPr>
                <w:rFonts w:hint="eastAsia"/>
                <w:sz w:val="24"/>
                <w:szCs w:val="24"/>
              </w:rPr>
              <w:t>，</w:t>
            </w:r>
            <w:r>
              <w:rPr>
                <w:sz w:val="24"/>
                <w:szCs w:val="24"/>
              </w:rPr>
              <w:t>熔点</w:t>
            </w:r>
            <w:r>
              <w:rPr>
                <w:rFonts w:hint="eastAsia"/>
                <w:sz w:val="24"/>
                <w:szCs w:val="24"/>
              </w:rPr>
              <w:t>-</w:t>
            </w:r>
            <w:r>
              <w:rPr>
                <w:sz w:val="24"/>
                <w:szCs w:val="24"/>
              </w:rPr>
              <w:t>95.3~</w:t>
            </w:r>
            <w:r>
              <w:rPr>
                <w:rFonts w:hint="eastAsia"/>
                <w:sz w:val="24"/>
                <w:szCs w:val="24"/>
              </w:rPr>
              <w:t>-</w:t>
            </w:r>
            <w:r>
              <w:rPr>
                <w:sz w:val="24"/>
                <w:szCs w:val="24"/>
              </w:rPr>
              <w:t>94.3℃</w:t>
            </w:r>
            <w:r>
              <w:rPr>
                <w:rFonts w:hint="eastAsia"/>
                <w:sz w:val="24"/>
                <w:szCs w:val="24"/>
              </w:rPr>
              <w:t>，</w:t>
            </w:r>
            <w:r>
              <w:rPr>
                <w:sz w:val="24"/>
                <w:szCs w:val="24"/>
              </w:rPr>
              <w:t>沸点</w:t>
            </w:r>
            <w:r>
              <w:rPr>
                <w:rFonts w:hint="eastAsia"/>
                <w:sz w:val="24"/>
                <w:szCs w:val="24"/>
              </w:rPr>
              <w:t>69</w:t>
            </w:r>
            <w:r>
              <w:rPr>
                <w:sz w:val="24"/>
                <w:szCs w:val="24"/>
              </w:rPr>
              <w:t>℃</w:t>
            </w:r>
            <w:r>
              <w:rPr>
                <w:rFonts w:hint="eastAsia"/>
                <w:sz w:val="24"/>
                <w:szCs w:val="24"/>
              </w:rPr>
              <w:t>，自燃点</w:t>
            </w:r>
            <w:r>
              <w:rPr>
                <w:sz w:val="24"/>
                <w:szCs w:val="24"/>
              </w:rPr>
              <w:t>260℃</w:t>
            </w:r>
            <w:r>
              <w:rPr>
                <w:rFonts w:hint="eastAsia"/>
                <w:sz w:val="24"/>
                <w:szCs w:val="24"/>
              </w:rPr>
              <w:t>，</w:t>
            </w:r>
            <w:r>
              <w:rPr>
                <w:sz w:val="24"/>
                <w:szCs w:val="24"/>
              </w:rPr>
              <w:t>爆炸上限（V/V）7.</w:t>
            </w:r>
            <w:r>
              <w:rPr>
                <w:rFonts w:hint="eastAsia"/>
                <w:sz w:val="24"/>
                <w:szCs w:val="24"/>
              </w:rPr>
              <w:t>4</w:t>
            </w:r>
            <w:r>
              <w:rPr>
                <w:sz w:val="24"/>
                <w:szCs w:val="24"/>
              </w:rPr>
              <w:t>%</w:t>
            </w:r>
            <w:r>
              <w:rPr>
                <w:rFonts w:hint="eastAsia"/>
                <w:sz w:val="24"/>
                <w:szCs w:val="24"/>
              </w:rPr>
              <w:t>，</w:t>
            </w:r>
            <w:r>
              <w:rPr>
                <w:sz w:val="24"/>
                <w:szCs w:val="24"/>
              </w:rPr>
              <w:t>爆炸下限（V/V）1.</w:t>
            </w:r>
            <w:r>
              <w:rPr>
                <w:rFonts w:hint="eastAsia"/>
                <w:sz w:val="24"/>
                <w:szCs w:val="24"/>
              </w:rPr>
              <w:t>1</w:t>
            </w:r>
            <w:r>
              <w:rPr>
                <w:sz w:val="24"/>
                <w:szCs w:val="24"/>
              </w:rPr>
              <w:t>%</w:t>
            </w:r>
            <w:r>
              <w:rPr>
                <w:rFonts w:hint="eastAsia"/>
                <w:sz w:val="24"/>
                <w:szCs w:val="24"/>
              </w:rPr>
              <w:t>。</w:t>
            </w:r>
            <w:r>
              <w:rPr>
                <w:sz w:val="24"/>
                <w:szCs w:val="24"/>
              </w:rPr>
              <w:t>正己烷不溶于水，但可溶于乙醇、乙醚等多数有机溶剂</w:t>
            </w:r>
            <w:r>
              <w:rPr>
                <w:rFonts w:hint="eastAsia"/>
                <w:sz w:val="24"/>
                <w:szCs w:val="24"/>
              </w:rPr>
              <w:t>。易燃，与氧化剂能发生强烈反应，甚至引起燃烧。</w:t>
            </w:r>
            <w:r>
              <w:rPr>
                <w:sz w:val="24"/>
                <w:szCs w:val="24"/>
              </w:rPr>
              <w:t>长时间接触正己烷或大量暴露可能导致急性中毒，影响中枢神经系统。会刺激和损伤呼吸道，导致咽痛、咳嗽、胸闷、气短等症状</w:t>
            </w:r>
            <w:r>
              <w:rPr>
                <w:rFonts w:hint="eastAsia"/>
                <w:sz w:val="24"/>
                <w:szCs w:val="24"/>
              </w:rPr>
              <w:t>。</w:t>
            </w:r>
          </w:p>
          <w:p w14:paraId="7D74B02B">
            <w:pPr>
              <w:spacing w:line="360" w:lineRule="auto"/>
              <w:ind w:firstLine="482" w:firstLineChars="200"/>
              <w:jc w:val="left"/>
              <w:rPr>
                <w:b/>
                <w:bCs/>
                <w:sz w:val="24"/>
                <w:szCs w:val="24"/>
              </w:rPr>
            </w:pPr>
            <w:r>
              <w:rPr>
                <w:rFonts w:hint="eastAsia"/>
                <w:b/>
                <w:bCs/>
                <w:sz w:val="24"/>
                <w:szCs w:val="24"/>
              </w:rPr>
              <w:t>5.物料平衡分析</w:t>
            </w:r>
          </w:p>
          <w:p w14:paraId="15C75BC7">
            <w:pPr>
              <w:spacing w:line="360" w:lineRule="auto"/>
              <w:ind w:firstLine="480" w:firstLineChars="200"/>
              <w:rPr>
                <w:sz w:val="24"/>
                <w:szCs w:val="24"/>
              </w:rPr>
            </w:pPr>
            <w:r>
              <w:rPr>
                <w:rFonts w:hint="eastAsia"/>
                <w:sz w:val="24"/>
                <w:szCs w:val="24"/>
              </w:rPr>
              <w:t>根据改扩建项目物料投入和产出情况，分析项目物料平衡。</w:t>
            </w:r>
          </w:p>
          <w:p w14:paraId="758BE12F">
            <w:pPr>
              <w:spacing w:line="360" w:lineRule="auto"/>
              <w:ind w:firstLine="480" w:firstLineChars="200"/>
              <w:rPr>
                <w:sz w:val="24"/>
                <w:szCs w:val="24"/>
              </w:rPr>
            </w:pPr>
            <w:r>
              <w:rPr>
                <w:rFonts w:hint="eastAsia"/>
                <w:sz w:val="24"/>
                <w:szCs w:val="24"/>
              </w:rPr>
              <w:t>改扩建项目年产工业油脂4500t/a，主要投入的原辅材料包括废白土30000t/a、溶剂34t/a、锅炉蒸汽10800t/a。本项目生产过程中，浸出和蒸脱工序使用锅炉蒸汽进行直接加热，蒸发工序使用锅炉蒸汽间接加热。其中浸出工序锅炉蒸汽用量约3000t/a，蒸脱工序锅炉蒸汽用量约3000t/a，合计6000t/a。</w:t>
            </w:r>
          </w:p>
          <w:p w14:paraId="1BD036D4">
            <w:pPr>
              <w:spacing w:line="360" w:lineRule="auto"/>
              <w:ind w:firstLine="480" w:firstLineChars="200"/>
              <w:rPr>
                <w:sz w:val="24"/>
                <w:szCs w:val="24"/>
              </w:rPr>
            </w:pPr>
            <w:r>
              <w:rPr>
                <w:rFonts w:hint="eastAsia"/>
                <w:sz w:val="24"/>
                <w:szCs w:val="24"/>
              </w:rPr>
              <w:t>本项目年产工业油脂4500t/a。</w:t>
            </w:r>
            <w:r>
              <w:rPr>
                <w:rFonts w:hint="eastAsia"/>
                <w:bCs/>
                <w:sz w:val="24"/>
                <w:szCs w:val="24"/>
              </w:rPr>
              <w:t>根据废白土和产品检测报告，废白土含水率为3.6%，产品油脂含水率为1.3%；</w:t>
            </w:r>
            <w:r>
              <w:rPr>
                <w:rFonts w:hint="eastAsia"/>
                <w:sz w:val="24"/>
                <w:szCs w:val="24"/>
              </w:rPr>
              <w:t>根据建设单位提供的生产数据，白土渣带走的溶剂含量约为0.45kg/t白土渣，白土渣含水约15%。根据污染源强估算，废白土暂存和造粒约0.51t/a污染物进入废气之中。则白土渣年产生量=（30000t-4500t</w:t>
            </w:r>
            <w:r>
              <w:rPr>
                <w:sz w:val="24"/>
                <w:szCs w:val="24"/>
              </w:rPr>
              <w:t>×</w:t>
            </w:r>
            <w:r>
              <w:rPr>
                <w:rFonts w:hint="eastAsia"/>
                <w:sz w:val="24"/>
                <w:szCs w:val="24"/>
              </w:rPr>
              <w:t>（1-0.013）-30000t</w:t>
            </w:r>
            <w:r>
              <w:rPr>
                <w:sz w:val="24"/>
                <w:szCs w:val="24"/>
              </w:rPr>
              <w:t>×</w:t>
            </w:r>
            <w:r>
              <w:rPr>
                <w:rFonts w:hint="eastAsia"/>
                <w:sz w:val="24"/>
                <w:szCs w:val="24"/>
              </w:rPr>
              <w:t>0.036-0.51）/（1-0.15-0.45/1000）=28813t/a。</w:t>
            </w:r>
          </w:p>
          <w:p w14:paraId="610E7D81">
            <w:pPr>
              <w:spacing w:line="360" w:lineRule="auto"/>
              <w:ind w:firstLine="480" w:firstLineChars="200"/>
              <w:rPr>
                <w:sz w:val="24"/>
                <w:szCs w:val="24"/>
              </w:rPr>
            </w:pPr>
            <w:r>
              <w:rPr>
                <w:rFonts w:hint="eastAsia"/>
                <w:sz w:val="24"/>
                <w:szCs w:val="24"/>
              </w:rPr>
              <w:t>项目冷凝系统对溶剂的回收效率约97%，则进入不凝气的溶剂的量=(34t-28813t</w:t>
            </w:r>
            <w:r>
              <w:rPr>
                <w:sz w:val="24"/>
                <w:szCs w:val="24"/>
              </w:rPr>
              <w:t>×</w:t>
            </w:r>
            <w:r>
              <w:rPr>
                <w:rFonts w:hint="eastAsia"/>
                <w:sz w:val="24"/>
                <w:szCs w:val="24"/>
              </w:rPr>
              <w:t>0.45kg/t)</w:t>
            </w:r>
            <w:r>
              <w:rPr>
                <w:sz w:val="24"/>
                <w:szCs w:val="24"/>
              </w:rPr>
              <w:t>×</w:t>
            </w:r>
            <w:r>
              <w:rPr>
                <w:rFonts w:hint="eastAsia"/>
                <w:sz w:val="24"/>
                <w:szCs w:val="24"/>
              </w:rPr>
              <w:t>0.03=0.63t/a，溶剂回收量=34t-28813t</w:t>
            </w:r>
            <w:r>
              <w:rPr>
                <w:sz w:val="24"/>
                <w:szCs w:val="24"/>
              </w:rPr>
              <w:t>×</w:t>
            </w:r>
            <w:r>
              <w:rPr>
                <w:rFonts w:hint="eastAsia"/>
                <w:sz w:val="24"/>
                <w:szCs w:val="24"/>
              </w:rPr>
              <w:t>0.45kg/t-0.63=20.40t/a。</w:t>
            </w:r>
          </w:p>
          <w:p w14:paraId="25539DF9">
            <w:pPr>
              <w:spacing w:line="360" w:lineRule="auto"/>
              <w:ind w:firstLine="480" w:firstLineChars="200"/>
              <w:rPr>
                <w:sz w:val="24"/>
                <w:szCs w:val="24"/>
              </w:rPr>
            </w:pPr>
            <w:r>
              <w:rPr>
                <w:rFonts w:hint="eastAsia"/>
                <w:sz w:val="24"/>
                <w:szCs w:val="24"/>
              </w:rPr>
              <w:t>改扩建项目主要物料平衡见表2-9和图2-1。</w:t>
            </w:r>
          </w:p>
          <w:p w14:paraId="13E02F54">
            <w:pPr>
              <w:pStyle w:val="14"/>
              <w:spacing w:before="0" w:beforeLines="0" w:after="0" w:afterLines="0"/>
              <w:rPr>
                <w:rFonts w:eastAsia="宋体"/>
                <w:b/>
                <w:sz w:val="21"/>
              </w:rPr>
            </w:pPr>
            <w:r>
              <w:rPr>
                <w:rFonts w:hint="eastAsia" w:eastAsia="宋体"/>
                <w:b/>
                <w:sz w:val="21"/>
              </w:rPr>
              <w:t>表2-9 改扩建项目物料平衡表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601"/>
              <w:gridCol w:w="1638"/>
              <w:gridCol w:w="2602"/>
              <w:gridCol w:w="2118"/>
            </w:tblGrid>
            <w:tr w14:paraId="0A790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2366" w:type="pct"/>
                  <w:gridSpan w:val="2"/>
                  <w:vAlign w:val="center"/>
                </w:tcPr>
                <w:p w14:paraId="1A846323">
                  <w:pPr>
                    <w:widowControl/>
                    <w:jc w:val="center"/>
                    <w:rPr>
                      <w:rFonts w:cs="宋体"/>
                      <w:kern w:val="0"/>
                    </w:rPr>
                  </w:pPr>
                  <w:r>
                    <w:rPr>
                      <w:rFonts w:hint="eastAsia" w:cs="宋体"/>
                      <w:kern w:val="0"/>
                    </w:rPr>
                    <w:t>投料（t/a）</w:t>
                  </w:r>
                </w:p>
              </w:tc>
              <w:tc>
                <w:tcPr>
                  <w:tcW w:w="2634" w:type="pct"/>
                  <w:gridSpan w:val="2"/>
                  <w:vAlign w:val="center"/>
                </w:tcPr>
                <w:p w14:paraId="63DC0357">
                  <w:pPr>
                    <w:widowControl/>
                    <w:jc w:val="center"/>
                    <w:rPr>
                      <w:rFonts w:cs="宋体"/>
                      <w:kern w:val="0"/>
                    </w:rPr>
                  </w:pPr>
                  <w:r>
                    <w:rPr>
                      <w:rFonts w:hint="eastAsia" w:cs="宋体"/>
                      <w:kern w:val="0"/>
                    </w:rPr>
                    <w:t>出料（t/a）</w:t>
                  </w:r>
                </w:p>
              </w:tc>
            </w:tr>
            <w:tr w14:paraId="0182B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1452" w:type="pct"/>
                  <w:vAlign w:val="center"/>
                </w:tcPr>
                <w:p w14:paraId="5F352D30">
                  <w:pPr>
                    <w:widowControl/>
                    <w:jc w:val="center"/>
                    <w:rPr>
                      <w:rFonts w:cs="宋体"/>
                      <w:kern w:val="0"/>
                    </w:rPr>
                  </w:pPr>
                  <w:r>
                    <w:rPr>
                      <w:rFonts w:hint="eastAsia" w:cs="宋体"/>
                      <w:kern w:val="0"/>
                    </w:rPr>
                    <w:t>物料名称</w:t>
                  </w:r>
                </w:p>
              </w:tc>
              <w:tc>
                <w:tcPr>
                  <w:tcW w:w="914" w:type="pct"/>
                  <w:vAlign w:val="center"/>
                </w:tcPr>
                <w:p w14:paraId="0196027C">
                  <w:pPr>
                    <w:widowControl/>
                    <w:jc w:val="center"/>
                    <w:rPr>
                      <w:rFonts w:cs="宋体"/>
                      <w:kern w:val="0"/>
                    </w:rPr>
                  </w:pPr>
                  <w:r>
                    <w:rPr>
                      <w:rFonts w:hint="eastAsia" w:cs="宋体"/>
                      <w:kern w:val="0"/>
                    </w:rPr>
                    <w:t>数量</w:t>
                  </w:r>
                </w:p>
              </w:tc>
              <w:tc>
                <w:tcPr>
                  <w:tcW w:w="1452" w:type="pct"/>
                  <w:vAlign w:val="center"/>
                </w:tcPr>
                <w:p w14:paraId="72EA09B7">
                  <w:pPr>
                    <w:widowControl/>
                    <w:jc w:val="center"/>
                    <w:rPr>
                      <w:rFonts w:cs="宋体"/>
                      <w:kern w:val="0"/>
                    </w:rPr>
                  </w:pPr>
                  <w:r>
                    <w:rPr>
                      <w:rFonts w:hint="eastAsia" w:cs="宋体"/>
                      <w:kern w:val="0"/>
                    </w:rPr>
                    <w:t>物料名称</w:t>
                  </w:r>
                </w:p>
              </w:tc>
              <w:tc>
                <w:tcPr>
                  <w:tcW w:w="1182" w:type="pct"/>
                  <w:vAlign w:val="center"/>
                </w:tcPr>
                <w:p w14:paraId="2DCF3721">
                  <w:pPr>
                    <w:widowControl/>
                    <w:jc w:val="center"/>
                    <w:rPr>
                      <w:rFonts w:cs="宋体"/>
                      <w:kern w:val="0"/>
                    </w:rPr>
                  </w:pPr>
                  <w:r>
                    <w:rPr>
                      <w:rFonts w:hint="eastAsia" w:cs="宋体"/>
                      <w:kern w:val="0"/>
                    </w:rPr>
                    <w:t>数量</w:t>
                  </w:r>
                </w:p>
              </w:tc>
            </w:tr>
            <w:tr w14:paraId="02207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1452" w:type="pct"/>
                  <w:vAlign w:val="center"/>
                </w:tcPr>
                <w:p w14:paraId="0ED0BEAF">
                  <w:pPr>
                    <w:widowControl/>
                    <w:jc w:val="center"/>
                    <w:rPr>
                      <w:rFonts w:cs="宋体"/>
                      <w:kern w:val="0"/>
                    </w:rPr>
                  </w:pPr>
                  <w:r>
                    <w:rPr>
                      <w:rFonts w:hint="eastAsia" w:cs="宋体"/>
                      <w:kern w:val="0"/>
                    </w:rPr>
                    <w:t>废白土</w:t>
                  </w:r>
                </w:p>
              </w:tc>
              <w:tc>
                <w:tcPr>
                  <w:tcW w:w="914" w:type="pct"/>
                  <w:vAlign w:val="center"/>
                </w:tcPr>
                <w:p w14:paraId="42E1D07D">
                  <w:pPr>
                    <w:widowControl/>
                    <w:jc w:val="center"/>
                    <w:rPr>
                      <w:rFonts w:cs="宋体"/>
                      <w:kern w:val="0"/>
                    </w:rPr>
                  </w:pPr>
                  <w:r>
                    <w:rPr>
                      <w:rFonts w:hint="eastAsia" w:cs="宋体"/>
                      <w:kern w:val="0"/>
                    </w:rPr>
                    <w:t>30000</w:t>
                  </w:r>
                </w:p>
              </w:tc>
              <w:tc>
                <w:tcPr>
                  <w:tcW w:w="1452" w:type="pct"/>
                  <w:vAlign w:val="center"/>
                </w:tcPr>
                <w:p w14:paraId="6C0810DE">
                  <w:pPr>
                    <w:widowControl/>
                    <w:jc w:val="center"/>
                    <w:rPr>
                      <w:rFonts w:cs="宋体"/>
                      <w:kern w:val="0"/>
                    </w:rPr>
                  </w:pPr>
                  <w:r>
                    <w:rPr>
                      <w:rFonts w:hint="eastAsia"/>
                    </w:rPr>
                    <w:t>工业油脂</w:t>
                  </w:r>
                </w:p>
              </w:tc>
              <w:tc>
                <w:tcPr>
                  <w:tcW w:w="1182" w:type="pct"/>
                  <w:vAlign w:val="center"/>
                </w:tcPr>
                <w:p w14:paraId="0BA98A04">
                  <w:pPr>
                    <w:widowControl/>
                    <w:jc w:val="center"/>
                    <w:rPr>
                      <w:rFonts w:cs="宋体"/>
                      <w:kern w:val="0"/>
                    </w:rPr>
                  </w:pPr>
                  <w:r>
                    <w:rPr>
                      <w:rFonts w:hint="eastAsia" w:cs="宋体"/>
                      <w:kern w:val="0"/>
                    </w:rPr>
                    <w:t>4500</w:t>
                  </w:r>
                </w:p>
              </w:tc>
            </w:tr>
            <w:tr w14:paraId="30AD1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1452" w:type="pct"/>
                  <w:vAlign w:val="center"/>
                </w:tcPr>
                <w:p w14:paraId="339F775D">
                  <w:pPr>
                    <w:widowControl/>
                    <w:jc w:val="center"/>
                    <w:rPr>
                      <w:rFonts w:cs="宋体"/>
                      <w:kern w:val="0"/>
                      <w:szCs w:val="20"/>
                    </w:rPr>
                  </w:pPr>
                  <w:r>
                    <w:rPr>
                      <w:rFonts w:hint="eastAsia"/>
                      <w:szCs w:val="24"/>
                    </w:rPr>
                    <w:t>溶剂</w:t>
                  </w:r>
                </w:p>
              </w:tc>
              <w:tc>
                <w:tcPr>
                  <w:tcW w:w="914" w:type="pct"/>
                  <w:vAlign w:val="center"/>
                </w:tcPr>
                <w:p w14:paraId="78584739">
                  <w:pPr>
                    <w:widowControl/>
                    <w:jc w:val="center"/>
                    <w:rPr>
                      <w:rFonts w:cs="宋体"/>
                      <w:kern w:val="0"/>
                    </w:rPr>
                  </w:pPr>
                  <w:r>
                    <w:rPr>
                      <w:rFonts w:hint="eastAsia" w:cs="宋体"/>
                      <w:kern w:val="0"/>
                    </w:rPr>
                    <w:t>34</w:t>
                  </w:r>
                </w:p>
              </w:tc>
              <w:tc>
                <w:tcPr>
                  <w:tcW w:w="1452" w:type="pct"/>
                  <w:vAlign w:val="center"/>
                </w:tcPr>
                <w:p w14:paraId="6DB13EAE">
                  <w:pPr>
                    <w:widowControl/>
                    <w:jc w:val="center"/>
                    <w:rPr>
                      <w:rFonts w:cs="宋体"/>
                      <w:kern w:val="0"/>
                    </w:rPr>
                  </w:pPr>
                  <w:r>
                    <w:rPr>
                      <w:rFonts w:hint="eastAsia"/>
                      <w:szCs w:val="24"/>
                    </w:rPr>
                    <w:t>溶剂</w:t>
                  </w:r>
                </w:p>
              </w:tc>
              <w:tc>
                <w:tcPr>
                  <w:tcW w:w="1182" w:type="pct"/>
                  <w:vAlign w:val="center"/>
                </w:tcPr>
                <w:p w14:paraId="7F13ABA7">
                  <w:pPr>
                    <w:widowControl/>
                    <w:jc w:val="center"/>
                    <w:rPr>
                      <w:rFonts w:cs="宋体"/>
                      <w:kern w:val="0"/>
                    </w:rPr>
                  </w:pPr>
                  <w:r>
                    <w:rPr>
                      <w:rFonts w:hint="eastAsia" w:cs="宋体"/>
                      <w:kern w:val="0"/>
                    </w:rPr>
                    <w:t>20.4</w:t>
                  </w:r>
                </w:p>
              </w:tc>
            </w:tr>
            <w:tr w14:paraId="11904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1452" w:type="pct"/>
                  <w:vAlign w:val="center"/>
                </w:tcPr>
                <w:p w14:paraId="7C1A1E9F">
                  <w:pPr>
                    <w:widowControl/>
                    <w:jc w:val="center"/>
                    <w:rPr>
                      <w:rFonts w:cs="宋体"/>
                      <w:kern w:val="0"/>
                    </w:rPr>
                  </w:pPr>
                  <w:r>
                    <w:rPr>
                      <w:rFonts w:hint="eastAsia" w:cs="宋体"/>
                      <w:kern w:val="0"/>
                    </w:rPr>
                    <w:t>锅炉蒸汽</w:t>
                  </w:r>
                </w:p>
              </w:tc>
              <w:tc>
                <w:tcPr>
                  <w:tcW w:w="914" w:type="pct"/>
                  <w:vAlign w:val="center"/>
                </w:tcPr>
                <w:p w14:paraId="09E5268C">
                  <w:pPr>
                    <w:widowControl/>
                    <w:jc w:val="center"/>
                    <w:rPr>
                      <w:rFonts w:cs="宋体"/>
                      <w:kern w:val="0"/>
                    </w:rPr>
                  </w:pPr>
                  <w:r>
                    <w:rPr>
                      <w:rFonts w:hint="eastAsia" w:cs="宋体"/>
                      <w:kern w:val="0"/>
                    </w:rPr>
                    <w:t>6000</w:t>
                  </w:r>
                </w:p>
              </w:tc>
              <w:tc>
                <w:tcPr>
                  <w:tcW w:w="1452" w:type="pct"/>
                  <w:vAlign w:val="center"/>
                </w:tcPr>
                <w:p w14:paraId="37047D29">
                  <w:pPr>
                    <w:widowControl/>
                    <w:jc w:val="center"/>
                    <w:rPr>
                      <w:rFonts w:cs="宋体"/>
                      <w:kern w:val="0"/>
                    </w:rPr>
                  </w:pPr>
                  <w:r>
                    <w:rPr>
                      <w:rFonts w:hint="eastAsia"/>
                    </w:rPr>
                    <w:t>白土渣</w:t>
                  </w:r>
                </w:p>
              </w:tc>
              <w:tc>
                <w:tcPr>
                  <w:tcW w:w="1182" w:type="pct"/>
                  <w:vAlign w:val="center"/>
                </w:tcPr>
                <w:p w14:paraId="07563733">
                  <w:pPr>
                    <w:widowControl/>
                    <w:jc w:val="center"/>
                    <w:rPr>
                      <w:rFonts w:cs="宋体"/>
                      <w:kern w:val="0"/>
                    </w:rPr>
                  </w:pPr>
                  <w:r>
                    <w:rPr>
                      <w:rFonts w:hint="eastAsia" w:cs="宋体"/>
                      <w:kern w:val="0"/>
                    </w:rPr>
                    <w:t>28813</w:t>
                  </w:r>
                </w:p>
              </w:tc>
            </w:tr>
            <w:tr w14:paraId="2BC4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1452" w:type="pct"/>
                  <w:vAlign w:val="center"/>
                </w:tcPr>
                <w:p w14:paraId="67ADABF7">
                  <w:pPr>
                    <w:widowControl/>
                    <w:jc w:val="center"/>
                    <w:rPr>
                      <w:rFonts w:cs="宋体"/>
                      <w:kern w:val="0"/>
                    </w:rPr>
                  </w:pPr>
                </w:p>
              </w:tc>
              <w:tc>
                <w:tcPr>
                  <w:tcW w:w="914" w:type="pct"/>
                  <w:vAlign w:val="center"/>
                </w:tcPr>
                <w:p w14:paraId="1ADB4E58">
                  <w:pPr>
                    <w:widowControl/>
                    <w:jc w:val="center"/>
                    <w:rPr>
                      <w:rFonts w:cs="宋体"/>
                      <w:kern w:val="0"/>
                    </w:rPr>
                  </w:pPr>
                </w:p>
              </w:tc>
              <w:tc>
                <w:tcPr>
                  <w:tcW w:w="1452" w:type="pct"/>
                  <w:vAlign w:val="center"/>
                </w:tcPr>
                <w:p w14:paraId="6A59589D">
                  <w:pPr>
                    <w:widowControl/>
                    <w:jc w:val="center"/>
                    <w:rPr>
                      <w:rFonts w:cs="宋体"/>
                      <w:kern w:val="0"/>
                    </w:rPr>
                  </w:pPr>
                  <w:r>
                    <w:rPr>
                      <w:rFonts w:hint="eastAsia" w:cs="宋体"/>
                    </w:rPr>
                    <w:t>冷凝水</w:t>
                  </w:r>
                </w:p>
              </w:tc>
              <w:tc>
                <w:tcPr>
                  <w:tcW w:w="1182" w:type="pct"/>
                  <w:vAlign w:val="center"/>
                </w:tcPr>
                <w:p w14:paraId="7DC5E3E5">
                  <w:pPr>
                    <w:widowControl/>
                    <w:jc w:val="center"/>
                    <w:rPr>
                      <w:rFonts w:cs="宋体"/>
                      <w:kern w:val="0"/>
                    </w:rPr>
                  </w:pPr>
                  <w:r>
                    <w:rPr>
                      <w:rFonts w:hint="eastAsia" w:cs="宋体"/>
                      <w:kern w:val="0"/>
                    </w:rPr>
                    <w:t>2699.46</w:t>
                  </w:r>
                </w:p>
              </w:tc>
            </w:tr>
            <w:tr w14:paraId="79BE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1452" w:type="pct"/>
                  <w:vAlign w:val="center"/>
                </w:tcPr>
                <w:p w14:paraId="7D4D1C74">
                  <w:pPr>
                    <w:widowControl/>
                    <w:jc w:val="center"/>
                    <w:rPr>
                      <w:rFonts w:cs="宋体"/>
                      <w:kern w:val="0"/>
                    </w:rPr>
                  </w:pPr>
                </w:p>
              </w:tc>
              <w:tc>
                <w:tcPr>
                  <w:tcW w:w="914" w:type="pct"/>
                  <w:vAlign w:val="center"/>
                </w:tcPr>
                <w:p w14:paraId="28853322">
                  <w:pPr>
                    <w:widowControl/>
                    <w:jc w:val="center"/>
                  </w:pPr>
                </w:p>
              </w:tc>
              <w:tc>
                <w:tcPr>
                  <w:tcW w:w="1452" w:type="pct"/>
                  <w:vAlign w:val="center"/>
                </w:tcPr>
                <w:p w14:paraId="19077705">
                  <w:pPr>
                    <w:widowControl/>
                    <w:jc w:val="center"/>
                    <w:rPr>
                      <w:rFonts w:cs="宋体"/>
                    </w:rPr>
                  </w:pPr>
                  <w:r>
                    <w:rPr>
                      <w:rFonts w:hint="eastAsia" w:cs="宋体"/>
                    </w:rPr>
                    <w:t>不凝气</w:t>
                  </w:r>
                </w:p>
              </w:tc>
              <w:tc>
                <w:tcPr>
                  <w:tcW w:w="1182" w:type="pct"/>
                  <w:vAlign w:val="center"/>
                </w:tcPr>
                <w:p w14:paraId="63C0E284">
                  <w:pPr>
                    <w:widowControl/>
                    <w:jc w:val="center"/>
                  </w:pPr>
                  <w:r>
                    <w:rPr>
                      <w:rFonts w:hint="eastAsia"/>
                    </w:rPr>
                    <w:t>0.63</w:t>
                  </w:r>
                </w:p>
              </w:tc>
            </w:tr>
            <w:tr w14:paraId="6033B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1452" w:type="pct"/>
                  <w:vAlign w:val="center"/>
                </w:tcPr>
                <w:p w14:paraId="4F288190">
                  <w:pPr>
                    <w:widowControl/>
                    <w:jc w:val="center"/>
                    <w:rPr>
                      <w:rFonts w:cs="宋体"/>
                      <w:kern w:val="0"/>
                    </w:rPr>
                  </w:pPr>
                </w:p>
              </w:tc>
              <w:tc>
                <w:tcPr>
                  <w:tcW w:w="914" w:type="pct"/>
                  <w:vAlign w:val="center"/>
                </w:tcPr>
                <w:p w14:paraId="5FFF47EE">
                  <w:pPr>
                    <w:widowControl/>
                    <w:jc w:val="center"/>
                  </w:pPr>
                </w:p>
              </w:tc>
              <w:tc>
                <w:tcPr>
                  <w:tcW w:w="1452" w:type="pct"/>
                  <w:vAlign w:val="center"/>
                </w:tcPr>
                <w:p w14:paraId="5F774E66">
                  <w:pPr>
                    <w:widowControl/>
                    <w:jc w:val="center"/>
                    <w:rPr>
                      <w:rFonts w:cs="宋体"/>
                    </w:rPr>
                  </w:pPr>
                  <w:r>
                    <w:rPr>
                      <w:rFonts w:hint="eastAsia" w:cs="宋体"/>
                    </w:rPr>
                    <w:t>废气</w:t>
                  </w:r>
                </w:p>
              </w:tc>
              <w:tc>
                <w:tcPr>
                  <w:tcW w:w="1182" w:type="pct"/>
                  <w:vAlign w:val="center"/>
                </w:tcPr>
                <w:p w14:paraId="7F079031">
                  <w:pPr>
                    <w:widowControl/>
                    <w:jc w:val="center"/>
                  </w:pPr>
                  <w:r>
                    <w:rPr>
                      <w:rFonts w:hint="eastAsia"/>
                    </w:rPr>
                    <w:t>0.51</w:t>
                  </w:r>
                </w:p>
              </w:tc>
            </w:tr>
            <w:tr w14:paraId="07AB9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jc w:val="center"/>
              </w:trPr>
              <w:tc>
                <w:tcPr>
                  <w:tcW w:w="1452" w:type="pct"/>
                  <w:vAlign w:val="center"/>
                </w:tcPr>
                <w:p w14:paraId="35E717CF">
                  <w:pPr>
                    <w:widowControl/>
                    <w:jc w:val="center"/>
                    <w:rPr>
                      <w:rFonts w:cs="宋体"/>
                      <w:kern w:val="0"/>
                    </w:rPr>
                  </w:pPr>
                  <w:r>
                    <w:rPr>
                      <w:rFonts w:hint="eastAsia" w:cs="宋体"/>
                      <w:kern w:val="0"/>
                    </w:rPr>
                    <w:t>合计</w:t>
                  </w:r>
                </w:p>
              </w:tc>
              <w:tc>
                <w:tcPr>
                  <w:tcW w:w="914" w:type="pct"/>
                  <w:vAlign w:val="center"/>
                </w:tcPr>
                <w:p w14:paraId="158437CC">
                  <w:pPr>
                    <w:widowControl/>
                    <w:jc w:val="center"/>
                    <w:rPr>
                      <w:rFonts w:cs="宋体"/>
                      <w:kern w:val="0"/>
                    </w:rPr>
                  </w:pPr>
                  <w:r>
                    <w:rPr>
                      <w:rFonts w:hint="eastAsia" w:cs="宋体"/>
                      <w:kern w:val="0"/>
                    </w:rPr>
                    <w:t>36034</w:t>
                  </w:r>
                </w:p>
              </w:tc>
              <w:tc>
                <w:tcPr>
                  <w:tcW w:w="1452" w:type="pct"/>
                  <w:vAlign w:val="center"/>
                </w:tcPr>
                <w:p w14:paraId="0C5D5113">
                  <w:pPr>
                    <w:widowControl/>
                    <w:jc w:val="center"/>
                    <w:rPr>
                      <w:rFonts w:cs="宋体"/>
                      <w:kern w:val="0"/>
                    </w:rPr>
                  </w:pPr>
                </w:p>
              </w:tc>
              <w:tc>
                <w:tcPr>
                  <w:tcW w:w="1182" w:type="pct"/>
                  <w:vAlign w:val="center"/>
                </w:tcPr>
                <w:p w14:paraId="46280098">
                  <w:pPr>
                    <w:widowControl/>
                    <w:jc w:val="center"/>
                    <w:rPr>
                      <w:rFonts w:cs="宋体"/>
                      <w:kern w:val="0"/>
                    </w:rPr>
                  </w:pPr>
                  <w:r>
                    <w:rPr>
                      <w:rFonts w:hint="eastAsia" w:cs="宋体"/>
                      <w:kern w:val="0"/>
                    </w:rPr>
                    <w:t>36034</w:t>
                  </w:r>
                </w:p>
              </w:tc>
            </w:tr>
          </w:tbl>
          <w:p w14:paraId="37813B73">
            <w:pPr>
              <w:spacing w:before="120" w:beforeLines="50"/>
              <w:jc w:val="center"/>
              <w:rPr>
                <w:sz w:val="24"/>
                <w:szCs w:val="24"/>
              </w:rPr>
            </w:pPr>
          </w:p>
          <w:p w14:paraId="6DA6B989">
            <w:pPr>
              <w:spacing w:before="120" w:beforeLines="50"/>
              <w:jc w:val="center"/>
              <w:rPr>
                <w:sz w:val="24"/>
                <w:szCs w:val="24"/>
              </w:rPr>
            </w:pPr>
          </w:p>
          <w:p w14:paraId="223798A0">
            <w:pPr>
              <w:spacing w:before="120" w:beforeLines="50"/>
              <w:jc w:val="center"/>
              <w:rPr>
                <w:sz w:val="24"/>
                <w:szCs w:val="24"/>
              </w:rPr>
            </w:pPr>
          </w:p>
          <w:p w14:paraId="3C561BD9">
            <w:pPr>
              <w:spacing w:before="120" w:beforeLines="50"/>
              <w:jc w:val="center"/>
              <w:rPr>
                <w:sz w:val="24"/>
                <w:szCs w:val="24"/>
              </w:rPr>
            </w:pPr>
          </w:p>
          <w:p w14:paraId="4BB2E195">
            <w:pPr>
              <w:spacing w:before="120" w:beforeLines="50"/>
              <w:jc w:val="center"/>
              <w:rPr>
                <w:sz w:val="24"/>
                <w:szCs w:val="24"/>
              </w:rPr>
            </w:pPr>
          </w:p>
          <w:p w14:paraId="0C17B636">
            <w:pPr>
              <w:spacing w:before="120" w:beforeLines="50"/>
              <w:jc w:val="center"/>
              <w:rPr>
                <w:sz w:val="24"/>
                <w:szCs w:val="24"/>
              </w:rPr>
            </w:pPr>
          </w:p>
          <w:p w14:paraId="53685C1F">
            <w:pPr>
              <w:spacing w:before="120" w:beforeLines="50"/>
              <w:jc w:val="center"/>
              <w:rPr>
                <w:sz w:val="24"/>
                <w:szCs w:val="24"/>
              </w:rPr>
            </w:pPr>
          </w:p>
          <w:p w14:paraId="36083748">
            <w:pPr>
              <w:spacing w:before="120" w:beforeLines="50"/>
              <w:jc w:val="center"/>
              <w:rPr>
                <w:sz w:val="24"/>
                <w:szCs w:val="24"/>
              </w:rPr>
            </w:pPr>
          </w:p>
          <w:p w14:paraId="7AC75148">
            <w:pPr>
              <w:spacing w:before="120" w:beforeLines="50"/>
              <w:jc w:val="center"/>
              <w:rPr>
                <w:rFonts w:hint="eastAsia"/>
                <w:sz w:val="24"/>
                <w:szCs w:val="24"/>
              </w:rPr>
            </w:pPr>
          </w:p>
          <w:p w14:paraId="67209BD0">
            <w:pPr>
              <w:spacing w:before="120" w:beforeLines="50"/>
              <w:jc w:val="center"/>
              <w:rPr>
                <w:rFonts w:hint="eastAsia"/>
                <w:sz w:val="24"/>
                <w:szCs w:val="24"/>
              </w:rPr>
            </w:pPr>
            <w:r>
              <w:rPr>
                <w:rFonts w:hint="eastAsia"/>
                <w:sz w:val="24"/>
                <w:szCs w:val="24"/>
              </w:rPr>
              <w:drawing>
                <wp:inline distT="0" distB="0" distL="0" distR="0">
                  <wp:extent cx="4927600" cy="5492750"/>
                  <wp:effectExtent l="0" t="0" r="6350" b="0"/>
                  <wp:docPr id="262511558"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511558" name="图片 150"/>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33509" cy="5499433"/>
                          </a:xfrm>
                          <a:prstGeom prst="rect">
                            <a:avLst/>
                          </a:prstGeom>
                        </pic:spPr>
                      </pic:pic>
                    </a:graphicData>
                  </a:graphic>
                </wp:inline>
              </w:drawing>
            </w:r>
          </w:p>
          <w:p w14:paraId="1929CC10">
            <w:pPr>
              <w:pStyle w:val="14"/>
              <w:spacing w:before="120" w:after="0" w:afterLines="0"/>
              <w:rPr>
                <w:rFonts w:eastAsia="宋体"/>
                <w:b/>
                <w:sz w:val="21"/>
              </w:rPr>
            </w:pPr>
            <w:r>
              <w:rPr>
                <w:rFonts w:hint="eastAsia" w:eastAsia="宋体"/>
                <w:b/>
                <w:sz w:val="21"/>
              </w:rPr>
              <w:t>图2-1 改扩建项目物料平衡图</w:t>
            </w:r>
          </w:p>
          <w:p w14:paraId="7B0A9BB7">
            <w:pPr>
              <w:snapToGrid w:val="0"/>
              <w:spacing w:before="120" w:beforeLines="50" w:line="360" w:lineRule="auto"/>
              <w:ind w:firstLine="482" w:firstLineChars="200"/>
              <w:rPr>
                <w:b/>
                <w:sz w:val="24"/>
              </w:rPr>
            </w:pPr>
            <w:r>
              <w:rPr>
                <w:rFonts w:hint="eastAsia"/>
                <w:b/>
                <w:sz w:val="24"/>
              </w:rPr>
              <w:t>6.水平衡分析</w:t>
            </w:r>
          </w:p>
          <w:p w14:paraId="53B617A0">
            <w:pPr>
              <w:spacing w:line="360" w:lineRule="auto"/>
              <w:ind w:firstLine="480" w:firstLineChars="200"/>
              <w:rPr>
                <w:sz w:val="24"/>
                <w:szCs w:val="24"/>
              </w:rPr>
            </w:pPr>
            <w:r>
              <w:rPr>
                <w:rFonts w:hint="eastAsia"/>
                <w:sz w:val="24"/>
                <w:szCs w:val="24"/>
              </w:rPr>
              <w:t>（1）生活用水</w:t>
            </w:r>
          </w:p>
          <w:p w14:paraId="316CAA9C">
            <w:pPr>
              <w:spacing w:line="360" w:lineRule="auto"/>
              <w:ind w:firstLine="480" w:firstLineChars="200"/>
              <w:rPr>
                <w:sz w:val="24"/>
                <w:szCs w:val="24"/>
              </w:rPr>
            </w:pPr>
            <w:r>
              <w:rPr>
                <w:rFonts w:hint="eastAsia"/>
                <w:sz w:val="24"/>
                <w:szCs w:val="24"/>
              </w:rPr>
              <w:t>改扩建项目员工10人，年工作天数300天，</w:t>
            </w:r>
            <w:r>
              <w:rPr>
                <w:rFonts w:hint="eastAsia"/>
                <w:bCs/>
                <w:sz w:val="24"/>
                <w:szCs w:val="24"/>
              </w:rPr>
              <w:t>均在厂内食宿。</w:t>
            </w:r>
            <w:r>
              <w:rPr>
                <w:rFonts w:hint="eastAsia"/>
                <w:kern w:val="18"/>
                <w:sz w:val="24"/>
                <w:szCs w:val="24"/>
              </w:rPr>
              <w:t>用水量</w:t>
            </w:r>
            <w:r>
              <w:rPr>
                <w:kern w:val="18"/>
                <w:sz w:val="24"/>
                <w:szCs w:val="24"/>
              </w:rPr>
              <w:t>参照</w:t>
            </w:r>
            <w:r>
              <w:rPr>
                <w:rFonts w:hint="eastAsia"/>
                <w:sz w:val="24"/>
                <w:szCs w:val="24"/>
              </w:rPr>
              <w:t>广东省地方标准</w:t>
            </w:r>
            <w:r>
              <w:rPr>
                <w:kern w:val="18"/>
                <w:sz w:val="24"/>
                <w:szCs w:val="24"/>
              </w:rPr>
              <w:t>《用水定额 第3部分：生活》（DB44/T1461.3-2021）表</w:t>
            </w:r>
            <w:r>
              <w:rPr>
                <w:rFonts w:hint="eastAsia"/>
                <w:kern w:val="18"/>
                <w:sz w:val="24"/>
                <w:szCs w:val="24"/>
              </w:rPr>
              <w:t>2居民生活用水定额表中的农村居民I区的用水定额，</w:t>
            </w:r>
            <w:r>
              <w:rPr>
                <w:kern w:val="18"/>
                <w:sz w:val="24"/>
                <w:szCs w:val="24"/>
              </w:rPr>
              <w:t>办公、生活用水按15</w:t>
            </w:r>
            <w:r>
              <w:rPr>
                <w:rFonts w:hint="eastAsia"/>
                <w:kern w:val="18"/>
                <w:sz w:val="24"/>
                <w:szCs w:val="24"/>
              </w:rPr>
              <w:t>0L</w:t>
            </w:r>
            <w:r>
              <w:rPr>
                <w:kern w:val="18"/>
                <w:sz w:val="24"/>
                <w:szCs w:val="24"/>
              </w:rPr>
              <w:t>/(人·</w:t>
            </w:r>
            <w:r>
              <w:rPr>
                <w:rFonts w:hint="eastAsia"/>
                <w:kern w:val="18"/>
                <w:sz w:val="24"/>
                <w:szCs w:val="24"/>
              </w:rPr>
              <w:t>天)</w:t>
            </w:r>
            <w:r>
              <w:rPr>
                <w:kern w:val="18"/>
                <w:sz w:val="24"/>
                <w:szCs w:val="24"/>
              </w:rPr>
              <w:t>计，则生活用水量为</w:t>
            </w:r>
            <w:r>
              <w:rPr>
                <w:rFonts w:hint="eastAsia"/>
                <w:kern w:val="18"/>
                <w:sz w:val="24"/>
                <w:szCs w:val="24"/>
              </w:rPr>
              <w:t>450</w:t>
            </w:r>
            <w:r>
              <w:rPr>
                <w:kern w:val="18"/>
                <w:sz w:val="24"/>
                <w:szCs w:val="24"/>
              </w:rPr>
              <w:t>m</w:t>
            </w:r>
            <w:r>
              <w:rPr>
                <w:kern w:val="18"/>
                <w:sz w:val="24"/>
                <w:szCs w:val="24"/>
                <w:vertAlign w:val="superscript"/>
              </w:rPr>
              <w:t>3</w:t>
            </w:r>
            <w:r>
              <w:rPr>
                <w:kern w:val="18"/>
                <w:sz w:val="24"/>
                <w:szCs w:val="24"/>
              </w:rPr>
              <w:t>/a（</w:t>
            </w:r>
            <w:r>
              <w:rPr>
                <w:rFonts w:hint="eastAsia"/>
                <w:kern w:val="18"/>
                <w:sz w:val="24"/>
                <w:szCs w:val="24"/>
              </w:rPr>
              <w:t>1.5</w:t>
            </w:r>
            <w:r>
              <w:rPr>
                <w:kern w:val="18"/>
                <w:sz w:val="24"/>
                <w:szCs w:val="24"/>
              </w:rPr>
              <w:t>m</w:t>
            </w:r>
            <w:r>
              <w:rPr>
                <w:kern w:val="18"/>
                <w:sz w:val="24"/>
                <w:szCs w:val="24"/>
                <w:vertAlign w:val="superscript"/>
              </w:rPr>
              <w:t>3</w:t>
            </w:r>
            <w:r>
              <w:rPr>
                <w:kern w:val="18"/>
                <w:sz w:val="24"/>
                <w:szCs w:val="24"/>
              </w:rPr>
              <w:t>/d）</w:t>
            </w:r>
            <w:r>
              <w:rPr>
                <w:rFonts w:hint="eastAsia"/>
                <w:kern w:val="18"/>
                <w:sz w:val="24"/>
                <w:szCs w:val="24"/>
              </w:rPr>
              <w:t>。</w:t>
            </w:r>
            <w:r>
              <w:rPr>
                <w:rFonts w:hint="eastAsia"/>
                <w:sz w:val="24"/>
                <w:szCs w:val="24"/>
              </w:rPr>
              <w:t>生活污水排污系数按80%计算，则改扩建项目生活污水排放量为360</w:t>
            </w:r>
            <w:r>
              <w:rPr>
                <w:kern w:val="18"/>
                <w:sz w:val="24"/>
                <w:szCs w:val="24"/>
              </w:rPr>
              <w:t>m</w:t>
            </w:r>
            <w:r>
              <w:rPr>
                <w:kern w:val="18"/>
                <w:sz w:val="24"/>
                <w:szCs w:val="24"/>
                <w:vertAlign w:val="superscript"/>
              </w:rPr>
              <w:t>3</w:t>
            </w:r>
            <w:r>
              <w:rPr>
                <w:rFonts w:hint="eastAsia"/>
                <w:sz w:val="24"/>
                <w:szCs w:val="24"/>
              </w:rPr>
              <w:t>/a（1.2</w:t>
            </w:r>
            <w:r>
              <w:rPr>
                <w:kern w:val="18"/>
                <w:sz w:val="24"/>
                <w:szCs w:val="24"/>
              </w:rPr>
              <w:t>m</w:t>
            </w:r>
            <w:r>
              <w:rPr>
                <w:kern w:val="18"/>
                <w:sz w:val="24"/>
                <w:szCs w:val="24"/>
                <w:vertAlign w:val="superscript"/>
              </w:rPr>
              <w:t>3</w:t>
            </w:r>
            <w:r>
              <w:rPr>
                <w:rFonts w:hint="eastAsia"/>
                <w:sz w:val="24"/>
                <w:szCs w:val="24"/>
              </w:rPr>
              <w:t>/d）。</w:t>
            </w:r>
          </w:p>
          <w:p w14:paraId="6F57BD14">
            <w:pPr>
              <w:spacing w:line="360" w:lineRule="auto"/>
              <w:ind w:firstLine="480" w:firstLineChars="200"/>
              <w:rPr>
                <w:sz w:val="24"/>
                <w:szCs w:val="24"/>
              </w:rPr>
            </w:pPr>
            <w:r>
              <w:rPr>
                <w:rFonts w:hint="eastAsia"/>
                <w:bCs/>
                <w:sz w:val="24"/>
                <w:szCs w:val="24"/>
              </w:rPr>
              <w:t>现有项目员工总人数为</w:t>
            </w:r>
            <w:r>
              <w:rPr>
                <w:bCs/>
                <w:sz w:val="24"/>
                <w:szCs w:val="24"/>
              </w:rPr>
              <w:t>25</w:t>
            </w:r>
            <w:r>
              <w:rPr>
                <w:rFonts w:hint="eastAsia"/>
                <w:bCs/>
                <w:sz w:val="24"/>
                <w:szCs w:val="24"/>
              </w:rPr>
              <w:t>人，均在厂区内食宿，</w:t>
            </w:r>
            <w:r>
              <w:rPr>
                <w:kern w:val="18"/>
                <w:sz w:val="24"/>
                <w:szCs w:val="24"/>
              </w:rPr>
              <w:t>生活用水量为</w:t>
            </w:r>
            <w:r>
              <w:rPr>
                <w:rFonts w:hint="eastAsia"/>
                <w:kern w:val="18"/>
                <w:sz w:val="24"/>
                <w:szCs w:val="24"/>
              </w:rPr>
              <w:t>1125</w:t>
            </w:r>
            <w:r>
              <w:rPr>
                <w:kern w:val="18"/>
                <w:sz w:val="24"/>
                <w:szCs w:val="24"/>
              </w:rPr>
              <w:t>m</w:t>
            </w:r>
            <w:r>
              <w:rPr>
                <w:kern w:val="18"/>
                <w:sz w:val="24"/>
                <w:szCs w:val="24"/>
                <w:vertAlign w:val="superscript"/>
              </w:rPr>
              <w:t>3</w:t>
            </w:r>
            <w:r>
              <w:rPr>
                <w:kern w:val="18"/>
                <w:sz w:val="24"/>
                <w:szCs w:val="24"/>
              </w:rPr>
              <w:t>/a（</w:t>
            </w:r>
            <w:r>
              <w:rPr>
                <w:rFonts w:hint="eastAsia"/>
                <w:kern w:val="18"/>
                <w:sz w:val="24"/>
                <w:szCs w:val="24"/>
              </w:rPr>
              <w:t>3.75</w:t>
            </w:r>
            <w:r>
              <w:rPr>
                <w:kern w:val="18"/>
                <w:sz w:val="24"/>
                <w:szCs w:val="24"/>
              </w:rPr>
              <w:t>m</w:t>
            </w:r>
            <w:r>
              <w:rPr>
                <w:kern w:val="18"/>
                <w:sz w:val="24"/>
                <w:szCs w:val="24"/>
                <w:vertAlign w:val="superscript"/>
              </w:rPr>
              <w:t>3</w:t>
            </w:r>
            <w:r>
              <w:rPr>
                <w:kern w:val="18"/>
                <w:sz w:val="24"/>
                <w:szCs w:val="24"/>
              </w:rPr>
              <w:t>/d）</w:t>
            </w:r>
            <w:r>
              <w:rPr>
                <w:rFonts w:hint="eastAsia"/>
                <w:kern w:val="18"/>
                <w:sz w:val="24"/>
                <w:szCs w:val="24"/>
              </w:rPr>
              <w:t>，</w:t>
            </w:r>
            <w:r>
              <w:rPr>
                <w:rFonts w:hint="eastAsia"/>
                <w:bCs/>
                <w:sz w:val="24"/>
                <w:szCs w:val="24"/>
              </w:rPr>
              <w:t>排放量约为</w:t>
            </w:r>
            <w:r>
              <w:rPr>
                <w:bCs/>
                <w:sz w:val="24"/>
                <w:szCs w:val="24"/>
              </w:rPr>
              <w:t>3</w:t>
            </w:r>
            <w:r>
              <w:rPr>
                <w:rFonts w:hint="eastAsia"/>
                <w:bCs/>
                <w:sz w:val="24"/>
                <w:szCs w:val="24"/>
              </w:rPr>
              <w:t>m</w:t>
            </w:r>
            <w:r>
              <w:rPr>
                <w:rFonts w:hint="eastAsia"/>
                <w:bCs/>
                <w:sz w:val="24"/>
                <w:szCs w:val="24"/>
                <w:vertAlign w:val="superscript"/>
              </w:rPr>
              <w:t>3</w:t>
            </w:r>
            <w:r>
              <w:rPr>
                <w:rFonts w:hint="eastAsia"/>
                <w:bCs/>
                <w:sz w:val="24"/>
                <w:szCs w:val="24"/>
              </w:rPr>
              <w:t>/</w:t>
            </w:r>
            <w:r>
              <w:rPr>
                <w:bCs/>
                <w:sz w:val="24"/>
                <w:szCs w:val="24"/>
              </w:rPr>
              <w:t>d</w:t>
            </w:r>
            <w:r>
              <w:rPr>
                <w:rFonts w:hint="eastAsia"/>
                <w:bCs/>
                <w:sz w:val="24"/>
                <w:szCs w:val="24"/>
              </w:rPr>
              <w:t>（900m</w:t>
            </w:r>
            <w:r>
              <w:rPr>
                <w:rFonts w:hint="eastAsia"/>
                <w:bCs/>
                <w:sz w:val="24"/>
                <w:szCs w:val="24"/>
                <w:vertAlign w:val="superscript"/>
              </w:rPr>
              <w:t>3</w:t>
            </w:r>
            <w:r>
              <w:rPr>
                <w:bCs/>
                <w:sz w:val="24"/>
                <w:szCs w:val="24"/>
              </w:rPr>
              <w:t>/a</w:t>
            </w:r>
            <w:r>
              <w:rPr>
                <w:rFonts w:hint="eastAsia"/>
                <w:bCs/>
                <w:sz w:val="24"/>
                <w:szCs w:val="24"/>
              </w:rPr>
              <w:t>）。则改扩建后全厂</w:t>
            </w:r>
            <w:r>
              <w:rPr>
                <w:kern w:val="18"/>
                <w:sz w:val="24"/>
                <w:szCs w:val="24"/>
              </w:rPr>
              <w:t>生活用水量为</w:t>
            </w:r>
            <w:r>
              <w:rPr>
                <w:rFonts w:hint="eastAsia"/>
                <w:kern w:val="18"/>
                <w:sz w:val="24"/>
                <w:szCs w:val="24"/>
              </w:rPr>
              <w:t>1575</w:t>
            </w:r>
            <w:r>
              <w:rPr>
                <w:kern w:val="18"/>
                <w:sz w:val="24"/>
                <w:szCs w:val="24"/>
              </w:rPr>
              <w:t>m</w:t>
            </w:r>
            <w:r>
              <w:rPr>
                <w:kern w:val="18"/>
                <w:sz w:val="24"/>
                <w:szCs w:val="24"/>
                <w:vertAlign w:val="superscript"/>
              </w:rPr>
              <w:t>3</w:t>
            </w:r>
            <w:r>
              <w:rPr>
                <w:kern w:val="18"/>
                <w:sz w:val="24"/>
                <w:szCs w:val="24"/>
              </w:rPr>
              <w:t>/a（</w:t>
            </w:r>
            <w:r>
              <w:rPr>
                <w:rFonts w:hint="eastAsia"/>
                <w:kern w:val="18"/>
                <w:sz w:val="24"/>
                <w:szCs w:val="24"/>
              </w:rPr>
              <w:t>5.25</w:t>
            </w:r>
            <w:r>
              <w:rPr>
                <w:kern w:val="18"/>
                <w:sz w:val="24"/>
                <w:szCs w:val="24"/>
              </w:rPr>
              <w:t>m</w:t>
            </w:r>
            <w:r>
              <w:rPr>
                <w:kern w:val="18"/>
                <w:sz w:val="24"/>
                <w:szCs w:val="24"/>
                <w:vertAlign w:val="superscript"/>
              </w:rPr>
              <w:t>3</w:t>
            </w:r>
            <w:r>
              <w:rPr>
                <w:kern w:val="18"/>
                <w:sz w:val="24"/>
                <w:szCs w:val="24"/>
              </w:rPr>
              <w:t>/d）</w:t>
            </w:r>
            <w:r>
              <w:rPr>
                <w:rFonts w:hint="eastAsia"/>
                <w:kern w:val="18"/>
                <w:sz w:val="24"/>
                <w:szCs w:val="24"/>
              </w:rPr>
              <w:t>，</w:t>
            </w:r>
            <w:r>
              <w:rPr>
                <w:rFonts w:hint="eastAsia"/>
                <w:bCs/>
                <w:sz w:val="24"/>
                <w:szCs w:val="24"/>
              </w:rPr>
              <w:t>排放量约为4.2m</w:t>
            </w:r>
            <w:r>
              <w:rPr>
                <w:rFonts w:hint="eastAsia"/>
                <w:bCs/>
                <w:sz w:val="24"/>
                <w:szCs w:val="24"/>
                <w:vertAlign w:val="superscript"/>
              </w:rPr>
              <w:t>3</w:t>
            </w:r>
            <w:r>
              <w:rPr>
                <w:rFonts w:hint="eastAsia"/>
                <w:bCs/>
                <w:sz w:val="24"/>
                <w:szCs w:val="24"/>
              </w:rPr>
              <w:t>/</w:t>
            </w:r>
            <w:r>
              <w:rPr>
                <w:bCs/>
                <w:sz w:val="24"/>
                <w:szCs w:val="24"/>
              </w:rPr>
              <w:t>d</w:t>
            </w:r>
            <w:r>
              <w:rPr>
                <w:rFonts w:hint="eastAsia"/>
                <w:bCs/>
                <w:sz w:val="24"/>
                <w:szCs w:val="24"/>
              </w:rPr>
              <w:t>（1260m</w:t>
            </w:r>
            <w:r>
              <w:rPr>
                <w:rFonts w:hint="eastAsia"/>
                <w:bCs/>
                <w:sz w:val="24"/>
                <w:szCs w:val="24"/>
                <w:vertAlign w:val="superscript"/>
              </w:rPr>
              <w:t>3</w:t>
            </w:r>
            <w:r>
              <w:rPr>
                <w:bCs/>
                <w:sz w:val="24"/>
                <w:szCs w:val="24"/>
              </w:rPr>
              <w:t>/a</w:t>
            </w:r>
            <w:r>
              <w:rPr>
                <w:rFonts w:hint="eastAsia"/>
                <w:bCs/>
                <w:sz w:val="24"/>
                <w:szCs w:val="24"/>
              </w:rPr>
              <w:t>）</w:t>
            </w:r>
          </w:p>
          <w:p w14:paraId="1C617F37">
            <w:pPr>
              <w:spacing w:line="360" w:lineRule="auto"/>
              <w:ind w:firstLine="480" w:firstLineChars="200"/>
              <w:rPr>
                <w:kern w:val="18"/>
                <w:sz w:val="24"/>
                <w:szCs w:val="24"/>
              </w:rPr>
            </w:pPr>
            <w:r>
              <w:rPr>
                <w:rFonts w:hint="eastAsia"/>
                <w:kern w:val="18"/>
                <w:sz w:val="24"/>
                <w:szCs w:val="24"/>
              </w:rPr>
              <w:t>（2）冷却塔间接冷却用水</w:t>
            </w:r>
          </w:p>
          <w:p w14:paraId="2BB14999">
            <w:pPr>
              <w:spacing w:line="360" w:lineRule="auto"/>
              <w:ind w:firstLine="480" w:firstLineChars="200"/>
              <w:rPr>
                <w:kern w:val="18"/>
                <w:sz w:val="24"/>
                <w:szCs w:val="24"/>
              </w:rPr>
            </w:pPr>
            <w:r>
              <w:rPr>
                <w:rFonts w:hint="eastAsia"/>
                <w:kern w:val="18"/>
                <w:sz w:val="24"/>
                <w:szCs w:val="24"/>
              </w:rPr>
              <w:t>改扩建项目溶剂冷凝系统使用自来水进行间接冷却，无需添加矿物油、乳化液等冷却剂，间接冷却水通过冷却塔进行冷却后循环再用。改扩建项目配备1台冷却塔，冷却塔额定流量为120</w:t>
            </w:r>
            <w:r>
              <w:rPr>
                <w:kern w:val="18"/>
                <w:sz w:val="24"/>
                <w:szCs w:val="24"/>
              </w:rPr>
              <w:t>m</w:t>
            </w:r>
            <w:r>
              <w:rPr>
                <w:kern w:val="18"/>
                <w:sz w:val="24"/>
                <w:szCs w:val="24"/>
                <w:vertAlign w:val="superscript"/>
              </w:rPr>
              <w:t>3</w:t>
            </w:r>
            <w:r>
              <w:rPr>
                <w:rFonts w:hint="eastAsia"/>
                <w:kern w:val="18"/>
                <w:sz w:val="24"/>
                <w:szCs w:val="24"/>
              </w:rPr>
              <w:t>/h，每天工作24小时，年工作300天，则间接冷却水总循环量为2880</w:t>
            </w:r>
            <w:r>
              <w:rPr>
                <w:kern w:val="18"/>
                <w:sz w:val="24"/>
                <w:szCs w:val="24"/>
              </w:rPr>
              <w:t>m</w:t>
            </w:r>
            <w:r>
              <w:rPr>
                <w:kern w:val="18"/>
                <w:sz w:val="24"/>
                <w:szCs w:val="24"/>
                <w:vertAlign w:val="superscript"/>
              </w:rPr>
              <w:t>3</w:t>
            </w:r>
            <w:r>
              <w:rPr>
                <w:rFonts w:hint="eastAsia"/>
                <w:kern w:val="18"/>
                <w:sz w:val="24"/>
                <w:szCs w:val="24"/>
              </w:rPr>
              <w:t>/d（864000</w:t>
            </w:r>
            <w:r>
              <w:rPr>
                <w:kern w:val="18"/>
                <w:sz w:val="24"/>
                <w:szCs w:val="24"/>
              </w:rPr>
              <w:t>m</w:t>
            </w:r>
            <w:r>
              <w:rPr>
                <w:kern w:val="18"/>
                <w:sz w:val="24"/>
                <w:szCs w:val="24"/>
                <w:vertAlign w:val="superscript"/>
              </w:rPr>
              <w:t>3</w:t>
            </w:r>
            <w:r>
              <w:rPr>
                <w:rFonts w:hint="eastAsia"/>
                <w:kern w:val="18"/>
                <w:sz w:val="24"/>
                <w:szCs w:val="24"/>
              </w:rPr>
              <w:t>/a）。间接冷却水循环使用，仅需定期补充损耗。参考《建筑给水排水设计规范》（GB50015-2019）中冷却塔的补水系数，按循环水量的1%~2%确定，本项目按1%计算，则需补充损耗水量为28.8</w:t>
            </w:r>
            <w:r>
              <w:rPr>
                <w:kern w:val="18"/>
                <w:sz w:val="24"/>
                <w:szCs w:val="24"/>
              </w:rPr>
              <w:t>m</w:t>
            </w:r>
            <w:r>
              <w:rPr>
                <w:kern w:val="18"/>
                <w:sz w:val="24"/>
                <w:szCs w:val="24"/>
                <w:vertAlign w:val="superscript"/>
              </w:rPr>
              <w:t>3</w:t>
            </w:r>
            <w:r>
              <w:rPr>
                <w:rFonts w:hint="eastAsia"/>
                <w:kern w:val="18"/>
                <w:sz w:val="24"/>
                <w:szCs w:val="24"/>
              </w:rPr>
              <w:t>/d（8640</w:t>
            </w:r>
            <w:r>
              <w:rPr>
                <w:kern w:val="18"/>
                <w:sz w:val="24"/>
                <w:szCs w:val="24"/>
              </w:rPr>
              <w:t>m</w:t>
            </w:r>
            <w:r>
              <w:rPr>
                <w:kern w:val="18"/>
                <w:sz w:val="24"/>
                <w:szCs w:val="24"/>
                <w:vertAlign w:val="superscript"/>
              </w:rPr>
              <w:t>3</w:t>
            </w:r>
            <w:r>
              <w:rPr>
                <w:rFonts w:hint="eastAsia"/>
                <w:kern w:val="18"/>
                <w:sz w:val="24"/>
                <w:szCs w:val="24"/>
              </w:rPr>
              <w:t>/a）。</w:t>
            </w:r>
          </w:p>
          <w:p w14:paraId="7E3CD042">
            <w:pPr>
              <w:spacing w:line="360" w:lineRule="auto"/>
              <w:ind w:firstLine="480" w:firstLineChars="200"/>
              <w:rPr>
                <w:sz w:val="24"/>
                <w:szCs w:val="24"/>
              </w:rPr>
            </w:pPr>
            <w:r>
              <w:rPr>
                <w:rFonts w:hint="eastAsia"/>
                <w:sz w:val="24"/>
                <w:szCs w:val="24"/>
              </w:rPr>
              <w:t>（3）锅炉及工艺用水</w:t>
            </w:r>
          </w:p>
          <w:p w14:paraId="4CE95CA8">
            <w:pPr>
              <w:spacing w:line="360" w:lineRule="auto"/>
              <w:ind w:firstLine="480" w:firstLineChars="200"/>
              <w:rPr>
                <w:sz w:val="24"/>
                <w:szCs w:val="24"/>
              </w:rPr>
            </w:pPr>
            <w:r>
              <w:rPr>
                <w:rFonts w:hint="eastAsia"/>
                <w:sz w:val="24"/>
                <w:szCs w:val="24"/>
              </w:rPr>
              <w:t>①6</w:t>
            </w:r>
            <w:r>
              <w:rPr>
                <w:sz w:val="24"/>
                <w:szCs w:val="24"/>
              </w:rPr>
              <w:t>t/h</w:t>
            </w:r>
            <w:r>
              <w:rPr>
                <w:rFonts w:hint="eastAsia"/>
                <w:sz w:val="24"/>
                <w:szCs w:val="24"/>
              </w:rPr>
              <w:t>生物质锅炉</w:t>
            </w:r>
          </w:p>
          <w:p w14:paraId="5A711073">
            <w:pPr>
              <w:spacing w:line="360" w:lineRule="auto"/>
              <w:ind w:firstLine="480" w:firstLineChars="200"/>
              <w:rPr>
                <w:sz w:val="24"/>
                <w:szCs w:val="24"/>
              </w:rPr>
            </w:pPr>
            <w:r>
              <w:rPr>
                <w:rFonts w:hint="eastAsia"/>
                <w:sz w:val="24"/>
                <w:szCs w:val="24"/>
              </w:rPr>
              <w:t>改扩建项目新建</w:t>
            </w:r>
            <w:r>
              <w:rPr>
                <w:sz w:val="24"/>
                <w:szCs w:val="24"/>
              </w:rPr>
              <w:t>1</w:t>
            </w:r>
            <w:r>
              <w:rPr>
                <w:rFonts w:hint="eastAsia"/>
                <w:sz w:val="24"/>
                <w:szCs w:val="24"/>
              </w:rPr>
              <w:t>台6</w:t>
            </w:r>
            <w:r>
              <w:rPr>
                <w:sz w:val="24"/>
                <w:szCs w:val="24"/>
              </w:rPr>
              <w:t>t/h</w:t>
            </w:r>
            <w:r>
              <w:rPr>
                <w:rFonts w:hint="eastAsia"/>
                <w:sz w:val="24"/>
                <w:szCs w:val="24"/>
              </w:rPr>
              <w:t>的生物质锅炉取代厂区现有的</w:t>
            </w:r>
            <w:r>
              <w:rPr>
                <w:sz w:val="24"/>
                <w:szCs w:val="24"/>
              </w:rPr>
              <w:t>1</w:t>
            </w:r>
            <w:r>
              <w:rPr>
                <w:rFonts w:hint="eastAsia"/>
                <w:sz w:val="24"/>
                <w:szCs w:val="24"/>
              </w:rPr>
              <w:t>台2</w:t>
            </w:r>
            <w:r>
              <w:rPr>
                <w:sz w:val="24"/>
                <w:szCs w:val="24"/>
              </w:rPr>
              <w:t>t/h</w:t>
            </w:r>
            <w:r>
              <w:rPr>
                <w:rFonts w:hint="eastAsia"/>
                <w:sz w:val="24"/>
                <w:szCs w:val="24"/>
              </w:rPr>
              <w:t>的生物质锅炉作为生产供热，</w:t>
            </w:r>
            <w:r>
              <w:rPr>
                <w:rFonts w:hint="eastAsia"/>
                <w:sz w:val="24"/>
              </w:rPr>
              <w:t>日运行时间为10h/d。改扩建项目</w:t>
            </w:r>
            <w:r>
              <w:rPr>
                <w:rFonts w:hint="eastAsia"/>
                <w:sz w:val="24"/>
                <w:szCs w:val="24"/>
              </w:rPr>
              <w:t>浸出和蒸脱工序使用锅炉蒸汽（6000t/a）进行直接加热，该部分蒸汽随物料转移，最终经冷凝系统形成冷凝水。根据物料平衡，改扩建项目生产工艺过程冷凝水产生量为</w:t>
            </w:r>
            <w:r>
              <w:rPr>
                <w:rFonts w:hint="eastAsia"/>
                <w:kern w:val="18"/>
                <w:sz w:val="24"/>
                <w:szCs w:val="24"/>
              </w:rPr>
              <w:t>9.0</w:t>
            </w:r>
            <w:r>
              <w:rPr>
                <w:kern w:val="18"/>
                <w:sz w:val="24"/>
                <w:szCs w:val="24"/>
              </w:rPr>
              <w:t>m</w:t>
            </w:r>
            <w:r>
              <w:rPr>
                <w:kern w:val="18"/>
                <w:sz w:val="24"/>
                <w:szCs w:val="24"/>
                <w:vertAlign w:val="superscript"/>
              </w:rPr>
              <w:t>3</w:t>
            </w:r>
            <w:r>
              <w:rPr>
                <w:rFonts w:hint="eastAsia"/>
                <w:kern w:val="18"/>
                <w:sz w:val="24"/>
                <w:szCs w:val="24"/>
              </w:rPr>
              <w:t>/d（</w:t>
            </w:r>
            <w:r>
              <w:rPr>
                <w:rFonts w:hint="eastAsia"/>
                <w:sz w:val="24"/>
                <w:szCs w:val="24"/>
              </w:rPr>
              <w:t>2699.46</w:t>
            </w:r>
            <w:r>
              <w:rPr>
                <w:kern w:val="18"/>
                <w:sz w:val="24"/>
                <w:szCs w:val="24"/>
              </w:rPr>
              <w:t>m</w:t>
            </w:r>
            <w:r>
              <w:rPr>
                <w:kern w:val="18"/>
                <w:sz w:val="24"/>
                <w:szCs w:val="24"/>
                <w:vertAlign w:val="superscript"/>
              </w:rPr>
              <w:t>3</w:t>
            </w:r>
            <w:r>
              <w:rPr>
                <w:rFonts w:hint="eastAsia"/>
                <w:kern w:val="18"/>
                <w:sz w:val="24"/>
                <w:szCs w:val="24"/>
              </w:rPr>
              <w:t>/a），</w:t>
            </w:r>
            <w:r>
              <w:rPr>
                <w:rFonts w:hint="eastAsia" w:cs="Cambria Math"/>
                <w:sz w:val="24"/>
                <w:szCs w:val="24"/>
              </w:rPr>
              <w:t>回用于现有项目蒸炒。</w:t>
            </w:r>
            <w:r>
              <w:rPr>
                <w:rFonts w:hint="eastAsia"/>
                <w:sz w:val="24"/>
                <w:szCs w:val="24"/>
              </w:rPr>
              <w:t>蒸发工序使用蒸汽（6000t/a）间接加热，间接加热的蒸汽冷凝水返回锅炉循环使用。间接加热产生的蒸汽冷凝水损耗约5%，</w:t>
            </w:r>
            <w:r>
              <w:rPr>
                <w:sz w:val="24"/>
                <w:szCs w:val="24"/>
              </w:rPr>
              <w:t>根据建设单位</w:t>
            </w:r>
            <w:r>
              <w:rPr>
                <w:rFonts w:hint="eastAsia"/>
                <w:sz w:val="24"/>
                <w:szCs w:val="24"/>
              </w:rPr>
              <w:t>锅炉运行经验</w:t>
            </w:r>
            <w:r>
              <w:rPr>
                <w:sz w:val="24"/>
                <w:szCs w:val="24"/>
              </w:rPr>
              <w:t>，</w:t>
            </w:r>
            <w:r>
              <w:rPr>
                <w:rFonts w:hint="eastAsia"/>
                <w:sz w:val="24"/>
                <w:szCs w:val="24"/>
              </w:rPr>
              <w:t>6</w:t>
            </w:r>
            <w:r>
              <w:rPr>
                <w:sz w:val="24"/>
                <w:szCs w:val="24"/>
              </w:rPr>
              <w:t>t/h</w:t>
            </w:r>
            <w:r>
              <w:rPr>
                <w:rFonts w:hint="eastAsia"/>
                <w:sz w:val="24"/>
                <w:szCs w:val="24"/>
              </w:rPr>
              <w:t>的生物质锅炉</w:t>
            </w:r>
            <w:r>
              <w:rPr>
                <w:sz w:val="24"/>
                <w:szCs w:val="24"/>
              </w:rPr>
              <w:t>排污水量约0.0</w:t>
            </w:r>
            <w:r>
              <w:rPr>
                <w:rFonts w:hint="eastAsia"/>
                <w:kern w:val="18"/>
                <w:sz w:val="24"/>
                <w:szCs w:val="24"/>
              </w:rPr>
              <w:t>6</w:t>
            </w:r>
            <w:r>
              <w:rPr>
                <w:sz w:val="24"/>
                <w:szCs w:val="24"/>
              </w:rPr>
              <w:t>m</w:t>
            </w:r>
            <w:r>
              <w:rPr>
                <w:sz w:val="24"/>
                <w:szCs w:val="24"/>
                <w:vertAlign w:val="superscript"/>
              </w:rPr>
              <w:t>3</w:t>
            </w:r>
            <w:r>
              <w:rPr>
                <w:sz w:val="24"/>
                <w:szCs w:val="24"/>
              </w:rPr>
              <w:t>/d（</w:t>
            </w:r>
            <w:r>
              <w:rPr>
                <w:rFonts w:hint="eastAsia"/>
                <w:sz w:val="24"/>
                <w:szCs w:val="24"/>
              </w:rPr>
              <w:t>18</w:t>
            </w:r>
            <w:r>
              <w:rPr>
                <w:sz w:val="24"/>
                <w:szCs w:val="24"/>
              </w:rPr>
              <w:t>t/a）</w:t>
            </w:r>
            <w:r>
              <w:rPr>
                <w:rFonts w:hint="eastAsia"/>
                <w:sz w:val="24"/>
                <w:szCs w:val="24"/>
              </w:rPr>
              <w:t>，则改扩建项目锅炉生产用水（软水）补充量约为：6000</w:t>
            </w:r>
            <w:r>
              <w:rPr>
                <w:kern w:val="18"/>
                <w:sz w:val="24"/>
                <w:szCs w:val="24"/>
              </w:rPr>
              <w:t>m</w:t>
            </w:r>
            <w:r>
              <w:rPr>
                <w:kern w:val="18"/>
                <w:sz w:val="24"/>
                <w:szCs w:val="24"/>
                <w:vertAlign w:val="superscript"/>
              </w:rPr>
              <w:t>3</w:t>
            </w:r>
            <w:r>
              <w:rPr>
                <w:rFonts w:hint="eastAsia"/>
                <w:sz w:val="24"/>
                <w:szCs w:val="24"/>
              </w:rPr>
              <w:t>/a+6000</w:t>
            </w:r>
            <w:r>
              <w:rPr>
                <w:kern w:val="18"/>
                <w:sz w:val="24"/>
                <w:szCs w:val="24"/>
              </w:rPr>
              <w:t>m</w:t>
            </w:r>
            <w:r>
              <w:rPr>
                <w:kern w:val="18"/>
                <w:sz w:val="24"/>
                <w:szCs w:val="24"/>
                <w:vertAlign w:val="superscript"/>
              </w:rPr>
              <w:t>3</w:t>
            </w:r>
            <w:r>
              <w:rPr>
                <w:rFonts w:hint="eastAsia"/>
                <w:sz w:val="24"/>
                <w:szCs w:val="24"/>
              </w:rPr>
              <w:t xml:space="preserve">/a </w:t>
            </w:r>
            <w:r>
              <w:rPr>
                <w:sz w:val="24"/>
                <w:szCs w:val="24"/>
              </w:rPr>
              <w:t>×</w:t>
            </w:r>
            <w:r>
              <w:rPr>
                <w:rFonts w:hint="eastAsia"/>
                <w:sz w:val="24"/>
                <w:szCs w:val="24"/>
              </w:rPr>
              <w:t>0.05+12</w:t>
            </w:r>
            <w:r>
              <w:rPr>
                <w:sz w:val="24"/>
                <w:szCs w:val="24"/>
              </w:rPr>
              <w:t xml:space="preserve"> t/a</w:t>
            </w:r>
            <w:r>
              <w:rPr>
                <w:rFonts w:hint="eastAsia"/>
                <w:sz w:val="24"/>
                <w:szCs w:val="24"/>
              </w:rPr>
              <w:t xml:space="preserve"> =6312</w:t>
            </w:r>
            <w:r>
              <w:rPr>
                <w:kern w:val="18"/>
                <w:sz w:val="24"/>
                <w:szCs w:val="24"/>
              </w:rPr>
              <w:t xml:space="preserve"> m</w:t>
            </w:r>
            <w:r>
              <w:rPr>
                <w:kern w:val="18"/>
                <w:sz w:val="24"/>
                <w:szCs w:val="24"/>
                <w:vertAlign w:val="superscript"/>
              </w:rPr>
              <w:t>3</w:t>
            </w:r>
            <w:r>
              <w:rPr>
                <w:rFonts w:hint="eastAsia"/>
                <w:sz w:val="24"/>
                <w:szCs w:val="24"/>
              </w:rPr>
              <w:t>/a（21.04</w:t>
            </w:r>
            <w:r>
              <w:rPr>
                <w:kern w:val="18"/>
                <w:sz w:val="24"/>
                <w:szCs w:val="24"/>
              </w:rPr>
              <w:t>m</w:t>
            </w:r>
            <w:r>
              <w:rPr>
                <w:kern w:val="18"/>
                <w:sz w:val="24"/>
                <w:szCs w:val="24"/>
                <w:vertAlign w:val="superscript"/>
              </w:rPr>
              <w:t>3</w:t>
            </w:r>
            <w:r>
              <w:rPr>
                <w:sz w:val="24"/>
                <w:szCs w:val="24"/>
              </w:rPr>
              <w:t>/d</w:t>
            </w:r>
            <w:r>
              <w:rPr>
                <w:rFonts w:hint="eastAsia"/>
                <w:sz w:val="24"/>
                <w:szCs w:val="24"/>
              </w:rPr>
              <w:t>）。</w:t>
            </w:r>
            <w:r>
              <w:rPr>
                <w:sz w:val="24"/>
                <w:szCs w:val="24"/>
              </w:rPr>
              <w:t>软水制备系统的</w:t>
            </w:r>
            <w:r>
              <w:rPr>
                <w:rFonts w:hint="eastAsia"/>
                <w:sz w:val="24"/>
                <w:szCs w:val="24"/>
              </w:rPr>
              <w:t>软</w:t>
            </w:r>
            <w:r>
              <w:rPr>
                <w:sz w:val="24"/>
                <w:szCs w:val="24"/>
              </w:rPr>
              <w:t>水制备率</w:t>
            </w:r>
            <w:r>
              <w:rPr>
                <w:rFonts w:hint="eastAsia"/>
                <w:sz w:val="24"/>
                <w:szCs w:val="24"/>
              </w:rPr>
              <w:t>约</w:t>
            </w:r>
            <w:r>
              <w:rPr>
                <w:sz w:val="24"/>
                <w:szCs w:val="24"/>
              </w:rPr>
              <w:t>为70%，则</w:t>
            </w:r>
            <w:r>
              <w:rPr>
                <w:rFonts w:hint="eastAsia"/>
                <w:sz w:val="24"/>
                <w:szCs w:val="24"/>
              </w:rPr>
              <w:t>改扩建项目软水制备需</w:t>
            </w:r>
            <w:r>
              <w:rPr>
                <w:sz w:val="24"/>
                <w:szCs w:val="24"/>
              </w:rPr>
              <w:t>自来水用量为</w:t>
            </w:r>
            <w:r>
              <w:rPr>
                <w:rFonts w:hint="eastAsia"/>
                <w:sz w:val="24"/>
                <w:szCs w:val="24"/>
              </w:rPr>
              <w:t>30.06</w:t>
            </w:r>
            <w:r>
              <w:rPr>
                <w:kern w:val="18"/>
                <w:sz w:val="24"/>
                <w:szCs w:val="24"/>
              </w:rPr>
              <w:t>m</w:t>
            </w:r>
            <w:r>
              <w:rPr>
                <w:kern w:val="18"/>
                <w:sz w:val="24"/>
                <w:szCs w:val="24"/>
                <w:vertAlign w:val="superscript"/>
              </w:rPr>
              <w:t>3</w:t>
            </w:r>
            <w:r>
              <w:rPr>
                <w:sz w:val="24"/>
                <w:szCs w:val="24"/>
              </w:rPr>
              <w:t>/d（</w:t>
            </w:r>
            <w:r>
              <w:rPr>
                <w:rFonts w:hint="eastAsia"/>
                <w:sz w:val="24"/>
                <w:szCs w:val="24"/>
              </w:rPr>
              <w:t>9018</w:t>
            </w:r>
            <w:r>
              <w:rPr>
                <w:kern w:val="18"/>
                <w:sz w:val="24"/>
                <w:szCs w:val="24"/>
              </w:rPr>
              <w:t>m</w:t>
            </w:r>
            <w:r>
              <w:rPr>
                <w:kern w:val="18"/>
                <w:sz w:val="24"/>
                <w:szCs w:val="24"/>
                <w:vertAlign w:val="superscript"/>
              </w:rPr>
              <w:t>3</w:t>
            </w:r>
            <w:r>
              <w:rPr>
                <w:sz w:val="24"/>
                <w:szCs w:val="24"/>
              </w:rPr>
              <w:t>/a）。</w:t>
            </w:r>
            <w:r>
              <w:rPr>
                <w:rFonts w:hint="eastAsia"/>
                <w:sz w:val="24"/>
                <w:szCs w:val="24"/>
              </w:rPr>
              <w:t>改扩建</w:t>
            </w:r>
            <w:r>
              <w:rPr>
                <w:rFonts w:hint="eastAsia" w:cs="Cambria Math"/>
                <w:sz w:val="24"/>
                <w:szCs w:val="24"/>
              </w:rPr>
              <w:t>锅炉</w:t>
            </w:r>
            <w:r>
              <w:rPr>
                <w:rFonts w:cs="Cambria Math"/>
                <w:sz w:val="24"/>
                <w:szCs w:val="24"/>
              </w:rPr>
              <w:t>排污水及软水制备浓水</w:t>
            </w:r>
            <w:r>
              <w:rPr>
                <w:rFonts w:hint="eastAsia" w:cs="Cambria Math"/>
                <w:sz w:val="24"/>
                <w:szCs w:val="24"/>
              </w:rPr>
              <w:t>产生量为：</w:t>
            </w:r>
            <w:r>
              <w:rPr>
                <w:rFonts w:hint="eastAsia"/>
                <w:sz w:val="24"/>
                <w:szCs w:val="24"/>
              </w:rPr>
              <w:t xml:space="preserve">30.06 </w:t>
            </w:r>
            <w:r>
              <w:rPr>
                <w:kern w:val="18"/>
                <w:sz w:val="24"/>
                <w:szCs w:val="24"/>
              </w:rPr>
              <w:t>m</w:t>
            </w:r>
            <w:r>
              <w:rPr>
                <w:kern w:val="18"/>
                <w:sz w:val="24"/>
                <w:szCs w:val="24"/>
                <w:vertAlign w:val="superscript"/>
              </w:rPr>
              <w:t>3</w:t>
            </w:r>
            <w:r>
              <w:rPr>
                <w:sz w:val="24"/>
                <w:szCs w:val="24"/>
              </w:rPr>
              <w:t>/d×</w:t>
            </w:r>
            <w:r>
              <w:rPr>
                <w:rFonts w:hint="eastAsia"/>
                <w:sz w:val="24"/>
                <w:szCs w:val="24"/>
              </w:rPr>
              <w:t>0.3 +</w:t>
            </w:r>
            <w:r>
              <w:rPr>
                <w:sz w:val="24"/>
                <w:szCs w:val="24"/>
              </w:rPr>
              <w:t>0.0</w:t>
            </w:r>
            <w:r>
              <w:rPr>
                <w:rFonts w:hint="eastAsia"/>
                <w:kern w:val="18"/>
                <w:sz w:val="24"/>
                <w:szCs w:val="24"/>
              </w:rPr>
              <w:t>4</w:t>
            </w:r>
            <w:r>
              <w:rPr>
                <w:sz w:val="24"/>
                <w:szCs w:val="24"/>
              </w:rPr>
              <w:t>m</w:t>
            </w:r>
            <w:r>
              <w:rPr>
                <w:sz w:val="24"/>
                <w:szCs w:val="24"/>
                <w:vertAlign w:val="superscript"/>
              </w:rPr>
              <w:t>3</w:t>
            </w:r>
            <w:r>
              <w:rPr>
                <w:sz w:val="24"/>
                <w:szCs w:val="24"/>
              </w:rPr>
              <w:t>/d</w:t>
            </w:r>
            <w:r>
              <w:rPr>
                <w:rFonts w:hint="eastAsia"/>
                <w:sz w:val="24"/>
                <w:szCs w:val="24"/>
              </w:rPr>
              <w:t>=9.06</w:t>
            </w:r>
            <w:r>
              <w:rPr>
                <w:sz w:val="24"/>
                <w:szCs w:val="24"/>
              </w:rPr>
              <w:t xml:space="preserve"> m</w:t>
            </w:r>
            <w:r>
              <w:rPr>
                <w:sz w:val="24"/>
                <w:szCs w:val="24"/>
                <w:vertAlign w:val="superscript"/>
              </w:rPr>
              <w:t>3</w:t>
            </w:r>
            <w:r>
              <w:rPr>
                <w:sz w:val="24"/>
                <w:szCs w:val="24"/>
              </w:rPr>
              <w:t>/d（</w:t>
            </w:r>
            <w:r>
              <w:rPr>
                <w:rFonts w:hint="eastAsia"/>
                <w:sz w:val="24"/>
                <w:szCs w:val="24"/>
              </w:rPr>
              <w:t>2718</w:t>
            </w:r>
            <w:r>
              <w:rPr>
                <w:kern w:val="18"/>
                <w:sz w:val="24"/>
                <w:szCs w:val="24"/>
              </w:rPr>
              <w:t>m</w:t>
            </w:r>
            <w:r>
              <w:rPr>
                <w:kern w:val="18"/>
                <w:sz w:val="24"/>
                <w:szCs w:val="24"/>
                <w:vertAlign w:val="superscript"/>
              </w:rPr>
              <w:t>3</w:t>
            </w:r>
            <w:r>
              <w:rPr>
                <w:sz w:val="24"/>
                <w:szCs w:val="24"/>
              </w:rPr>
              <w:t>/a）。</w:t>
            </w:r>
          </w:p>
          <w:p w14:paraId="72F4E4C6">
            <w:pPr>
              <w:spacing w:line="360" w:lineRule="auto"/>
              <w:ind w:firstLine="480" w:firstLineChars="200"/>
              <w:rPr>
                <w:sz w:val="24"/>
                <w:szCs w:val="24"/>
              </w:rPr>
            </w:pPr>
            <w:r>
              <w:rPr>
                <w:rFonts w:hint="eastAsia"/>
                <w:sz w:val="24"/>
                <w:szCs w:val="24"/>
              </w:rPr>
              <w:t>现有项目蒸炒工序使用蒸汽（6000t/a）直接加热，现有项目锅炉生产用水（软水）补充量约为：6000</w:t>
            </w:r>
            <w:r>
              <w:rPr>
                <w:kern w:val="18"/>
                <w:sz w:val="24"/>
                <w:szCs w:val="24"/>
              </w:rPr>
              <w:t>m</w:t>
            </w:r>
            <w:r>
              <w:rPr>
                <w:kern w:val="18"/>
                <w:sz w:val="24"/>
                <w:szCs w:val="24"/>
                <w:vertAlign w:val="superscript"/>
              </w:rPr>
              <w:t>3</w:t>
            </w:r>
            <w:r>
              <w:rPr>
                <w:rFonts w:hint="eastAsia"/>
                <w:sz w:val="24"/>
                <w:szCs w:val="24"/>
              </w:rPr>
              <w:t>/a+6</w:t>
            </w:r>
            <w:r>
              <w:rPr>
                <w:sz w:val="24"/>
                <w:szCs w:val="24"/>
              </w:rPr>
              <w:t xml:space="preserve"> t/a</w:t>
            </w:r>
            <w:r>
              <w:rPr>
                <w:rFonts w:hint="eastAsia"/>
                <w:sz w:val="24"/>
                <w:szCs w:val="24"/>
              </w:rPr>
              <w:t xml:space="preserve"> =6006</w:t>
            </w:r>
            <w:r>
              <w:rPr>
                <w:kern w:val="18"/>
                <w:sz w:val="24"/>
                <w:szCs w:val="24"/>
              </w:rPr>
              <w:t>m</w:t>
            </w:r>
            <w:r>
              <w:rPr>
                <w:kern w:val="18"/>
                <w:sz w:val="24"/>
                <w:szCs w:val="24"/>
                <w:vertAlign w:val="superscript"/>
              </w:rPr>
              <w:t>3</w:t>
            </w:r>
            <w:r>
              <w:rPr>
                <w:rFonts w:hint="eastAsia"/>
                <w:sz w:val="24"/>
                <w:szCs w:val="24"/>
              </w:rPr>
              <w:t>/a（20.02</w:t>
            </w:r>
            <w:r>
              <w:rPr>
                <w:kern w:val="18"/>
                <w:sz w:val="24"/>
                <w:szCs w:val="24"/>
              </w:rPr>
              <w:t>m</w:t>
            </w:r>
            <w:r>
              <w:rPr>
                <w:kern w:val="18"/>
                <w:sz w:val="24"/>
                <w:szCs w:val="24"/>
                <w:vertAlign w:val="superscript"/>
              </w:rPr>
              <w:t>3</w:t>
            </w:r>
            <w:r>
              <w:rPr>
                <w:sz w:val="24"/>
                <w:szCs w:val="24"/>
              </w:rPr>
              <w:t>/d</w:t>
            </w:r>
            <w:r>
              <w:rPr>
                <w:rFonts w:hint="eastAsia"/>
                <w:sz w:val="24"/>
                <w:szCs w:val="24"/>
              </w:rPr>
              <w:t>），软水制备需</w:t>
            </w:r>
            <w:r>
              <w:rPr>
                <w:sz w:val="24"/>
                <w:szCs w:val="24"/>
              </w:rPr>
              <w:t>自来水用量为</w:t>
            </w:r>
            <w:r>
              <w:rPr>
                <w:rFonts w:hint="eastAsia"/>
                <w:sz w:val="24"/>
                <w:szCs w:val="24"/>
              </w:rPr>
              <w:t>28.6</w:t>
            </w:r>
            <w:r>
              <w:rPr>
                <w:kern w:val="18"/>
                <w:sz w:val="24"/>
                <w:szCs w:val="24"/>
              </w:rPr>
              <w:t>m</w:t>
            </w:r>
            <w:r>
              <w:rPr>
                <w:kern w:val="18"/>
                <w:sz w:val="24"/>
                <w:szCs w:val="24"/>
                <w:vertAlign w:val="superscript"/>
              </w:rPr>
              <w:t>3</w:t>
            </w:r>
            <w:r>
              <w:rPr>
                <w:sz w:val="24"/>
                <w:szCs w:val="24"/>
              </w:rPr>
              <w:t>/d（</w:t>
            </w:r>
            <w:r>
              <w:rPr>
                <w:rFonts w:hint="eastAsia"/>
                <w:sz w:val="24"/>
                <w:szCs w:val="24"/>
              </w:rPr>
              <w:t>8580</w:t>
            </w:r>
            <w:r>
              <w:rPr>
                <w:kern w:val="18"/>
                <w:sz w:val="24"/>
                <w:szCs w:val="24"/>
              </w:rPr>
              <w:t>m</w:t>
            </w:r>
            <w:r>
              <w:rPr>
                <w:kern w:val="18"/>
                <w:sz w:val="24"/>
                <w:szCs w:val="24"/>
                <w:vertAlign w:val="superscript"/>
              </w:rPr>
              <w:t>3</w:t>
            </w:r>
            <w:r>
              <w:rPr>
                <w:sz w:val="24"/>
                <w:szCs w:val="24"/>
              </w:rPr>
              <w:t>/a）</w:t>
            </w:r>
            <w:r>
              <w:rPr>
                <w:rFonts w:hint="eastAsia"/>
                <w:sz w:val="24"/>
                <w:szCs w:val="24"/>
              </w:rPr>
              <w:t>，</w:t>
            </w:r>
            <w:r>
              <w:rPr>
                <w:rFonts w:hint="eastAsia" w:cs="Cambria Math"/>
                <w:sz w:val="24"/>
                <w:szCs w:val="24"/>
              </w:rPr>
              <w:t>锅炉</w:t>
            </w:r>
            <w:r>
              <w:rPr>
                <w:rFonts w:cs="Cambria Math"/>
                <w:sz w:val="24"/>
                <w:szCs w:val="24"/>
              </w:rPr>
              <w:t>排污水及软水制备浓水</w:t>
            </w:r>
            <w:r>
              <w:rPr>
                <w:rFonts w:hint="eastAsia" w:cs="Cambria Math"/>
                <w:sz w:val="24"/>
                <w:szCs w:val="24"/>
              </w:rPr>
              <w:t>产生量为：</w:t>
            </w:r>
            <w:r>
              <w:rPr>
                <w:rFonts w:hint="eastAsia"/>
                <w:sz w:val="24"/>
                <w:szCs w:val="24"/>
              </w:rPr>
              <w:t>28.6</w:t>
            </w:r>
            <w:r>
              <w:rPr>
                <w:kern w:val="18"/>
                <w:sz w:val="24"/>
                <w:szCs w:val="24"/>
              </w:rPr>
              <w:t>m</w:t>
            </w:r>
            <w:r>
              <w:rPr>
                <w:kern w:val="18"/>
                <w:sz w:val="24"/>
                <w:szCs w:val="24"/>
                <w:vertAlign w:val="superscript"/>
              </w:rPr>
              <w:t>3</w:t>
            </w:r>
            <w:r>
              <w:rPr>
                <w:sz w:val="24"/>
                <w:szCs w:val="24"/>
              </w:rPr>
              <w:t>/d×</w:t>
            </w:r>
            <w:r>
              <w:rPr>
                <w:rFonts w:hint="eastAsia"/>
                <w:sz w:val="24"/>
                <w:szCs w:val="24"/>
              </w:rPr>
              <w:t>0.3 +</w:t>
            </w:r>
            <w:r>
              <w:rPr>
                <w:sz w:val="24"/>
                <w:szCs w:val="24"/>
              </w:rPr>
              <w:t>0.0</w:t>
            </w:r>
            <w:r>
              <w:rPr>
                <w:rFonts w:hint="eastAsia"/>
                <w:kern w:val="18"/>
                <w:sz w:val="24"/>
                <w:szCs w:val="24"/>
              </w:rPr>
              <w:t>2</w:t>
            </w:r>
            <w:r>
              <w:rPr>
                <w:sz w:val="24"/>
                <w:szCs w:val="24"/>
              </w:rPr>
              <w:t>m</w:t>
            </w:r>
            <w:r>
              <w:rPr>
                <w:sz w:val="24"/>
                <w:szCs w:val="24"/>
                <w:vertAlign w:val="superscript"/>
              </w:rPr>
              <w:t>3</w:t>
            </w:r>
            <w:r>
              <w:rPr>
                <w:sz w:val="24"/>
                <w:szCs w:val="24"/>
              </w:rPr>
              <w:t>/d</w:t>
            </w:r>
            <w:r>
              <w:rPr>
                <w:rFonts w:hint="eastAsia"/>
                <w:sz w:val="24"/>
                <w:szCs w:val="24"/>
              </w:rPr>
              <w:t>=8.6</w:t>
            </w:r>
            <w:r>
              <w:rPr>
                <w:sz w:val="24"/>
                <w:szCs w:val="24"/>
              </w:rPr>
              <w:t>m</w:t>
            </w:r>
            <w:r>
              <w:rPr>
                <w:sz w:val="24"/>
                <w:szCs w:val="24"/>
                <w:vertAlign w:val="superscript"/>
              </w:rPr>
              <w:t>3</w:t>
            </w:r>
            <w:r>
              <w:rPr>
                <w:sz w:val="24"/>
                <w:szCs w:val="24"/>
              </w:rPr>
              <w:t>/d（</w:t>
            </w:r>
            <w:r>
              <w:rPr>
                <w:rFonts w:hint="eastAsia"/>
                <w:sz w:val="24"/>
                <w:szCs w:val="24"/>
              </w:rPr>
              <w:t>2580</w:t>
            </w:r>
            <w:r>
              <w:rPr>
                <w:kern w:val="18"/>
                <w:sz w:val="24"/>
                <w:szCs w:val="24"/>
              </w:rPr>
              <w:t>m</w:t>
            </w:r>
            <w:r>
              <w:rPr>
                <w:kern w:val="18"/>
                <w:sz w:val="24"/>
                <w:szCs w:val="24"/>
                <w:vertAlign w:val="superscript"/>
              </w:rPr>
              <w:t>3</w:t>
            </w:r>
            <w:r>
              <w:rPr>
                <w:sz w:val="24"/>
                <w:szCs w:val="24"/>
              </w:rPr>
              <w:t>/a）。</w:t>
            </w:r>
          </w:p>
          <w:p w14:paraId="7BA621E2">
            <w:pPr>
              <w:spacing w:line="360" w:lineRule="auto"/>
              <w:ind w:firstLine="480" w:firstLineChars="200"/>
              <w:rPr>
                <w:sz w:val="24"/>
                <w:szCs w:val="24"/>
              </w:rPr>
            </w:pPr>
            <w:r>
              <w:rPr>
                <w:rFonts w:hint="eastAsia"/>
                <w:sz w:val="24"/>
                <w:szCs w:val="24"/>
              </w:rPr>
              <w:t>全厂锅炉生产用水（软水）补充量约为：6000</w:t>
            </w:r>
            <w:r>
              <w:rPr>
                <w:kern w:val="18"/>
                <w:sz w:val="24"/>
                <w:szCs w:val="24"/>
              </w:rPr>
              <w:t>m</w:t>
            </w:r>
            <w:r>
              <w:rPr>
                <w:kern w:val="18"/>
                <w:sz w:val="24"/>
                <w:szCs w:val="24"/>
                <w:vertAlign w:val="superscript"/>
              </w:rPr>
              <w:t>3</w:t>
            </w:r>
            <w:r>
              <w:rPr>
                <w:rFonts w:hint="eastAsia"/>
                <w:sz w:val="24"/>
                <w:szCs w:val="24"/>
              </w:rPr>
              <w:t xml:space="preserve">/a+6000 </w:t>
            </w:r>
            <w:r>
              <w:rPr>
                <w:kern w:val="18"/>
                <w:sz w:val="24"/>
                <w:szCs w:val="24"/>
              </w:rPr>
              <w:t>m</w:t>
            </w:r>
            <w:r>
              <w:rPr>
                <w:kern w:val="18"/>
                <w:sz w:val="24"/>
                <w:szCs w:val="24"/>
                <w:vertAlign w:val="superscript"/>
              </w:rPr>
              <w:t>3</w:t>
            </w:r>
            <w:r>
              <w:rPr>
                <w:rFonts w:hint="eastAsia"/>
                <w:sz w:val="24"/>
                <w:szCs w:val="24"/>
              </w:rPr>
              <w:t>/a</w:t>
            </w:r>
            <w:r>
              <w:rPr>
                <w:sz w:val="24"/>
                <w:szCs w:val="24"/>
              </w:rPr>
              <w:t>×</w:t>
            </w:r>
            <w:r>
              <w:rPr>
                <w:rFonts w:hint="eastAsia"/>
                <w:sz w:val="24"/>
                <w:szCs w:val="24"/>
              </w:rPr>
              <w:t>0.05+6000</w:t>
            </w:r>
            <w:r>
              <w:rPr>
                <w:kern w:val="18"/>
                <w:sz w:val="24"/>
                <w:szCs w:val="24"/>
              </w:rPr>
              <w:t>m</w:t>
            </w:r>
            <w:r>
              <w:rPr>
                <w:kern w:val="18"/>
                <w:sz w:val="24"/>
                <w:szCs w:val="24"/>
                <w:vertAlign w:val="superscript"/>
              </w:rPr>
              <w:t>3</w:t>
            </w:r>
            <w:r>
              <w:rPr>
                <w:rFonts w:hint="eastAsia"/>
                <w:sz w:val="24"/>
                <w:szCs w:val="24"/>
              </w:rPr>
              <w:t>/a +18</w:t>
            </w:r>
            <w:r>
              <w:rPr>
                <w:sz w:val="24"/>
                <w:szCs w:val="24"/>
              </w:rPr>
              <w:t>t/a</w:t>
            </w:r>
            <w:r>
              <w:rPr>
                <w:rFonts w:hint="eastAsia"/>
                <w:sz w:val="24"/>
                <w:szCs w:val="24"/>
              </w:rPr>
              <w:t xml:space="preserve"> =12318</w:t>
            </w:r>
            <w:r>
              <w:rPr>
                <w:kern w:val="18"/>
                <w:sz w:val="24"/>
                <w:szCs w:val="24"/>
              </w:rPr>
              <w:t>m</w:t>
            </w:r>
            <w:r>
              <w:rPr>
                <w:kern w:val="18"/>
                <w:sz w:val="24"/>
                <w:szCs w:val="24"/>
                <w:vertAlign w:val="superscript"/>
              </w:rPr>
              <w:t>3</w:t>
            </w:r>
            <w:r>
              <w:rPr>
                <w:rFonts w:hint="eastAsia"/>
                <w:sz w:val="24"/>
                <w:szCs w:val="24"/>
              </w:rPr>
              <w:t>/a（41.06</w:t>
            </w:r>
            <w:r>
              <w:rPr>
                <w:kern w:val="18"/>
                <w:sz w:val="24"/>
                <w:szCs w:val="24"/>
              </w:rPr>
              <w:t>m</w:t>
            </w:r>
            <w:r>
              <w:rPr>
                <w:kern w:val="18"/>
                <w:sz w:val="24"/>
                <w:szCs w:val="24"/>
                <w:vertAlign w:val="superscript"/>
              </w:rPr>
              <w:t>3</w:t>
            </w:r>
            <w:r>
              <w:rPr>
                <w:sz w:val="24"/>
                <w:szCs w:val="24"/>
              </w:rPr>
              <w:t>/d</w:t>
            </w:r>
            <w:r>
              <w:rPr>
                <w:rFonts w:hint="eastAsia"/>
                <w:sz w:val="24"/>
                <w:szCs w:val="24"/>
              </w:rPr>
              <w:t>），</w:t>
            </w:r>
            <w:r>
              <w:rPr>
                <w:sz w:val="24"/>
                <w:szCs w:val="24"/>
              </w:rPr>
              <w:t>自来水用量为</w:t>
            </w:r>
            <w:r>
              <w:rPr>
                <w:rFonts w:hint="eastAsia"/>
                <w:sz w:val="24"/>
                <w:szCs w:val="24"/>
              </w:rPr>
              <w:t>58.66</w:t>
            </w:r>
            <w:r>
              <w:rPr>
                <w:kern w:val="18"/>
                <w:sz w:val="24"/>
                <w:szCs w:val="24"/>
              </w:rPr>
              <w:t>m</w:t>
            </w:r>
            <w:r>
              <w:rPr>
                <w:kern w:val="18"/>
                <w:sz w:val="24"/>
                <w:szCs w:val="24"/>
                <w:vertAlign w:val="superscript"/>
              </w:rPr>
              <w:t>3</w:t>
            </w:r>
            <w:r>
              <w:rPr>
                <w:sz w:val="24"/>
                <w:szCs w:val="24"/>
              </w:rPr>
              <w:t>/d（</w:t>
            </w:r>
            <w:r>
              <w:rPr>
                <w:rFonts w:hint="eastAsia"/>
                <w:sz w:val="24"/>
                <w:szCs w:val="24"/>
              </w:rPr>
              <w:t>17598</w:t>
            </w:r>
            <w:r>
              <w:rPr>
                <w:kern w:val="18"/>
                <w:sz w:val="24"/>
                <w:szCs w:val="24"/>
              </w:rPr>
              <w:t>m</w:t>
            </w:r>
            <w:r>
              <w:rPr>
                <w:kern w:val="18"/>
                <w:sz w:val="24"/>
                <w:szCs w:val="24"/>
                <w:vertAlign w:val="superscript"/>
              </w:rPr>
              <w:t>3</w:t>
            </w:r>
            <w:r>
              <w:rPr>
                <w:sz w:val="24"/>
                <w:szCs w:val="24"/>
              </w:rPr>
              <w:t>/a）</w:t>
            </w:r>
            <w:r>
              <w:rPr>
                <w:rFonts w:hint="eastAsia"/>
                <w:sz w:val="24"/>
                <w:szCs w:val="24"/>
              </w:rPr>
              <w:t>，</w:t>
            </w:r>
            <w:r>
              <w:rPr>
                <w:rFonts w:hint="eastAsia" w:cs="Cambria Math"/>
                <w:sz w:val="24"/>
                <w:szCs w:val="24"/>
              </w:rPr>
              <w:t>锅炉</w:t>
            </w:r>
            <w:r>
              <w:rPr>
                <w:rFonts w:cs="Cambria Math"/>
                <w:sz w:val="24"/>
                <w:szCs w:val="24"/>
              </w:rPr>
              <w:t>排污水及软水制备浓水</w:t>
            </w:r>
            <w:r>
              <w:rPr>
                <w:rFonts w:hint="eastAsia" w:cs="Cambria Math"/>
                <w:sz w:val="24"/>
                <w:szCs w:val="24"/>
              </w:rPr>
              <w:t>产生量为：</w:t>
            </w:r>
            <w:r>
              <w:rPr>
                <w:rFonts w:hint="eastAsia"/>
                <w:sz w:val="24"/>
                <w:szCs w:val="24"/>
              </w:rPr>
              <w:t>56.66</w:t>
            </w:r>
            <w:r>
              <w:rPr>
                <w:kern w:val="18"/>
                <w:sz w:val="24"/>
                <w:szCs w:val="24"/>
              </w:rPr>
              <w:t>m</w:t>
            </w:r>
            <w:r>
              <w:rPr>
                <w:kern w:val="18"/>
                <w:sz w:val="24"/>
                <w:szCs w:val="24"/>
                <w:vertAlign w:val="superscript"/>
              </w:rPr>
              <w:t>3</w:t>
            </w:r>
            <w:r>
              <w:rPr>
                <w:sz w:val="24"/>
                <w:szCs w:val="24"/>
              </w:rPr>
              <w:t>/d</w:t>
            </w:r>
            <w:r>
              <w:rPr>
                <w:rFonts w:hint="eastAsia"/>
                <w:sz w:val="24"/>
                <w:szCs w:val="24"/>
              </w:rPr>
              <w:t xml:space="preserve"> </w:t>
            </w:r>
            <w:r>
              <w:rPr>
                <w:sz w:val="24"/>
                <w:szCs w:val="24"/>
              </w:rPr>
              <w:t>×</w:t>
            </w:r>
            <w:r>
              <w:rPr>
                <w:rFonts w:hint="eastAsia"/>
                <w:sz w:val="24"/>
                <w:szCs w:val="24"/>
              </w:rPr>
              <w:t>0.3 +</w:t>
            </w:r>
            <w:r>
              <w:rPr>
                <w:sz w:val="24"/>
                <w:szCs w:val="24"/>
              </w:rPr>
              <w:t>0.0</w:t>
            </w:r>
            <w:r>
              <w:rPr>
                <w:rFonts w:hint="eastAsia"/>
                <w:kern w:val="18"/>
                <w:sz w:val="24"/>
                <w:szCs w:val="24"/>
              </w:rPr>
              <w:t>6</w:t>
            </w:r>
            <w:r>
              <w:rPr>
                <w:sz w:val="24"/>
                <w:szCs w:val="24"/>
              </w:rPr>
              <w:t>m</w:t>
            </w:r>
            <w:r>
              <w:rPr>
                <w:sz w:val="24"/>
                <w:szCs w:val="24"/>
                <w:vertAlign w:val="superscript"/>
              </w:rPr>
              <w:t>3</w:t>
            </w:r>
            <w:r>
              <w:rPr>
                <w:sz w:val="24"/>
                <w:szCs w:val="24"/>
              </w:rPr>
              <w:t>/d</w:t>
            </w:r>
            <w:r>
              <w:rPr>
                <w:rFonts w:hint="eastAsia"/>
                <w:sz w:val="24"/>
                <w:szCs w:val="24"/>
              </w:rPr>
              <w:t>=17.66</w:t>
            </w:r>
            <w:r>
              <w:rPr>
                <w:sz w:val="24"/>
                <w:szCs w:val="24"/>
              </w:rPr>
              <w:t>m</w:t>
            </w:r>
            <w:r>
              <w:rPr>
                <w:sz w:val="24"/>
                <w:szCs w:val="24"/>
                <w:vertAlign w:val="superscript"/>
              </w:rPr>
              <w:t>3</w:t>
            </w:r>
            <w:r>
              <w:rPr>
                <w:sz w:val="24"/>
                <w:szCs w:val="24"/>
              </w:rPr>
              <w:t>/d（</w:t>
            </w:r>
            <w:r>
              <w:rPr>
                <w:rFonts w:hint="eastAsia"/>
                <w:sz w:val="24"/>
                <w:szCs w:val="24"/>
              </w:rPr>
              <w:t>5298</w:t>
            </w:r>
            <w:r>
              <w:rPr>
                <w:kern w:val="18"/>
                <w:sz w:val="24"/>
                <w:szCs w:val="24"/>
              </w:rPr>
              <w:t>m</w:t>
            </w:r>
            <w:r>
              <w:rPr>
                <w:kern w:val="18"/>
                <w:sz w:val="24"/>
                <w:szCs w:val="24"/>
                <w:vertAlign w:val="superscript"/>
              </w:rPr>
              <w:t>3</w:t>
            </w:r>
            <w:r>
              <w:rPr>
                <w:sz w:val="24"/>
                <w:szCs w:val="24"/>
              </w:rPr>
              <w:t>/a）。</w:t>
            </w:r>
          </w:p>
          <w:p w14:paraId="0333B0BB">
            <w:pPr>
              <w:spacing w:line="360" w:lineRule="auto"/>
              <w:ind w:firstLine="480" w:firstLineChars="200"/>
              <w:rPr>
                <w:sz w:val="24"/>
                <w:szCs w:val="24"/>
              </w:rPr>
            </w:pPr>
            <w:r>
              <w:rPr>
                <w:rFonts w:hint="eastAsia"/>
                <w:sz w:val="24"/>
                <w:szCs w:val="24"/>
              </w:rPr>
              <w:t>②年加工6万吨废白土项目（已批已投产）工艺用水</w:t>
            </w:r>
          </w:p>
          <w:p w14:paraId="05FB3195">
            <w:pPr>
              <w:spacing w:line="360" w:lineRule="auto"/>
              <w:ind w:firstLine="480" w:firstLineChars="200"/>
              <w:rPr>
                <w:bCs/>
                <w:sz w:val="24"/>
                <w:szCs w:val="24"/>
              </w:rPr>
            </w:pPr>
            <w:r>
              <w:rPr>
                <w:rFonts w:hint="eastAsia"/>
                <w:bCs/>
                <w:sz w:val="24"/>
                <w:szCs w:val="24"/>
              </w:rPr>
              <w:t>现有项目废白土加工过程中，使用蒸汽直接加热，蒸炒工序需加水湿润废白土，加水量约为废白土质量的35%，即21000</w:t>
            </w:r>
            <w:r>
              <w:rPr>
                <w:sz w:val="24"/>
                <w:szCs w:val="24"/>
              </w:rPr>
              <w:t>m</w:t>
            </w:r>
            <w:r>
              <w:rPr>
                <w:sz w:val="24"/>
                <w:szCs w:val="24"/>
                <w:vertAlign w:val="superscript"/>
              </w:rPr>
              <w:t>3</w:t>
            </w:r>
            <w:r>
              <w:rPr>
                <w:sz w:val="24"/>
                <w:szCs w:val="24"/>
              </w:rPr>
              <w:t>/</w:t>
            </w:r>
            <w:r>
              <w:rPr>
                <w:rFonts w:hint="eastAsia"/>
                <w:sz w:val="24"/>
                <w:szCs w:val="24"/>
              </w:rPr>
              <w:t>a</w:t>
            </w:r>
            <w:r>
              <w:rPr>
                <w:sz w:val="24"/>
                <w:szCs w:val="24"/>
              </w:rPr>
              <w:t>（</w:t>
            </w:r>
            <w:r>
              <w:rPr>
                <w:rFonts w:hint="eastAsia"/>
                <w:sz w:val="24"/>
                <w:szCs w:val="24"/>
              </w:rPr>
              <w:t>70</w:t>
            </w:r>
            <w:r>
              <w:rPr>
                <w:kern w:val="18"/>
                <w:sz w:val="24"/>
                <w:szCs w:val="24"/>
              </w:rPr>
              <w:t>m</w:t>
            </w:r>
            <w:r>
              <w:rPr>
                <w:kern w:val="18"/>
                <w:sz w:val="24"/>
                <w:szCs w:val="24"/>
                <w:vertAlign w:val="superscript"/>
              </w:rPr>
              <w:t>3</w:t>
            </w:r>
            <w:r>
              <w:rPr>
                <w:sz w:val="24"/>
                <w:szCs w:val="24"/>
              </w:rPr>
              <w:t>/d）</w:t>
            </w:r>
            <w:r>
              <w:rPr>
                <w:rFonts w:hint="eastAsia"/>
                <w:bCs/>
                <w:sz w:val="24"/>
                <w:szCs w:val="24"/>
              </w:rPr>
              <w:t>。废白土湿润所加入的水来自压榨工序后油水分离出来的回用水、现有</w:t>
            </w:r>
            <w:r>
              <w:rPr>
                <w:rFonts w:hint="eastAsia"/>
                <w:sz w:val="24"/>
                <w:szCs w:val="24"/>
              </w:rPr>
              <w:t>2</w:t>
            </w:r>
            <w:r>
              <w:rPr>
                <w:sz w:val="24"/>
                <w:szCs w:val="24"/>
              </w:rPr>
              <w:t>t/h</w:t>
            </w:r>
            <w:r>
              <w:rPr>
                <w:rFonts w:hint="eastAsia"/>
                <w:sz w:val="24"/>
                <w:szCs w:val="24"/>
              </w:rPr>
              <w:t>生物质锅炉</w:t>
            </w:r>
            <w:r>
              <w:rPr>
                <w:rFonts w:hint="eastAsia"/>
                <w:bCs/>
                <w:sz w:val="24"/>
                <w:szCs w:val="24"/>
              </w:rPr>
              <w:t>排污水+软水制备浓水及自来水。根据废白土和产品检测报告，废白土含水率为3.6%，产品油脂含水率为1.3%；生产过程损耗量约为10%，现有项目白土渣产生量约62400t/a，含水率约为30%，则油水分离产生的废水量=（废白土含水量+废白土湿润加水量+蒸汽带入水量）</w:t>
            </w:r>
            <w:r>
              <w:rPr>
                <w:bCs/>
                <w:sz w:val="24"/>
                <w:szCs w:val="24"/>
              </w:rPr>
              <w:t>×</w:t>
            </w:r>
            <w:r>
              <w:rPr>
                <w:rFonts w:hint="eastAsia"/>
                <w:bCs/>
                <w:sz w:val="24"/>
                <w:szCs w:val="24"/>
              </w:rPr>
              <w:t>（1-损耗率）-产品油脂含水量-白土渣含水量=（60000t</w:t>
            </w:r>
            <w:r>
              <w:rPr>
                <w:bCs/>
                <w:sz w:val="24"/>
                <w:szCs w:val="24"/>
              </w:rPr>
              <w:t>×</w:t>
            </w:r>
            <w:r>
              <w:rPr>
                <w:rFonts w:hint="eastAsia"/>
                <w:bCs/>
                <w:sz w:val="24"/>
                <w:szCs w:val="24"/>
              </w:rPr>
              <w:t>3.6%+21000</w:t>
            </w:r>
            <w:r>
              <w:rPr>
                <w:sz w:val="24"/>
                <w:szCs w:val="24"/>
              </w:rPr>
              <w:t>m</w:t>
            </w:r>
            <w:r>
              <w:rPr>
                <w:sz w:val="24"/>
                <w:szCs w:val="24"/>
                <w:vertAlign w:val="superscript"/>
              </w:rPr>
              <w:t>3</w:t>
            </w:r>
            <w:r>
              <w:rPr>
                <w:rFonts w:hint="eastAsia"/>
                <w:bCs/>
                <w:sz w:val="24"/>
                <w:szCs w:val="24"/>
              </w:rPr>
              <w:t>+6000</w:t>
            </w:r>
            <w:r>
              <w:rPr>
                <w:sz w:val="24"/>
                <w:szCs w:val="24"/>
              </w:rPr>
              <w:t>m</w:t>
            </w:r>
            <w:r>
              <w:rPr>
                <w:sz w:val="24"/>
                <w:szCs w:val="24"/>
                <w:vertAlign w:val="superscript"/>
              </w:rPr>
              <w:t>3</w:t>
            </w:r>
            <w:r>
              <w:rPr>
                <w:rFonts w:hint="eastAsia"/>
                <w:bCs/>
                <w:sz w:val="24"/>
                <w:szCs w:val="24"/>
              </w:rPr>
              <w:t>）</w:t>
            </w:r>
            <w:r>
              <w:rPr>
                <w:bCs/>
                <w:sz w:val="24"/>
                <w:szCs w:val="24"/>
              </w:rPr>
              <w:t>×</w:t>
            </w:r>
            <w:r>
              <w:rPr>
                <w:rFonts w:hint="eastAsia"/>
                <w:bCs/>
                <w:sz w:val="24"/>
                <w:szCs w:val="24"/>
              </w:rPr>
              <w:t>（1-10%）-10500t</w:t>
            </w:r>
            <w:r>
              <w:rPr>
                <w:bCs/>
                <w:sz w:val="24"/>
                <w:szCs w:val="24"/>
              </w:rPr>
              <w:t>×</w:t>
            </w:r>
            <w:r>
              <w:rPr>
                <w:rFonts w:hint="eastAsia"/>
                <w:bCs/>
                <w:sz w:val="24"/>
                <w:szCs w:val="24"/>
              </w:rPr>
              <w:t>1.3%-62400t</w:t>
            </w:r>
            <w:r>
              <w:rPr>
                <w:bCs/>
                <w:sz w:val="24"/>
                <w:szCs w:val="24"/>
              </w:rPr>
              <w:t>×</w:t>
            </w:r>
            <w:r>
              <w:rPr>
                <w:rFonts w:hint="eastAsia"/>
                <w:bCs/>
                <w:sz w:val="24"/>
                <w:szCs w:val="24"/>
              </w:rPr>
              <w:t>30%=7387.5m</w:t>
            </w:r>
            <w:r>
              <w:rPr>
                <w:rFonts w:hint="eastAsia"/>
                <w:bCs/>
                <w:sz w:val="24"/>
                <w:szCs w:val="24"/>
                <w:vertAlign w:val="superscript"/>
              </w:rPr>
              <w:t>3</w:t>
            </w:r>
            <w:r>
              <w:rPr>
                <w:rFonts w:hint="eastAsia"/>
                <w:bCs/>
                <w:sz w:val="24"/>
                <w:szCs w:val="24"/>
              </w:rPr>
              <w:t>/a（24.63m</w:t>
            </w:r>
            <w:r>
              <w:rPr>
                <w:rFonts w:hint="eastAsia"/>
                <w:bCs/>
                <w:sz w:val="24"/>
                <w:szCs w:val="24"/>
                <w:vertAlign w:val="superscript"/>
              </w:rPr>
              <w:t>3</w:t>
            </w:r>
            <w:r>
              <w:rPr>
                <w:rFonts w:hint="eastAsia"/>
                <w:bCs/>
                <w:sz w:val="24"/>
                <w:szCs w:val="24"/>
              </w:rPr>
              <w:t>/d）。现有</w:t>
            </w:r>
            <w:r>
              <w:rPr>
                <w:rFonts w:hint="eastAsia"/>
                <w:sz w:val="24"/>
                <w:szCs w:val="24"/>
              </w:rPr>
              <w:t>2</w:t>
            </w:r>
            <w:r>
              <w:rPr>
                <w:sz w:val="24"/>
                <w:szCs w:val="24"/>
              </w:rPr>
              <w:t>t/h</w:t>
            </w:r>
            <w:r>
              <w:rPr>
                <w:rFonts w:hint="eastAsia"/>
                <w:sz w:val="24"/>
                <w:szCs w:val="24"/>
              </w:rPr>
              <w:t>生物质锅炉</w:t>
            </w:r>
            <w:r>
              <w:rPr>
                <w:rFonts w:hint="eastAsia"/>
                <w:bCs/>
                <w:sz w:val="24"/>
                <w:szCs w:val="24"/>
              </w:rPr>
              <w:t>排污水+软水制备浓水产生量为</w:t>
            </w:r>
            <w:r>
              <w:rPr>
                <w:rFonts w:hint="eastAsia"/>
                <w:sz w:val="24"/>
                <w:szCs w:val="24"/>
              </w:rPr>
              <w:t>2580</w:t>
            </w:r>
            <w:r>
              <w:rPr>
                <w:sz w:val="24"/>
                <w:szCs w:val="24"/>
              </w:rPr>
              <w:t>m</w:t>
            </w:r>
            <w:r>
              <w:rPr>
                <w:sz w:val="24"/>
                <w:szCs w:val="24"/>
                <w:vertAlign w:val="superscript"/>
              </w:rPr>
              <w:t>3</w:t>
            </w:r>
            <w:r>
              <w:rPr>
                <w:sz w:val="24"/>
                <w:szCs w:val="24"/>
              </w:rPr>
              <w:t>/</w:t>
            </w:r>
            <w:r>
              <w:rPr>
                <w:rFonts w:hint="eastAsia"/>
                <w:sz w:val="24"/>
                <w:szCs w:val="24"/>
              </w:rPr>
              <w:t>a</w:t>
            </w:r>
            <w:r>
              <w:rPr>
                <w:sz w:val="24"/>
                <w:szCs w:val="24"/>
              </w:rPr>
              <w:t>（</w:t>
            </w:r>
            <w:r>
              <w:rPr>
                <w:rFonts w:hint="eastAsia"/>
                <w:sz w:val="24"/>
                <w:szCs w:val="24"/>
              </w:rPr>
              <w:t>8.6</w:t>
            </w:r>
            <w:r>
              <w:rPr>
                <w:kern w:val="18"/>
                <w:sz w:val="24"/>
                <w:szCs w:val="24"/>
              </w:rPr>
              <w:t>m</w:t>
            </w:r>
            <w:r>
              <w:rPr>
                <w:kern w:val="18"/>
                <w:sz w:val="24"/>
                <w:szCs w:val="24"/>
                <w:vertAlign w:val="superscript"/>
              </w:rPr>
              <w:t>3</w:t>
            </w:r>
            <w:r>
              <w:rPr>
                <w:sz w:val="24"/>
                <w:szCs w:val="24"/>
              </w:rPr>
              <w:t>/d）</w:t>
            </w:r>
            <w:r>
              <w:rPr>
                <w:rFonts w:hint="eastAsia"/>
                <w:sz w:val="24"/>
                <w:szCs w:val="24"/>
              </w:rPr>
              <w:t>，</w:t>
            </w:r>
            <w:r>
              <w:rPr>
                <w:rFonts w:hint="eastAsia"/>
                <w:bCs/>
                <w:sz w:val="24"/>
                <w:szCs w:val="24"/>
              </w:rPr>
              <w:t>则现有废白土加工生产线新鲜自来水用量=21000m</w:t>
            </w:r>
            <w:r>
              <w:rPr>
                <w:rFonts w:hint="eastAsia"/>
                <w:bCs/>
                <w:sz w:val="24"/>
                <w:szCs w:val="24"/>
                <w:vertAlign w:val="superscript"/>
              </w:rPr>
              <w:t>3</w:t>
            </w:r>
            <w:r>
              <w:rPr>
                <w:rFonts w:hint="eastAsia"/>
                <w:bCs/>
                <w:sz w:val="24"/>
                <w:szCs w:val="24"/>
              </w:rPr>
              <w:t>-7387.5m</w:t>
            </w:r>
            <w:r>
              <w:rPr>
                <w:rFonts w:hint="eastAsia"/>
                <w:bCs/>
                <w:sz w:val="24"/>
                <w:szCs w:val="24"/>
                <w:vertAlign w:val="superscript"/>
              </w:rPr>
              <w:t>3</w:t>
            </w:r>
            <w:r>
              <w:rPr>
                <w:rFonts w:hint="eastAsia"/>
                <w:bCs/>
                <w:sz w:val="24"/>
                <w:szCs w:val="24"/>
              </w:rPr>
              <w:t>-</w:t>
            </w:r>
            <w:r>
              <w:rPr>
                <w:rFonts w:hint="eastAsia"/>
                <w:sz w:val="24"/>
                <w:szCs w:val="24"/>
              </w:rPr>
              <w:t>2580</w:t>
            </w:r>
            <w:r>
              <w:rPr>
                <w:sz w:val="24"/>
                <w:szCs w:val="24"/>
              </w:rPr>
              <w:t>m</w:t>
            </w:r>
            <w:r>
              <w:rPr>
                <w:sz w:val="24"/>
                <w:szCs w:val="24"/>
                <w:vertAlign w:val="superscript"/>
              </w:rPr>
              <w:t>3</w:t>
            </w:r>
            <w:r>
              <w:rPr>
                <w:rFonts w:hint="eastAsia"/>
                <w:bCs/>
                <w:sz w:val="24"/>
                <w:szCs w:val="24"/>
              </w:rPr>
              <w:t>=11032.5m</w:t>
            </w:r>
            <w:r>
              <w:rPr>
                <w:rFonts w:hint="eastAsia"/>
                <w:bCs/>
                <w:sz w:val="24"/>
                <w:szCs w:val="24"/>
                <w:vertAlign w:val="superscript"/>
              </w:rPr>
              <w:t>3</w:t>
            </w:r>
            <w:r>
              <w:rPr>
                <w:rFonts w:hint="eastAsia"/>
                <w:bCs/>
                <w:sz w:val="24"/>
                <w:szCs w:val="24"/>
              </w:rPr>
              <w:t>/年（36.77m</w:t>
            </w:r>
            <w:r>
              <w:rPr>
                <w:rFonts w:hint="eastAsia"/>
                <w:bCs/>
                <w:sz w:val="24"/>
                <w:szCs w:val="24"/>
                <w:vertAlign w:val="superscript"/>
              </w:rPr>
              <w:t>3</w:t>
            </w:r>
            <w:r>
              <w:rPr>
                <w:rFonts w:hint="eastAsia"/>
                <w:bCs/>
                <w:sz w:val="24"/>
                <w:szCs w:val="24"/>
              </w:rPr>
              <w:t>/d）。</w:t>
            </w:r>
          </w:p>
          <w:p w14:paraId="511E4293">
            <w:pPr>
              <w:spacing w:line="360" w:lineRule="auto"/>
              <w:ind w:firstLine="480" w:firstLineChars="200"/>
              <w:rPr>
                <w:sz w:val="24"/>
                <w:szCs w:val="24"/>
              </w:rPr>
            </w:pPr>
            <w:r>
              <w:rPr>
                <w:rFonts w:hint="eastAsia"/>
                <w:sz w:val="24"/>
                <w:szCs w:val="24"/>
              </w:rPr>
              <w:t>③年加工2万吨皂脚项目（已批未建）废水</w:t>
            </w:r>
          </w:p>
          <w:p w14:paraId="0E308F88">
            <w:pPr>
              <w:spacing w:line="360" w:lineRule="auto"/>
              <w:ind w:firstLine="480" w:firstLineChars="200"/>
              <w:rPr>
                <w:bCs/>
                <w:sz w:val="24"/>
                <w:szCs w:val="24"/>
              </w:rPr>
            </w:pPr>
            <w:r>
              <w:rPr>
                <w:rFonts w:hint="eastAsia"/>
                <w:sz w:val="24"/>
              </w:rPr>
              <w:t>废皂脚加工过程无需加入，油水分离工序会将其中的水分分离出来。根据《惠州市耀坤环保科技有限公司年加工6万吨废白土及2万吨废皂脚项目环境影响报告书》，废皂脚原料带入水量为4545</w:t>
            </w:r>
            <w:r>
              <w:rPr>
                <w:rFonts w:hint="eastAsia"/>
                <w:bCs/>
                <w:sz w:val="24"/>
                <w:szCs w:val="24"/>
              </w:rPr>
              <w:t>m</w:t>
            </w:r>
            <w:r>
              <w:rPr>
                <w:rFonts w:hint="eastAsia"/>
                <w:bCs/>
                <w:sz w:val="24"/>
                <w:szCs w:val="24"/>
                <w:vertAlign w:val="superscript"/>
              </w:rPr>
              <w:t>3</w:t>
            </w:r>
            <w:r>
              <w:rPr>
                <w:rFonts w:hint="eastAsia"/>
                <w:bCs/>
                <w:sz w:val="24"/>
                <w:szCs w:val="24"/>
              </w:rPr>
              <w:t>/年（</w:t>
            </w:r>
            <w:r>
              <w:rPr>
                <w:rFonts w:hint="eastAsia"/>
                <w:sz w:val="24"/>
              </w:rPr>
              <w:t>15.15</w:t>
            </w:r>
            <w:r>
              <w:rPr>
                <w:rFonts w:hint="eastAsia"/>
                <w:bCs/>
                <w:sz w:val="24"/>
                <w:szCs w:val="24"/>
              </w:rPr>
              <w:t xml:space="preserve"> m</w:t>
            </w:r>
            <w:r>
              <w:rPr>
                <w:rFonts w:hint="eastAsia"/>
                <w:bCs/>
                <w:sz w:val="24"/>
                <w:szCs w:val="24"/>
                <w:vertAlign w:val="superscript"/>
              </w:rPr>
              <w:t>3</w:t>
            </w:r>
            <w:r>
              <w:rPr>
                <w:rFonts w:hint="eastAsia"/>
                <w:bCs/>
                <w:sz w:val="24"/>
                <w:szCs w:val="24"/>
              </w:rPr>
              <w:t>/d），辅料硫酸带入水量</w:t>
            </w:r>
            <w:r>
              <w:rPr>
                <w:rFonts w:hint="eastAsia"/>
                <w:sz w:val="24"/>
              </w:rPr>
              <w:t>4</w:t>
            </w:r>
            <w:r>
              <w:rPr>
                <w:rFonts w:hint="eastAsia"/>
                <w:bCs/>
                <w:sz w:val="24"/>
                <w:szCs w:val="24"/>
              </w:rPr>
              <w:t>m</w:t>
            </w:r>
            <w:r>
              <w:rPr>
                <w:rFonts w:hint="eastAsia"/>
                <w:bCs/>
                <w:sz w:val="24"/>
                <w:szCs w:val="24"/>
                <w:vertAlign w:val="superscript"/>
              </w:rPr>
              <w:t>3</w:t>
            </w:r>
            <w:r>
              <w:rPr>
                <w:rFonts w:hint="eastAsia"/>
                <w:bCs/>
                <w:sz w:val="24"/>
                <w:szCs w:val="24"/>
              </w:rPr>
              <w:t>/年（</w:t>
            </w:r>
            <w:r>
              <w:rPr>
                <w:rFonts w:hint="eastAsia"/>
                <w:sz w:val="24"/>
              </w:rPr>
              <w:t>0.013</w:t>
            </w:r>
            <w:r>
              <w:rPr>
                <w:rFonts w:hint="eastAsia"/>
                <w:bCs/>
                <w:sz w:val="24"/>
                <w:szCs w:val="24"/>
              </w:rPr>
              <w:t xml:space="preserve"> m</w:t>
            </w:r>
            <w:r>
              <w:rPr>
                <w:rFonts w:hint="eastAsia"/>
                <w:bCs/>
                <w:sz w:val="24"/>
                <w:szCs w:val="24"/>
                <w:vertAlign w:val="superscript"/>
              </w:rPr>
              <w:t>3</w:t>
            </w:r>
            <w:r>
              <w:rPr>
                <w:rFonts w:hint="eastAsia"/>
                <w:bCs/>
                <w:sz w:val="24"/>
                <w:szCs w:val="24"/>
              </w:rPr>
              <w:t>/d），为生产过程损耗水量</w:t>
            </w:r>
            <w:r>
              <w:rPr>
                <w:rFonts w:hint="eastAsia"/>
                <w:sz w:val="24"/>
              </w:rPr>
              <w:t>454.9</w:t>
            </w:r>
            <w:r>
              <w:rPr>
                <w:rFonts w:hint="eastAsia"/>
                <w:bCs/>
                <w:sz w:val="24"/>
                <w:szCs w:val="24"/>
              </w:rPr>
              <w:t>m</w:t>
            </w:r>
            <w:r>
              <w:rPr>
                <w:rFonts w:hint="eastAsia"/>
                <w:bCs/>
                <w:sz w:val="24"/>
                <w:szCs w:val="24"/>
                <w:vertAlign w:val="superscript"/>
              </w:rPr>
              <w:t>3</w:t>
            </w:r>
            <w:r>
              <w:rPr>
                <w:rFonts w:hint="eastAsia"/>
                <w:bCs/>
                <w:sz w:val="24"/>
                <w:szCs w:val="24"/>
              </w:rPr>
              <w:t>/年（</w:t>
            </w:r>
            <w:r>
              <w:rPr>
                <w:rFonts w:hint="eastAsia"/>
                <w:sz w:val="24"/>
              </w:rPr>
              <w:t>1.52</w:t>
            </w:r>
            <w:r>
              <w:rPr>
                <w:rFonts w:hint="eastAsia"/>
                <w:bCs/>
                <w:sz w:val="24"/>
                <w:szCs w:val="24"/>
              </w:rPr>
              <w:t xml:space="preserve"> m</w:t>
            </w:r>
            <w:r>
              <w:rPr>
                <w:rFonts w:hint="eastAsia"/>
                <w:bCs/>
                <w:sz w:val="24"/>
                <w:szCs w:val="24"/>
                <w:vertAlign w:val="superscript"/>
              </w:rPr>
              <w:t>3</w:t>
            </w:r>
            <w:r>
              <w:rPr>
                <w:rFonts w:hint="eastAsia"/>
                <w:bCs/>
                <w:sz w:val="24"/>
                <w:szCs w:val="24"/>
              </w:rPr>
              <w:t>/d），</w:t>
            </w:r>
            <w:r>
              <w:rPr>
                <w:rFonts w:hint="eastAsia"/>
                <w:sz w:val="24"/>
              </w:rPr>
              <w:t>产品含水量为104.53</w:t>
            </w:r>
            <w:r>
              <w:rPr>
                <w:rFonts w:hint="eastAsia"/>
                <w:bCs/>
                <w:sz w:val="24"/>
                <w:szCs w:val="24"/>
              </w:rPr>
              <w:t>m</w:t>
            </w:r>
            <w:r>
              <w:rPr>
                <w:rFonts w:hint="eastAsia"/>
                <w:bCs/>
                <w:sz w:val="24"/>
                <w:szCs w:val="24"/>
                <w:vertAlign w:val="superscript"/>
              </w:rPr>
              <w:t>3</w:t>
            </w:r>
            <w:r>
              <w:rPr>
                <w:rFonts w:hint="eastAsia"/>
                <w:bCs/>
                <w:sz w:val="24"/>
                <w:szCs w:val="24"/>
              </w:rPr>
              <w:t>/年（</w:t>
            </w:r>
            <w:r>
              <w:rPr>
                <w:rFonts w:hint="eastAsia"/>
                <w:sz w:val="24"/>
              </w:rPr>
              <w:t>0.35</w:t>
            </w:r>
            <w:r>
              <w:rPr>
                <w:rFonts w:hint="eastAsia"/>
                <w:bCs/>
                <w:sz w:val="24"/>
                <w:szCs w:val="24"/>
              </w:rPr>
              <w:t>m</w:t>
            </w:r>
            <w:r>
              <w:rPr>
                <w:rFonts w:hint="eastAsia"/>
                <w:bCs/>
                <w:sz w:val="24"/>
                <w:szCs w:val="24"/>
                <w:vertAlign w:val="superscript"/>
              </w:rPr>
              <w:t>3</w:t>
            </w:r>
            <w:r>
              <w:rPr>
                <w:rFonts w:hint="eastAsia"/>
                <w:bCs/>
                <w:sz w:val="24"/>
                <w:szCs w:val="24"/>
              </w:rPr>
              <w:t>/d），则</w:t>
            </w:r>
            <w:r>
              <w:rPr>
                <w:rFonts w:hint="eastAsia"/>
                <w:sz w:val="24"/>
              </w:rPr>
              <w:t>工艺废水量约为3989.57</w:t>
            </w:r>
            <w:r>
              <w:rPr>
                <w:rFonts w:hint="eastAsia"/>
                <w:bCs/>
                <w:sz w:val="24"/>
                <w:szCs w:val="24"/>
              </w:rPr>
              <w:t>m</w:t>
            </w:r>
            <w:r>
              <w:rPr>
                <w:rFonts w:hint="eastAsia"/>
                <w:bCs/>
                <w:sz w:val="24"/>
                <w:szCs w:val="24"/>
                <w:vertAlign w:val="superscript"/>
              </w:rPr>
              <w:t>3</w:t>
            </w:r>
            <w:r>
              <w:rPr>
                <w:rFonts w:hint="eastAsia"/>
                <w:bCs/>
                <w:sz w:val="24"/>
                <w:szCs w:val="24"/>
              </w:rPr>
              <w:t>/年（</w:t>
            </w:r>
            <w:r>
              <w:rPr>
                <w:rFonts w:hint="eastAsia"/>
                <w:sz w:val="24"/>
              </w:rPr>
              <w:t>13.19</w:t>
            </w:r>
            <w:r>
              <w:rPr>
                <w:rFonts w:hint="eastAsia"/>
                <w:bCs/>
                <w:sz w:val="24"/>
                <w:szCs w:val="24"/>
              </w:rPr>
              <w:t>m</w:t>
            </w:r>
            <w:r>
              <w:rPr>
                <w:rFonts w:hint="eastAsia"/>
                <w:bCs/>
                <w:sz w:val="24"/>
                <w:szCs w:val="24"/>
                <w:vertAlign w:val="superscript"/>
              </w:rPr>
              <w:t>3</w:t>
            </w:r>
            <w:r>
              <w:rPr>
                <w:rFonts w:hint="eastAsia"/>
                <w:bCs/>
                <w:sz w:val="24"/>
                <w:szCs w:val="24"/>
              </w:rPr>
              <w:t>/d），工艺废水将全部回用于废白土蒸炒工序不外排。</w:t>
            </w:r>
          </w:p>
          <w:p w14:paraId="3E1539EC">
            <w:pPr>
              <w:spacing w:line="360" w:lineRule="auto"/>
              <w:ind w:firstLine="480" w:firstLineChars="200"/>
              <w:rPr>
                <w:sz w:val="24"/>
                <w:szCs w:val="24"/>
              </w:rPr>
            </w:pPr>
            <w:r>
              <w:rPr>
                <w:rFonts w:hint="eastAsia"/>
                <w:sz w:val="24"/>
                <w:szCs w:val="24"/>
              </w:rPr>
              <w:t>（4）用排水情况汇总</w:t>
            </w:r>
          </w:p>
          <w:p w14:paraId="78FCE475">
            <w:pPr>
              <w:spacing w:line="360" w:lineRule="auto"/>
              <w:ind w:firstLine="480" w:firstLineChars="200"/>
              <w:rPr>
                <w:rFonts w:cs="Cambria Math"/>
                <w:sz w:val="24"/>
                <w:szCs w:val="24"/>
              </w:rPr>
            </w:pPr>
            <w:r>
              <w:rPr>
                <w:rFonts w:hint="eastAsia"/>
                <w:sz w:val="24"/>
                <w:szCs w:val="24"/>
              </w:rPr>
              <w:t>根据上述分析，改扩建项目新鲜用水量为60.36m</w:t>
            </w:r>
            <w:r>
              <w:rPr>
                <w:rFonts w:hint="eastAsia"/>
                <w:sz w:val="24"/>
                <w:szCs w:val="24"/>
                <w:vertAlign w:val="superscript"/>
              </w:rPr>
              <w:t>3</w:t>
            </w:r>
            <w:r>
              <w:rPr>
                <w:rFonts w:hint="eastAsia"/>
                <w:sz w:val="24"/>
                <w:szCs w:val="24"/>
              </w:rPr>
              <w:t>/d（18108m</w:t>
            </w:r>
            <w:r>
              <w:rPr>
                <w:rFonts w:hint="eastAsia"/>
                <w:sz w:val="24"/>
                <w:szCs w:val="24"/>
                <w:vertAlign w:val="superscript"/>
              </w:rPr>
              <w:t>3</w:t>
            </w:r>
            <w:r>
              <w:rPr>
                <w:rFonts w:hint="eastAsia"/>
                <w:sz w:val="24"/>
                <w:szCs w:val="24"/>
              </w:rPr>
              <w:t>/a），其中生活用水1.5</w:t>
            </w:r>
            <w:r>
              <w:rPr>
                <w:kern w:val="18"/>
                <w:sz w:val="24"/>
                <w:szCs w:val="24"/>
              </w:rPr>
              <w:t>m</w:t>
            </w:r>
            <w:r>
              <w:rPr>
                <w:kern w:val="18"/>
                <w:sz w:val="24"/>
                <w:szCs w:val="24"/>
                <w:vertAlign w:val="superscript"/>
              </w:rPr>
              <w:t>3</w:t>
            </w:r>
            <w:r>
              <w:rPr>
                <w:rFonts w:hint="eastAsia"/>
                <w:sz w:val="24"/>
                <w:szCs w:val="24"/>
              </w:rPr>
              <w:t>/d（450</w:t>
            </w:r>
            <w:r>
              <w:rPr>
                <w:kern w:val="18"/>
                <w:sz w:val="24"/>
                <w:szCs w:val="24"/>
              </w:rPr>
              <w:t>m</w:t>
            </w:r>
            <w:r>
              <w:rPr>
                <w:kern w:val="18"/>
                <w:sz w:val="24"/>
                <w:szCs w:val="24"/>
                <w:vertAlign w:val="superscript"/>
              </w:rPr>
              <w:t>3</w:t>
            </w:r>
            <w:r>
              <w:rPr>
                <w:rFonts w:hint="eastAsia"/>
                <w:sz w:val="24"/>
                <w:szCs w:val="24"/>
              </w:rPr>
              <w:t>/a），间接冷却用水</w:t>
            </w:r>
            <w:r>
              <w:rPr>
                <w:rFonts w:hint="eastAsia"/>
                <w:kern w:val="18"/>
                <w:sz w:val="24"/>
                <w:szCs w:val="24"/>
              </w:rPr>
              <w:t>28.8</w:t>
            </w:r>
            <w:r>
              <w:rPr>
                <w:kern w:val="18"/>
                <w:sz w:val="24"/>
                <w:szCs w:val="24"/>
              </w:rPr>
              <w:t>m</w:t>
            </w:r>
            <w:r>
              <w:rPr>
                <w:kern w:val="18"/>
                <w:sz w:val="24"/>
                <w:szCs w:val="24"/>
                <w:vertAlign w:val="superscript"/>
              </w:rPr>
              <w:t>3</w:t>
            </w:r>
            <w:r>
              <w:rPr>
                <w:rFonts w:hint="eastAsia"/>
                <w:kern w:val="18"/>
                <w:sz w:val="24"/>
                <w:szCs w:val="24"/>
              </w:rPr>
              <w:t>/d（8640</w:t>
            </w:r>
            <w:r>
              <w:rPr>
                <w:kern w:val="18"/>
                <w:sz w:val="24"/>
                <w:szCs w:val="24"/>
              </w:rPr>
              <w:t>m</w:t>
            </w:r>
            <w:r>
              <w:rPr>
                <w:kern w:val="18"/>
                <w:sz w:val="24"/>
                <w:szCs w:val="24"/>
                <w:vertAlign w:val="superscript"/>
              </w:rPr>
              <w:t>3</w:t>
            </w:r>
            <w:r>
              <w:rPr>
                <w:rFonts w:hint="eastAsia"/>
                <w:kern w:val="18"/>
                <w:sz w:val="24"/>
                <w:szCs w:val="24"/>
              </w:rPr>
              <w:t>/a），</w:t>
            </w:r>
            <w:r>
              <w:rPr>
                <w:rFonts w:hint="eastAsia"/>
                <w:sz w:val="24"/>
                <w:szCs w:val="24"/>
              </w:rPr>
              <w:t>锅炉用水30.06</w:t>
            </w:r>
            <w:r>
              <w:rPr>
                <w:kern w:val="18"/>
                <w:sz w:val="24"/>
                <w:szCs w:val="24"/>
              </w:rPr>
              <w:t>m</w:t>
            </w:r>
            <w:r>
              <w:rPr>
                <w:kern w:val="18"/>
                <w:sz w:val="24"/>
                <w:szCs w:val="24"/>
                <w:vertAlign w:val="superscript"/>
              </w:rPr>
              <w:t>3</w:t>
            </w:r>
            <w:r>
              <w:rPr>
                <w:sz w:val="24"/>
                <w:szCs w:val="24"/>
              </w:rPr>
              <w:t>/d（</w:t>
            </w:r>
            <w:r>
              <w:rPr>
                <w:rFonts w:hint="eastAsia"/>
                <w:sz w:val="24"/>
                <w:szCs w:val="24"/>
              </w:rPr>
              <w:t>9018</w:t>
            </w:r>
            <w:r>
              <w:rPr>
                <w:kern w:val="18"/>
                <w:sz w:val="24"/>
                <w:szCs w:val="24"/>
              </w:rPr>
              <w:t>m</w:t>
            </w:r>
            <w:r>
              <w:rPr>
                <w:kern w:val="18"/>
                <w:sz w:val="24"/>
                <w:szCs w:val="24"/>
                <w:vertAlign w:val="superscript"/>
              </w:rPr>
              <w:t>3</w:t>
            </w:r>
            <w:r>
              <w:rPr>
                <w:sz w:val="24"/>
                <w:szCs w:val="24"/>
              </w:rPr>
              <w:t>/a）</w:t>
            </w:r>
            <w:r>
              <w:rPr>
                <w:rFonts w:hint="eastAsia"/>
                <w:sz w:val="24"/>
                <w:szCs w:val="24"/>
              </w:rPr>
              <w:t>。间接冷却水循环使用，不外排；</w:t>
            </w:r>
            <w:r>
              <w:rPr>
                <w:rFonts w:hint="eastAsia" w:cs="Cambria Math"/>
                <w:sz w:val="24"/>
                <w:szCs w:val="24"/>
              </w:rPr>
              <w:t>锅炉</w:t>
            </w:r>
            <w:r>
              <w:rPr>
                <w:rFonts w:cs="Cambria Math"/>
                <w:sz w:val="24"/>
                <w:szCs w:val="24"/>
              </w:rPr>
              <w:t>排污水及软水制备浓水</w:t>
            </w:r>
            <w:r>
              <w:rPr>
                <w:rFonts w:hint="eastAsia"/>
                <w:sz w:val="24"/>
                <w:szCs w:val="24"/>
              </w:rPr>
              <w:t>9.06</w:t>
            </w:r>
            <w:r>
              <w:rPr>
                <w:sz w:val="24"/>
                <w:szCs w:val="24"/>
              </w:rPr>
              <w:t xml:space="preserve"> m</w:t>
            </w:r>
            <w:r>
              <w:rPr>
                <w:sz w:val="24"/>
                <w:szCs w:val="24"/>
                <w:vertAlign w:val="superscript"/>
              </w:rPr>
              <w:t>3</w:t>
            </w:r>
            <w:r>
              <w:rPr>
                <w:sz w:val="24"/>
                <w:szCs w:val="24"/>
              </w:rPr>
              <w:t>/d（</w:t>
            </w:r>
            <w:r>
              <w:rPr>
                <w:rFonts w:hint="eastAsia"/>
                <w:sz w:val="24"/>
                <w:szCs w:val="24"/>
              </w:rPr>
              <w:t>2718</w:t>
            </w:r>
            <w:r>
              <w:rPr>
                <w:kern w:val="18"/>
                <w:sz w:val="24"/>
                <w:szCs w:val="24"/>
              </w:rPr>
              <w:t>m</w:t>
            </w:r>
            <w:r>
              <w:rPr>
                <w:kern w:val="18"/>
                <w:sz w:val="24"/>
                <w:szCs w:val="24"/>
                <w:vertAlign w:val="superscript"/>
              </w:rPr>
              <w:t>3</w:t>
            </w:r>
            <w:r>
              <w:rPr>
                <w:sz w:val="24"/>
                <w:szCs w:val="24"/>
              </w:rPr>
              <w:t>/a）</w:t>
            </w:r>
            <w:r>
              <w:rPr>
                <w:rFonts w:hint="eastAsia"/>
                <w:sz w:val="24"/>
                <w:szCs w:val="24"/>
              </w:rPr>
              <w:t>、工艺冷凝水</w:t>
            </w:r>
            <w:r>
              <w:rPr>
                <w:rFonts w:hint="eastAsia"/>
                <w:kern w:val="18"/>
                <w:sz w:val="24"/>
                <w:szCs w:val="24"/>
              </w:rPr>
              <w:t>9.0</w:t>
            </w:r>
            <w:r>
              <w:rPr>
                <w:kern w:val="18"/>
                <w:sz w:val="24"/>
                <w:szCs w:val="24"/>
              </w:rPr>
              <w:t>m</w:t>
            </w:r>
            <w:r>
              <w:rPr>
                <w:kern w:val="18"/>
                <w:sz w:val="24"/>
                <w:szCs w:val="24"/>
                <w:vertAlign w:val="superscript"/>
              </w:rPr>
              <w:t>3</w:t>
            </w:r>
            <w:r>
              <w:rPr>
                <w:rFonts w:hint="eastAsia"/>
                <w:kern w:val="18"/>
                <w:sz w:val="24"/>
                <w:szCs w:val="24"/>
              </w:rPr>
              <w:t>/d（</w:t>
            </w:r>
            <w:r>
              <w:rPr>
                <w:rFonts w:hint="eastAsia"/>
                <w:sz w:val="24"/>
                <w:szCs w:val="24"/>
              </w:rPr>
              <w:t>2699.46</w:t>
            </w:r>
            <w:r>
              <w:rPr>
                <w:kern w:val="18"/>
                <w:sz w:val="24"/>
                <w:szCs w:val="24"/>
              </w:rPr>
              <w:t>m</w:t>
            </w:r>
            <w:r>
              <w:rPr>
                <w:kern w:val="18"/>
                <w:sz w:val="24"/>
                <w:szCs w:val="24"/>
                <w:vertAlign w:val="superscript"/>
              </w:rPr>
              <w:t>3</w:t>
            </w:r>
            <w:r>
              <w:rPr>
                <w:rFonts w:hint="eastAsia"/>
                <w:kern w:val="18"/>
                <w:sz w:val="24"/>
                <w:szCs w:val="24"/>
              </w:rPr>
              <w:t>/a）合计18.06</w:t>
            </w:r>
            <w:r>
              <w:rPr>
                <w:kern w:val="18"/>
                <w:sz w:val="24"/>
                <w:szCs w:val="24"/>
              </w:rPr>
              <w:t>m</w:t>
            </w:r>
            <w:r>
              <w:rPr>
                <w:kern w:val="18"/>
                <w:sz w:val="24"/>
                <w:szCs w:val="24"/>
                <w:vertAlign w:val="superscript"/>
              </w:rPr>
              <w:t>3</w:t>
            </w:r>
            <w:r>
              <w:rPr>
                <w:rFonts w:hint="eastAsia"/>
                <w:kern w:val="18"/>
                <w:sz w:val="24"/>
                <w:szCs w:val="24"/>
              </w:rPr>
              <w:t>/d（</w:t>
            </w:r>
            <w:r>
              <w:rPr>
                <w:rFonts w:hint="eastAsia"/>
                <w:sz w:val="24"/>
                <w:szCs w:val="24"/>
              </w:rPr>
              <w:t>5418</w:t>
            </w:r>
            <w:r>
              <w:rPr>
                <w:kern w:val="18"/>
                <w:sz w:val="24"/>
                <w:szCs w:val="24"/>
              </w:rPr>
              <w:t>m</w:t>
            </w:r>
            <w:r>
              <w:rPr>
                <w:kern w:val="18"/>
                <w:sz w:val="24"/>
                <w:szCs w:val="24"/>
                <w:vertAlign w:val="superscript"/>
              </w:rPr>
              <w:t>3</w:t>
            </w:r>
            <w:r>
              <w:rPr>
                <w:rFonts w:hint="eastAsia"/>
                <w:kern w:val="18"/>
                <w:sz w:val="24"/>
                <w:szCs w:val="24"/>
              </w:rPr>
              <w:t>/a）</w:t>
            </w:r>
            <w:r>
              <w:rPr>
                <w:rFonts w:hint="eastAsia" w:cs="Cambria Math"/>
                <w:sz w:val="24"/>
                <w:szCs w:val="24"/>
              </w:rPr>
              <w:t>回用于现有项目蒸炒；</w:t>
            </w:r>
            <w:r>
              <w:rPr>
                <w:rFonts w:cs="Cambria Math"/>
                <w:sz w:val="24"/>
                <w:szCs w:val="24"/>
              </w:rPr>
              <w:t>生活污水</w:t>
            </w:r>
            <w:r>
              <w:rPr>
                <w:rFonts w:hint="eastAsia" w:cs="Cambria Math"/>
                <w:sz w:val="24"/>
                <w:szCs w:val="24"/>
              </w:rPr>
              <w:t>产生量</w:t>
            </w:r>
            <w:r>
              <w:rPr>
                <w:rFonts w:hint="eastAsia"/>
                <w:sz w:val="24"/>
                <w:szCs w:val="24"/>
              </w:rPr>
              <w:t>1.2</w:t>
            </w:r>
            <w:r>
              <w:rPr>
                <w:kern w:val="18"/>
                <w:sz w:val="24"/>
                <w:szCs w:val="24"/>
              </w:rPr>
              <w:t>m</w:t>
            </w:r>
            <w:r>
              <w:rPr>
                <w:kern w:val="18"/>
                <w:sz w:val="24"/>
                <w:szCs w:val="24"/>
                <w:vertAlign w:val="superscript"/>
              </w:rPr>
              <w:t>3</w:t>
            </w:r>
            <w:r>
              <w:rPr>
                <w:rFonts w:hint="eastAsia"/>
                <w:sz w:val="24"/>
                <w:szCs w:val="24"/>
              </w:rPr>
              <w:t>/d（360</w:t>
            </w:r>
            <w:r>
              <w:rPr>
                <w:kern w:val="18"/>
                <w:sz w:val="24"/>
                <w:szCs w:val="24"/>
              </w:rPr>
              <w:t>m</w:t>
            </w:r>
            <w:r>
              <w:rPr>
                <w:kern w:val="18"/>
                <w:sz w:val="24"/>
                <w:szCs w:val="24"/>
                <w:vertAlign w:val="superscript"/>
              </w:rPr>
              <w:t>3</w:t>
            </w:r>
            <w:r>
              <w:rPr>
                <w:rFonts w:hint="eastAsia"/>
                <w:sz w:val="24"/>
                <w:szCs w:val="24"/>
              </w:rPr>
              <w:t>/a），</w:t>
            </w:r>
            <w:r>
              <w:rPr>
                <w:rFonts w:hint="eastAsia" w:cs="Cambria Math"/>
                <w:sz w:val="24"/>
                <w:szCs w:val="24"/>
              </w:rPr>
              <w:t>依托现有项目“微生物处理</w:t>
            </w:r>
            <w:r>
              <w:rPr>
                <w:rFonts w:cs="Cambria Math"/>
                <w:sz w:val="24"/>
                <w:szCs w:val="24"/>
              </w:rPr>
              <w:t>+</w:t>
            </w:r>
            <w:r>
              <w:rPr>
                <w:rFonts w:hint="eastAsia" w:cs="Cambria Math"/>
                <w:sz w:val="24"/>
                <w:szCs w:val="24"/>
              </w:rPr>
              <w:t>人工湿地”处理达标后，用于山林灌溉。</w:t>
            </w:r>
          </w:p>
          <w:p w14:paraId="1EF065D8">
            <w:pPr>
              <w:spacing w:line="360" w:lineRule="auto"/>
              <w:ind w:firstLine="480" w:firstLineChars="200"/>
              <w:rPr>
                <w:rFonts w:cs="Cambria Math"/>
                <w:sz w:val="24"/>
                <w:szCs w:val="24"/>
              </w:rPr>
            </w:pPr>
            <w:r>
              <w:rPr>
                <w:rFonts w:hint="eastAsia" w:cs="Cambria Math"/>
                <w:sz w:val="24"/>
                <w:szCs w:val="24"/>
              </w:rPr>
              <w:t>改扩建后全厂</w:t>
            </w:r>
            <w:r>
              <w:rPr>
                <w:rFonts w:hint="eastAsia"/>
                <w:sz w:val="24"/>
                <w:szCs w:val="24"/>
              </w:rPr>
              <w:t>新鲜用水量为98.13m</w:t>
            </w:r>
            <w:r>
              <w:rPr>
                <w:rFonts w:hint="eastAsia"/>
                <w:sz w:val="24"/>
                <w:szCs w:val="24"/>
                <w:vertAlign w:val="superscript"/>
              </w:rPr>
              <w:t>3</w:t>
            </w:r>
            <w:r>
              <w:rPr>
                <w:rFonts w:hint="eastAsia"/>
                <w:sz w:val="24"/>
                <w:szCs w:val="24"/>
              </w:rPr>
              <w:t>/d（29439m</w:t>
            </w:r>
            <w:r>
              <w:rPr>
                <w:rFonts w:hint="eastAsia"/>
                <w:sz w:val="24"/>
                <w:szCs w:val="24"/>
                <w:vertAlign w:val="superscript"/>
              </w:rPr>
              <w:t>3</w:t>
            </w:r>
            <w:r>
              <w:rPr>
                <w:rFonts w:hint="eastAsia"/>
                <w:sz w:val="24"/>
                <w:szCs w:val="24"/>
              </w:rPr>
              <w:t>/a），其中生活用水5.25</w:t>
            </w:r>
            <w:r>
              <w:rPr>
                <w:kern w:val="18"/>
                <w:sz w:val="24"/>
                <w:szCs w:val="24"/>
              </w:rPr>
              <w:t>m</w:t>
            </w:r>
            <w:r>
              <w:rPr>
                <w:kern w:val="18"/>
                <w:sz w:val="24"/>
                <w:szCs w:val="24"/>
                <w:vertAlign w:val="superscript"/>
              </w:rPr>
              <w:t>3</w:t>
            </w:r>
            <w:r>
              <w:rPr>
                <w:rFonts w:hint="eastAsia"/>
                <w:sz w:val="24"/>
                <w:szCs w:val="24"/>
              </w:rPr>
              <w:t>/d（1575</w:t>
            </w:r>
            <w:r>
              <w:rPr>
                <w:kern w:val="18"/>
                <w:sz w:val="24"/>
                <w:szCs w:val="24"/>
              </w:rPr>
              <w:t>m</w:t>
            </w:r>
            <w:r>
              <w:rPr>
                <w:kern w:val="18"/>
                <w:sz w:val="24"/>
                <w:szCs w:val="24"/>
                <w:vertAlign w:val="superscript"/>
              </w:rPr>
              <w:t>3</w:t>
            </w:r>
            <w:r>
              <w:rPr>
                <w:rFonts w:hint="eastAsia"/>
                <w:sz w:val="24"/>
                <w:szCs w:val="24"/>
              </w:rPr>
              <w:t>/a），间接冷却用水</w:t>
            </w:r>
            <w:r>
              <w:rPr>
                <w:rFonts w:hint="eastAsia"/>
                <w:kern w:val="18"/>
                <w:sz w:val="24"/>
                <w:szCs w:val="24"/>
              </w:rPr>
              <w:t>28.8</w:t>
            </w:r>
            <w:r>
              <w:rPr>
                <w:kern w:val="18"/>
                <w:sz w:val="24"/>
                <w:szCs w:val="24"/>
              </w:rPr>
              <w:t>m</w:t>
            </w:r>
            <w:r>
              <w:rPr>
                <w:kern w:val="18"/>
                <w:sz w:val="24"/>
                <w:szCs w:val="24"/>
                <w:vertAlign w:val="superscript"/>
              </w:rPr>
              <w:t>3</w:t>
            </w:r>
            <w:r>
              <w:rPr>
                <w:rFonts w:hint="eastAsia"/>
                <w:kern w:val="18"/>
                <w:sz w:val="24"/>
                <w:szCs w:val="24"/>
              </w:rPr>
              <w:t>/d（8640</w:t>
            </w:r>
            <w:r>
              <w:rPr>
                <w:kern w:val="18"/>
                <w:sz w:val="24"/>
                <w:szCs w:val="24"/>
              </w:rPr>
              <w:t>m</w:t>
            </w:r>
            <w:r>
              <w:rPr>
                <w:kern w:val="18"/>
                <w:sz w:val="24"/>
                <w:szCs w:val="24"/>
                <w:vertAlign w:val="superscript"/>
              </w:rPr>
              <w:t>3</w:t>
            </w:r>
            <w:r>
              <w:rPr>
                <w:rFonts w:hint="eastAsia"/>
                <w:kern w:val="18"/>
                <w:sz w:val="24"/>
                <w:szCs w:val="24"/>
              </w:rPr>
              <w:t>/a），</w:t>
            </w:r>
            <w:r>
              <w:rPr>
                <w:rFonts w:hint="eastAsia"/>
                <w:sz w:val="24"/>
                <w:szCs w:val="24"/>
              </w:rPr>
              <w:t>锅炉用水58.66</w:t>
            </w:r>
            <w:r>
              <w:rPr>
                <w:kern w:val="18"/>
                <w:sz w:val="24"/>
                <w:szCs w:val="24"/>
              </w:rPr>
              <w:t>m</w:t>
            </w:r>
            <w:r>
              <w:rPr>
                <w:kern w:val="18"/>
                <w:sz w:val="24"/>
                <w:szCs w:val="24"/>
                <w:vertAlign w:val="superscript"/>
              </w:rPr>
              <w:t>3</w:t>
            </w:r>
            <w:r>
              <w:rPr>
                <w:sz w:val="24"/>
                <w:szCs w:val="24"/>
              </w:rPr>
              <w:t>/d（</w:t>
            </w:r>
            <w:r>
              <w:rPr>
                <w:rFonts w:hint="eastAsia"/>
                <w:sz w:val="24"/>
                <w:szCs w:val="24"/>
              </w:rPr>
              <w:t>17598</w:t>
            </w:r>
            <w:r>
              <w:rPr>
                <w:kern w:val="18"/>
                <w:sz w:val="24"/>
                <w:szCs w:val="24"/>
              </w:rPr>
              <w:t>m</w:t>
            </w:r>
            <w:r>
              <w:rPr>
                <w:kern w:val="18"/>
                <w:sz w:val="24"/>
                <w:szCs w:val="24"/>
                <w:vertAlign w:val="superscript"/>
              </w:rPr>
              <w:t>3</w:t>
            </w:r>
            <w:r>
              <w:rPr>
                <w:sz w:val="24"/>
                <w:szCs w:val="24"/>
              </w:rPr>
              <w:t>/a）</w:t>
            </w:r>
            <w:r>
              <w:rPr>
                <w:rFonts w:hint="eastAsia"/>
                <w:sz w:val="24"/>
                <w:szCs w:val="24"/>
              </w:rPr>
              <w:t>。间接冷却水循环使用，不外排；</w:t>
            </w:r>
            <w:r>
              <w:rPr>
                <w:rFonts w:hint="eastAsia" w:cs="Cambria Math"/>
                <w:sz w:val="24"/>
                <w:szCs w:val="24"/>
              </w:rPr>
              <w:t>锅炉</w:t>
            </w:r>
            <w:r>
              <w:rPr>
                <w:rFonts w:cs="Cambria Math"/>
                <w:sz w:val="24"/>
                <w:szCs w:val="24"/>
              </w:rPr>
              <w:t>排污水及软水制备浓水</w:t>
            </w:r>
            <w:r>
              <w:rPr>
                <w:rFonts w:hint="eastAsia"/>
                <w:sz w:val="24"/>
                <w:szCs w:val="24"/>
              </w:rPr>
              <w:t>17.66</w:t>
            </w:r>
            <w:r>
              <w:rPr>
                <w:sz w:val="24"/>
                <w:szCs w:val="24"/>
              </w:rPr>
              <w:t>m</w:t>
            </w:r>
            <w:r>
              <w:rPr>
                <w:sz w:val="24"/>
                <w:szCs w:val="24"/>
                <w:vertAlign w:val="superscript"/>
              </w:rPr>
              <w:t>3</w:t>
            </w:r>
            <w:r>
              <w:rPr>
                <w:sz w:val="24"/>
                <w:szCs w:val="24"/>
              </w:rPr>
              <w:t>/d（</w:t>
            </w:r>
            <w:r>
              <w:rPr>
                <w:rFonts w:hint="eastAsia"/>
                <w:sz w:val="24"/>
                <w:szCs w:val="24"/>
              </w:rPr>
              <w:t>5298</w:t>
            </w:r>
            <w:r>
              <w:rPr>
                <w:kern w:val="18"/>
                <w:sz w:val="24"/>
                <w:szCs w:val="24"/>
              </w:rPr>
              <w:t>m</w:t>
            </w:r>
            <w:r>
              <w:rPr>
                <w:kern w:val="18"/>
                <w:sz w:val="24"/>
                <w:szCs w:val="24"/>
                <w:vertAlign w:val="superscript"/>
              </w:rPr>
              <w:t>3</w:t>
            </w:r>
            <w:r>
              <w:rPr>
                <w:sz w:val="24"/>
                <w:szCs w:val="24"/>
              </w:rPr>
              <w:t>/a）</w:t>
            </w:r>
            <w:r>
              <w:rPr>
                <w:rFonts w:hint="eastAsia"/>
                <w:sz w:val="24"/>
                <w:szCs w:val="24"/>
              </w:rPr>
              <w:t>、工艺废水</w:t>
            </w:r>
            <w:r>
              <w:rPr>
                <w:rFonts w:hint="eastAsia"/>
                <w:kern w:val="18"/>
                <w:sz w:val="24"/>
                <w:szCs w:val="24"/>
              </w:rPr>
              <w:t>46.92</w:t>
            </w:r>
            <w:r>
              <w:rPr>
                <w:kern w:val="18"/>
                <w:sz w:val="24"/>
                <w:szCs w:val="24"/>
              </w:rPr>
              <w:t>m</w:t>
            </w:r>
            <w:r>
              <w:rPr>
                <w:kern w:val="18"/>
                <w:sz w:val="24"/>
                <w:szCs w:val="24"/>
                <w:vertAlign w:val="superscript"/>
              </w:rPr>
              <w:t>3</w:t>
            </w:r>
            <w:r>
              <w:rPr>
                <w:rFonts w:hint="eastAsia"/>
                <w:kern w:val="18"/>
                <w:sz w:val="24"/>
                <w:szCs w:val="24"/>
              </w:rPr>
              <w:t>/d（</w:t>
            </w:r>
            <w:r>
              <w:rPr>
                <w:rFonts w:hint="eastAsia"/>
                <w:sz w:val="24"/>
                <w:szCs w:val="24"/>
              </w:rPr>
              <w:t>14074</w:t>
            </w:r>
            <w:r>
              <w:rPr>
                <w:kern w:val="18"/>
                <w:sz w:val="24"/>
                <w:szCs w:val="24"/>
              </w:rPr>
              <w:t>m</w:t>
            </w:r>
            <w:r>
              <w:rPr>
                <w:kern w:val="18"/>
                <w:sz w:val="24"/>
                <w:szCs w:val="24"/>
                <w:vertAlign w:val="superscript"/>
              </w:rPr>
              <w:t>3</w:t>
            </w:r>
            <w:r>
              <w:rPr>
                <w:rFonts w:hint="eastAsia"/>
                <w:kern w:val="18"/>
                <w:sz w:val="24"/>
                <w:szCs w:val="24"/>
              </w:rPr>
              <w:t>/a）合计64.58</w:t>
            </w:r>
            <w:r>
              <w:rPr>
                <w:kern w:val="18"/>
                <w:sz w:val="24"/>
                <w:szCs w:val="24"/>
              </w:rPr>
              <w:t>m</w:t>
            </w:r>
            <w:r>
              <w:rPr>
                <w:kern w:val="18"/>
                <w:sz w:val="24"/>
                <w:szCs w:val="24"/>
                <w:vertAlign w:val="superscript"/>
              </w:rPr>
              <w:t>3</w:t>
            </w:r>
            <w:r>
              <w:rPr>
                <w:rFonts w:hint="eastAsia"/>
                <w:kern w:val="18"/>
                <w:sz w:val="24"/>
                <w:szCs w:val="24"/>
              </w:rPr>
              <w:t>/d（</w:t>
            </w:r>
            <w:r>
              <w:rPr>
                <w:rFonts w:hint="eastAsia"/>
                <w:sz w:val="24"/>
                <w:szCs w:val="24"/>
              </w:rPr>
              <w:t>19374</w:t>
            </w:r>
            <w:r>
              <w:rPr>
                <w:kern w:val="18"/>
                <w:sz w:val="24"/>
                <w:szCs w:val="24"/>
              </w:rPr>
              <w:t>m</w:t>
            </w:r>
            <w:r>
              <w:rPr>
                <w:kern w:val="18"/>
                <w:sz w:val="24"/>
                <w:szCs w:val="24"/>
                <w:vertAlign w:val="superscript"/>
              </w:rPr>
              <w:t>3</w:t>
            </w:r>
            <w:r>
              <w:rPr>
                <w:rFonts w:hint="eastAsia"/>
                <w:kern w:val="18"/>
                <w:sz w:val="24"/>
                <w:szCs w:val="24"/>
              </w:rPr>
              <w:t>/a）</w:t>
            </w:r>
            <w:r>
              <w:rPr>
                <w:rFonts w:hint="eastAsia" w:cs="Cambria Math"/>
                <w:sz w:val="24"/>
                <w:szCs w:val="24"/>
              </w:rPr>
              <w:t>回用于现有项目蒸炒；</w:t>
            </w:r>
            <w:r>
              <w:rPr>
                <w:rFonts w:cs="Cambria Math"/>
                <w:sz w:val="24"/>
                <w:szCs w:val="24"/>
              </w:rPr>
              <w:t>生活污水</w:t>
            </w:r>
            <w:r>
              <w:rPr>
                <w:rFonts w:hint="eastAsia" w:cs="Cambria Math"/>
                <w:sz w:val="24"/>
                <w:szCs w:val="24"/>
              </w:rPr>
              <w:t>产生量</w:t>
            </w:r>
            <w:r>
              <w:rPr>
                <w:rFonts w:hint="eastAsia"/>
                <w:sz w:val="24"/>
                <w:szCs w:val="24"/>
              </w:rPr>
              <w:t>4.2</w:t>
            </w:r>
            <w:r>
              <w:rPr>
                <w:kern w:val="18"/>
                <w:sz w:val="24"/>
                <w:szCs w:val="24"/>
              </w:rPr>
              <w:t>m</w:t>
            </w:r>
            <w:r>
              <w:rPr>
                <w:kern w:val="18"/>
                <w:sz w:val="24"/>
                <w:szCs w:val="24"/>
                <w:vertAlign w:val="superscript"/>
              </w:rPr>
              <w:t>3</w:t>
            </w:r>
            <w:r>
              <w:rPr>
                <w:rFonts w:hint="eastAsia"/>
                <w:sz w:val="24"/>
                <w:szCs w:val="24"/>
              </w:rPr>
              <w:t>/d（1260</w:t>
            </w:r>
            <w:r>
              <w:rPr>
                <w:kern w:val="18"/>
                <w:sz w:val="24"/>
                <w:szCs w:val="24"/>
              </w:rPr>
              <w:t>m</w:t>
            </w:r>
            <w:r>
              <w:rPr>
                <w:kern w:val="18"/>
                <w:sz w:val="24"/>
                <w:szCs w:val="24"/>
                <w:vertAlign w:val="superscript"/>
              </w:rPr>
              <w:t>3</w:t>
            </w:r>
            <w:r>
              <w:rPr>
                <w:rFonts w:hint="eastAsia"/>
                <w:sz w:val="24"/>
                <w:szCs w:val="24"/>
              </w:rPr>
              <w:t>/a），</w:t>
            </w:r>
            <w:r>
              <w:rPr>
                <w:rFonts w:hint="eastAsia" w:cs="Cambria Math"/>
                <w:sz w:val="24"/>
                <w:szCs w:val="24"/>
              </w:rPr>
              <w:t>依托现有项目“微生物处理</w:t>
            </w:r>
            <w:r>
              <w:rPr>
                <w:rFonts w:cs="Cambria Math"/>
                <w:sz w:val="24"/>
                <w:szCs w:val="24"/>
              </w:rPr>
              <w:t>+</w:t>
            </w:r>
            <w:r>
              <w:rPr>
                <w:rFonts w:hint="eastAsia" w:cs="Cambria Math"/>
                <w:sz w:val="24"/>
                <w:szCs w:val="24"/>
              </w:rPr>
              <w:t>人工湿地”处理达标后，用于山林灌溉。</w:t>
            </w:r>
          </w:p>
          <w:p w14:paraId="6D589248">
            <w:pPr>
              <w:spacing w:line="360" w:lineRule="auto"/>
              <w:ind w:firstLine="480" w:firstLineChars="200"/>
              <w:rPr>
                <w:sz w:val="24"/>
                <w:szCs w:val="24"/>
              </w:rPr>
            </w:pPr>
            <w:r>
              <w:rPr>
                <w:rFonts w:hint="eastAsia"/>
                <w:sz w:val="24"/>
                <w:szCs w:val="24"/>
              </w:rPr>
              <w:t>改扩建项目水平衡及改扩建后全厂水平衡见图2-2、图2-3。</w:t>
            </w:r>
          </w:p>
          <w:p w14:paraId="23B705B6">
            <w:pPr>
              <w:spacing w:line="360" w:lineRule="auto"/>
              <w:jc w:val="center"/>
              <w:rPr>
                <w:sz w:val="24"/>
                <w:szCs w:val="24"/>
              </w:rPr>
            </w:pPr>
            <w:r>
              <w:rPr>
                <w:sz w:val="24"/>
                <w:szCs w:val="24"/>
              </w:rPr>
              <w:drawing>
                <wp:inline distT="0" distB="0" distL="0" distR="0">
                  <wp:extent cx="5116195" cy="2775585"/>
                  <wp:effectExtent l="0" t="0" r="8255" b="5715"/>
                  <wp:docPr id="1869439426"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439426" name="图片 8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3482" cy="2779738"/>
                          </a:xfrm>
                          <a:prstGeom prst="rect">
                            <a:avLst/>
                          </a:prstGeom>
                        </pic:spPr>
                      </pic:pic>
                    </a:graphicData>
                  </a:graphic>
                </wp:inline>
              </w:drawing>
            </w:r>
          </w:p>
          <w:p w14:paraId="67E6DC47">
            <w:pPr>
              <w:spacing w:before="120" w:beforeLines="50" w:line="360" w:lineRule="auto"/>
              <w:jc w:val="center"/>
              <w:rPr>
                <w:sz w:val="24"/>
                <w:szCs w:val="24"/>
              </w:rPr>
            </w:pPr>
            <w:r>
              <w:rPr>
                <w:rFonts w:hint="eastAsia"/>
                <w:b/>
              </w:rPr>
              <w:t>图2-2 改扩建项目水平衡图（单位：m</w:t>
            </w:r>
            <w:r>
              <w:rPr>
                <w:rFonts w:hint="eastAsia"/>
                <w:b/>
                <w:vertAlign w:val="superscript"/>
              </w:rPr>
              <w:t>3</w:t>
            </w:r>
            <w:r>
              <w:rPr>
                <w:rFonts w:hint="eastAsia"/>
                <w:b/>
              </w:rPr>
              <w:t>/d）</w:t>
            </w:r>
          </w:p>
          <w:p w14:paraId="79ABE3DE">
            <w:pPr>
              <w:spacing w:line="360" w:lineRule="auto"/>
              <w:jc w:val="center"/>
              <w:rPr>
                <w:sz w:val="24"/>
                <w:szCs w:val="24"/>
              </w:rPr>
            </w:pPr>
          </w:p>
          <w:p w14:paraId="6E0AD629">
            <w:pPr>
              <w:spacing w:line="360" w:lineRule="auto"/>
              <w:jc w:val="center"/>
              <w:rPr>
                <w:sz w:val="24"/>
                <w:szCs w:val="24"/>
              </w:rPr>
            </w:pPr>
          </w:p>
          <w:p w14:paraId="560F09C4">
            <w:pPr>
              <w:spacing w:line="360" w:lineRule="auto"/>
              <w:jc w:val="center"/>
              <w:rPr>
                <w:sz w:val="24"/>
                <w:szCs w:val="24"/>
              </w:rPr>
            </w:pPr>
          </w:p>
          <w:p w14:paraId="21AFCDC3">
            <w:pPr>
              <w:spacing w:line="360" w:lineRule="auto"/>
              <w:jc w:val="center"/>
              <w:rPr>
                <w:sz w:val="24"/>
                <w:szCs w:val="24"/>
              </w:rPr>
            </w:pPr>
          </w:p>
          <w:p w14:paraId="6731D2C1">
            <w:pPr>
              <w:spacing w:line="360" w:lineRule="auto"/>
              <w:jc w:val="center"/>
              <w:rPr>
                <w:sz w:val="24"/>
                <w:szCs w:val="24"/>
              </w:rPr>
            </w:pPr>
          </w:p>
          <w:p w14:paraId="2ABDBE8E">
            <w:pPr>
              <w:spacing w:line="360" w:lineRule="auto"/>
              <w:jc w:val="center"/>
              <w:rPr>
                <w:sz w:val="24"/>
                <w:szCs w:val="24"/>
              </w:rPr>
            </w:pPr>
          </w:p>
          <w:p w14:paraId="68680ECB">
            <w:pPr>
              <w:spacing w:line="360" w:lineRule="auto"/>
              <w:jc w:val="center"/>
              <w:rPr>
                <w:sz w:val="24"/>
                <w:szCs w:val="24"/>
              </w:rPr>
            </w:pPr>
          </w:p>
          <w:p w14:paraId="25A389D6">
            <w:pPr>
              <w:spacing w:line="360" w:lineRule="auto"/>
              <w:jc w:val="center"/>
              <w:rPr>
                <w:sz w:val="24"/>
                <w:szCs w:val="24"/>
              </w:rPr>
            </w:pPr>
          </w:p>
          <w:p w14:paraId="238C30B4">
            <w:pPr>
              <w:spacing w:line="360" w:lineRule="auto"/>
              <w:jc w:val="center"/>
              <w:rPr>
                <w:sz w:val="24"/>
                <w:szCs w:val="24"/>
              </w:rPr>
            </w:pPr>
          </w:p>
          <w:p w14:paraId="1689EC56">
            <w:pPr>
              <w:spacing w:line="360" w:lineRule="auto"/>
              <w:jc w:val="center"/>
              <w:rPr>
                <w:sz w:val="24"/>
                <w:szCs w:val="24"/>
              </w:rPr>
            </w:pPr>
          </w:p>
          <w:p w14:paraId="5D6B7E68">
            <w:pPr>
              <w:spacing w:line="360" w:lineRule="auto"/>
              <w:jc w:val="center"/>
              <w:rPr>
                <w:sz w:val="24"/>
                <w:szCs w:val="24"/>
              </w:rPr>
            </w:pPr>
          </w:p>
          <w:p w14:paraId="6487249F">
            <w:pPr>
              <w:spacing w:line="360" w:lineRule="auto"/>
              <w:jc w:val="center"/>
              <w:rPr>
                <w:sz w:val="24"/>
                <w:szCs w:val="24"/>
              </w:rPr>
            </w:pPr>
          </w:p>
          <w:p w14:paraId="7B9CE28B">
            <w:pPr>
              <w:spacing w:line="360" w:lineRule="auto"/>
              <w:jc w:val="center"/>
              <w:rPr>
                <w:sz w:val="24"/>
                <w:szCs w:val="24"/>
              </w:rPr>
            </w:pPr>
          </w:p>
          <w:p w14:paraId="773105F7">
            <w:pPr>
              <w:spacing w:line="360" w:lineRule="auto"/>
              <w:jc w:val="center"/>
              <w:rPr>
                <w:sz w:val="24"/>
                <w:szCs w:val="24"/>
              </w:rPr>
            </w:pPr>
          </w:p>
          <w:p w14:paraId="6A438343">
            <w:pPr>
              <w:spacing w:line="360" w:lineRule="auto"/>
              <w:jc w:val="center"/>
              <w:rPr>
                <w:sz w:val="24"/>
                <w:szCs w:val="24"/>
              </w:rPr>
            </w:pPr>
          </w:p>
          <w:p w14:paraId="5DB2F156">
            <w:pPr>
              <w:spacing w:line="360" w:lineRule="auto"/>
              <w:jc w:val="center"/>
              <w:rPr>
                <w:sz w:val="24"/>
                <w:szCs w:val="24"/>
              </w:rPr>
            </w:pPr>
          </w:p>
          <w:p w14:paraId="43D522ED">
            <w:pPr>
              <w:spacing w:line="360" w:lineRule="auto"/>
              <w:jc w:val="center"/>
              <w:rPr>
                <w:sz w:val="24"/>
                <w:szCs w:val="24"/>
              </w:rPr>
            </w:pPr>
          </w:p>
          <w:p w14:paraId="26554917">
            <w:pPr>
              <w:spacing w:line="360" w:lineRule="auto"/>
              <w:jc w:val="center"/>
              <w:rPr>
                <w:sz w:val="24"/>
                <w:szCs w:val="24"/>
              </w:rPr>
            </w:pPr>
          </w:p>
          <w:p w14:paraId="60B62D42">
            <w:pPr>
              <w:spacing w:line="360" w:lineRule="auto"/>
              <w:jc w:val="center"/>
              <w:rPr>
                <w:rFonts w:hint="eastAsia"/>
                <w:sz w:val="24"/>
                <w:szCs w:val="24"/>
              </w:rPr>
            </w:pPr>
          </w:p>
          <w:p w14:paraId="34AC3C65">
            <w:pPr>
              <w:spacing w:line="360" w:lineRule="auto"/>
              <w:jc w:val="center"/>
              <w:rPr>
                <w:sz w:val="24"/>
                <w:szCs w:val="24"/>
              </w:rPr>
            </w:pPr>
            <w:r>
              <w:rPr>
                <w:sz w:val="24"/>
                <w:szCs w:val="24"/>
              </w:rPr>
              <w:drawing>
                <wp:inline distT="0" distB="0" distL="0" distR="0">
                  <wp:extent cx="4941570" cy="6092190"/>
                  <wp:effectExtent l="0" t="0" r="0" b="3810"/>
                  <wp:docPr id="1570721894"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721894" name="图片 9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941989" cy="6092689"/>
                          </a:xfrm>
                          <a:prstGeom prst="rect">
                            <a:avLst/>
                          </a:prstGeom>
                        </pic:spPr>
                      </pic:pic>
                    </a:graphicData>
                  </a:graphic>
                </wp:inline>
              </w:drawing>
            </w:r>
          </w:p>
          <w:p w14:paraId="7419C7CB">
            <w:pPr>
              <w:pStyle w:val="14"/>
              <w:spacing w:before="120" w:after="0" w:afterLines="0" w:line="360" w:lineRule="auto"/>
              <w:rPr>
                <w:rFonts w:eastAsia="宋体"/>
                <w:b/>
                <w:sz w:val="21"/>
              </w:rPr>
            </w:pPr>
            <w:r>
              <w:rPr>
                <w:rFonts w:hint="eastAsia" w:eastAsia="宋体"/>
                <w:b/>
                <w:sz w:val="21"/>
              </w:rPr>
              <w:t>图2-3 改扩建后全厂水平衡图（单位：</w:t>
            </w:r>
            <w:r>
              <w:rPr>
                <w:rFonts w:hint="eastAsia" w:eastAsia="宋体"/>
                <w:b/>
                <w:sz w:val="21"/>
                <w:lang w:val="en-US"/>
              </w:rPr>
              <w:t>m</w:t>
            </w:r>
            <w:r>
              <w:rPr>
                <w:rFonts w:hint="eastAsia" w:eastAsia="宋体"/>
                <w:b/>
                <w:sz w:val="21"/>
                <w:vertAlign w:val="superscript"/>
                <w:lang w:val="en-US"/>
              </w:rPr>
              <w:t>3</w:t>
            </w:r>
            <w:r>
              <w:rPr>
                <w:rFonts w:hint="eastAsia" w:eastAsia="宋体"/>
                <w:b/>
                <w:sz w:val="21"/>
                <w:lang w:val="en-US"/>
              </w:rPr>
              <w:t>/d</w:t>
            </w:r>
            <w:r>
              <w:rPr>
                <w:rFonts w:hint="eastAsia" w:eastAsia="宋体"/>
                <w:b/>
                <w:sz w:val="21"/>
              </w:rPr>
              <w:t>）</w:t>
            </w:r>
          </w:p>
          <w:p w14:paraId="6A70ACE8">
            <w:pPr>
              <w:spacing w:line="360" w:lineRule="auto"/>
              <w:ind w:firstLine="482" w:firstLineChars="200"/>
              <w:jc w:val="left"/>
              <w:rPr>
                <w:b/>
                <w:bCs/>
                <w:sz w:val="24"/>
                <w:szCs w:val="24"/>
              </w:rPr>
            </w:pPr>
            <w:r>
              <w:rPr>
                <w:rFonts w:hint="eastAsia"/>
                <w:b/>
                <w:bCs/>
                <w:sz w:val="24"/>
                <w:szCs w:val="24"/>
              </w:rPr>
              <w:t>7.项目</w:t>
            </w:r>
            <w:r>
              <w:rPr>
                <w:b/>
                <w:bCs/>
                <w:sz w:val="24"/>
                <w:szCs w:val="24"/>
              </w:rPr>
              <w:t>平面布置图与四至情况</w:t>
            </w:r>
          </w:p>
          <w:p w14:paraId="7FA63970">
            <w:pPr>
              <w:spacing w:line="360" w:lineRule="auto"/>
              <w:ind w:firstLine="480" w:firstLineChars="200"/>
              <w:jc w:val="left"/>
              <w:rPr>
                <w:sz w:val="24"/>
                <w:szCs w:val="24"/>
              </w:rPr>
            </w:pPr>
            <w:r>
              <w:rPr>
                <w:sz w:val="24"/>
                <w:szCs w:val="24"/>
              </w:rPr>
              <w:t>（1）厂区平面布置</w:t>
            </w:r>
          </w:p>
          <w:p w14:paraId="767F2962">
            <w:pPr>
              <w:spacing w:line="360" w:lineRule="auto"/>
              <w:ind w:firstLine="480" w:firstLineChars="200"/>
              <w:rPr>
                <w:sz w:val="24"/>
                <w:szCs w:val="24"/>
              </w:rPr>
            </w:pPr>
            <w:r>
              <w:rPr>
                <w:rFonts w:hint="eastAsia"/>
                <w:sz w:val="24"/>
              </w:rPr>
              <w:t>改扩建项目</w:t>
            </w:r>
            <w:r>
              <w:rPr>
                <w:rFonts w:hint="eastAsia"/>
                <w:bCs/>
                <w:sz w:val="24"/>
                <w:szCs w:val="24"/>
              </w:rPr>
              <w:t>位于现有厂区西北部，</w:t>
            </w:r>
            <w:r>
              <w:rPr>
                <w:rFonts w:hint="eastAsia"/>
                <w:sz w:val="24"/>
                <w:szCs w:val="24"/>
              </w:rPr>
              <w:t>主要建筑物包括新建1栋单层生产车间、储罐和改建锅炉房，其中办公、宿舍、食堂、危险废物暂存、生活污水处理均依托现有项目设施。改扩建后全厂</w:t>
            </w:r>
            <w:r>
              <w:rPr>
                <w:rFonts w:hint="eastAsia"/>
                <w:bCs/>
                <w:sz w:val="24"/>
                <w:szCs w:val="24"/>
              </w:rPr>
              <w:t>总平面布置见附图11，改扩建项目总平面布置见附图12。</w:t>
            </w:r>
          </w:p>
          <w:p w14:paraId="76FBEAF5">
            <w:pPr>
              <w:tabs>
                <w:tab w:val="left" w:pos="1081"/>
              </w:tabs>
              <w:spacing w:line="360" w:lineRule="auto"/>
              <w:ind w:firstLine="482" w:firstLineChars="200"/>
              <w:rPr>
                <w:b/>
                <w:sz w:val="24"/>
              </w:rPr>
            </w:pPr>
            <w:r>
              <w:rPr>
                <w:b/>
                <w:sz w:val="24"/>
              </w:rPr>
              <w:t>（2）四至情况</w:t>
            </w:r>
          </w:p>
          <w:p w14:paraId="45D40756">
            <w:pPr>
              <w:tabs>
                <w:tab w:val="left" w:pos="1081"/>
              </w:tabs>
              <w:spacing w:line="360" w:lineRule="auto"/>
              <w:ind w:firstLine="480" w:firstLineChars="200"/>
              <w:rPr>
                <w:sz w:val="24"/>
                <w:szCs w:val="24"/>
              </w:rPr>
            </w:pPr>
            <w:r>
              <w:rPr>
                <w:rFonts w:hint="eastAsia"/>
                <w:bCs/>
                <w:sz w:val="24"/>
                <w:szCs w:val="24"/>
                <w:lang w:bidi="ar"/>
              </w:rPr>
              <w:t>改扩建项目东面、北面为厂区预留用地，西面为厂界及林地，南面为厂区现有生产车间。厂区外东面、南面为鱼塘、林地，西面为林地，北面为空地，厂区外500米范围内没有环境保护目标。四至情况见附图13~附图14。</w:t>
            </w:r>
          </w:p>
        </w:tc>
      </w:tr>
      <w:tr w14:paraId="5935AC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245" w:type="pct"/>
            <w:vAlign w:val="center"/>
          </w:tcPr>
          <w:p w14:paraId="077AF31A">
            <w:pPr>
              <w:widowControl/>
              <w:adjustRightInd w:val="0"/>
              <w:snapToGrid w:val="0"/>
              <w:jc w:val="center"/>
              <w:rPr>
                <w:b/>
                <w:kern w:val="0"/>
                <w:sz w:val="24"/>
                <w:szCs w:val="24"/>
              </w:rPr>
            </w:pPr>
            <w:r>
              <w:rPr>
                <w:b/>
                <w:kern w:val="0"/>
                <w:sz w:val="24"/>
                <w:szCs w:val="24"/>
              </w:rPr>
              <w:t>工艺流程和产排污环节</w:t>
            </w:r>
          </w:p>
        </w:tc>
        <w:tc>
          <w:tcPr>
            <w:tcW w:w="4755" w:type="pct"/>
            <w:vAlign w:val="center"/>
          </w:tcPr>
          <w:p w14:paraId="6956BC87">
            <w:pPr>
              <w:spacing w:before="120" w:beforeLines="50" w:line="360" w:lineRule="auto"/>
              <w:ind w:firstLine="482" w:firstLineChars="200"/>
              <w:jc w:val="left"/>
              <w:rPr>
                <w:b/>
                <w:bCs/>
                <w:sz w:val="24"/>
                <w:szCs w:val="24"/>
              </w:rPr>
            </w:pPr>
            <w:r>
              <w:rPr>
                <w:b/>
                <w:bCs/>
                <w:sz w:val="24"/>
                <w:szCs w:val="24"/>
              </w:rPr>
              <w:t>1.施工期</w:t>
            </w:r>
          </w:p>
          <w:p w14:paraId="6724C0D6">
            <w:pPr>
              <w:pStyle w:val="42"/>
              <w:spacing w:line="360" w:lineRule="auto"/>
              <w:ind w:firstLine="480" w:firstLineChars="200"/>
              <w:rPr>
                <w:rFonts w:hint="default" w:ascii="Times New Roman" w:hAnsi="Times New Roman"/>
                <w:b w:val="0"/>
                <w:color w:val="auto"/>
              </w:rPr>
            </w:pPr>
            <w:r>
              <w:rPr>
                <w:rFonts w:ascii="Times New Roman" w:hAnsi="Times New Roman"/>
                <w:b w:val="0"/>
                <w:color w:val="auto"/>
                <w:szCs w:val="24"/>
              </w:rPr>
              <w:t>改扩建项目新增占地面积约2243m</w:t>
            </w:r>
            <w:r>
              <w:rPr>
                <w:rFonts w:ascii="Times New Roman" w:hAnsi="Times New Roman"/>
                <w:b w:val="0"/>
                <w:color w:val="auto"/>
                <w:szCs w:val="24"/>
                <w:vertAlign w:val="superscript"/>
              </w:rPr>
              <w:t>2</w:t>
            </w:r>
            <w:r>
              <w:rPr>
                <w:rFonts w:ascii="Times New Roman" w:hAnsi="Times New Roman"/>
                <w:b w:val="0"/>
                <w:color w:val="auto"/>
                <w:szCs w:val="24"/>
              </w:rPr>
              <w:t>，新增建筑面积约2280m</w:t>
            </w:r>
            <w:r>
              <w:rPr>
                <w:rFonts w:ascii="Times New Roman" w:hAnsi="Times New Roman"/>
                <w:b w:val="0"/>
                <w:color w:val="auto"/>
                <w:szCs w:val="24"/>
                <w:vertAlign w:val="superscript"/>
              </w:rPr>
              <w:t>2</w:t>
            </w:r>
            <w:r>
              <w:rPr>
                <w:rFonts w:ascii="Times New Roman" w:hAnsi="Times New Roman"/>
                <w:b w:val="0"/>
                <w:color w:val="auto"/>
                <w:szCs w:val="24"/>
              </w:rPr>
              <w:t>，主要为新建1栋厂房，对现有锅炉房进行改造，新建2个成品油储罐及其他配套附属设施。</w:t>
            </w:r>
            <w:r>
              <w:rPr>
                <w:rFonts w:ascii="Times New Roman" w:hAnsi="Times New Roman"/>
                <w:b w:val="0"/>
                <w:color w:val="auto"/>
                <w:kern w:val="0"/>
              </w:rPr>
              <w:t>施工工艺流程包括基础施工、结构施工、设备安装、建筑装饰等，见图2-4。</w:t>
            </w:r>
          </w:p>
          <w:p w14:paraId="0806C8F5">
            <w:pPr>
              <w:tabs>
                <w:tab w:val="center" w:pos="4176"/>
              </w:tabs>
              <w:spacing w:line="360" w:lineRule="auto"/>
              <w:jc w:val="center"/>
              <w:rPr>
                <w:sz w:val="24"/>
              </w:rPr>
            </w:pPr>
            <w:r>
              <w:drawing>
                <wp:inline distT="0" distB="0" distL="0" distR="0">
                  <wp:extent cx="4730750" cy="1214120"/>
                  <wp:effectExtent l="0" t="0" r="0" b="5080"/>
                  <wp:docPr id="17552994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299431" name="图片 1"/>
                          <pic:cNvPicPr>
                            <a:picLocks noChangeAspect="1"/>
                          </pic:cNvPicPr>
                        </pic:nvPicPr>
                        <pic:blipFill>
                          <a:blip r:embed="rId15"/>
                          <a:stretch>
                            <a:fillRect/>
                          </a:stretch>
                        </pic:blipFill>
                        <pic:spPr>
                          <a:xfrm>
                            <a:off x="0" y="0"/>
                            <a:ext cx="4752122" cy="1219783"/>
                          </a:xfrm>
                          <a:prstGeom prst="rect">
                            <a:avLst/>
                          </a:prstGeom>
                        </pic:spPr>
                      </pic:pic>
                    </a:graphicData>
                  </a:graphic>
                </wp:inline>
              </w:drawing>
            </w:r>
          </w:p>
          <w:p w14:paraId="0758121C">
            <w:pPr>
              <w:pStyle w:val="14"/>
              <w:spacing w:before="0" w:beforeLines="0" w:after="0" w:afterLines="0" w:line="360" w:lineRule="auto"/>
              <w:rPr>
                <w:rFonts w:eastAsia="宋体"/>
                <w:b/>
                <w:sz w:val="21"/>
              </w:rPr>
            </w:pPr>
            <w:r>
              <w:rPr>
                <w:rFonts w:eastAsia="宋体"/>
                <w:b/>
                <w:sz w:val="21"/>
              </w:rPr>
              <w:t>图2-</w:t>
            </w:r>
            <w:r>
              <w:rPr>
                <w:rFonts w:hint="eastAsia" w:eastAsia="宋体"/>
                <w:b/>
                <w:sz w:val="21"/>
              </w:rPr>
              <w:t>4</w:t>
            </w:r>
            <w:r>
              <w:rPr>
                <w:rFonts w:eastAsia="宋体"/>
                <w:b/>
                <w:sz w:val="21"/>
              </w:rPr>
              <w:t xml:space="preserve"> 施工期工艺流程及产污环节</w:t>
            </w:r>
          </w:p>
          <w:p w14:paraId="58BB6B00">
            <w:pPr>
              <w:adjustRightInd w:val="0"/>
              <w:snapToGrid w:val="0"/>
              <w:spacing w:line="360" w:lineRule="auto"/>
              <w:ind w:firstLine="480" w:firstLineChars="200"/>
              <w:rPr>
                <w:sz w:val="24"/>
              </w:rPr>
            </w:pPr>
            <w:r>
              <w:rPr>
                <w:sz w:val="24"/>
              </w:rPr>
              <w:t>施工期产污环节及主要污染因子有：</w:t>
            </w:r>
          </w:p>
          <w:p w14:paraId="2904CCFF">
            <w:pPr>
              <w:adjustRightInd w:val="0"/>
              <w:snapToGrid w:val="0"/>
              <w:spacing w:line="360" w:lineRule="auto"/>
              <w:ind w:firstLine="480" w:firstLineChars="200"/>
              <w:rPr>
                <w:sz w:val="24"/>
              </w:rPr>
            </w:pPr>
            <w:r>
              <w:rPr>
                <w:rFonts w:hint="eastAsia"/>
                <w:sz w:val="24"/>
              </w:rPr>
              <w:t>（1）</w:t>
            </w:r>
            <w:r>
              <w:rPr>
                <w:sz w:val="24"/>
              </w:rPr>
              <w:t>废水</w:t>
            </w:r>
          </w:p>
          <w:p w14:paraId="38391EFD">
            <w:pPr>
              <w:adjustRightInd w:val="0"/>
              <w:snapToGrid w:val="0"/>
              <w:spacing w:line="360" w:lineRule="auto"/>
              <w:ind w:firstLine="480" w:firstLineChars="200"/>
              <w:rPr>
                <w:sz w:val="24"/>
              </w:rPr>
            </w:pPr>
            <w:r>
              <w:rPr>
                <w:rFonts w:hint="eastAsia"/>
                <w:sz w:val="24"/>
              </w:rPr>
              <w:t>包括</w:t>
            </w:r>
            <w:r>
              <w:rPr>
                <w:sz w:val="24"/>
              </w:rPr>
              <w:t>施工工人生活污水和施工废水。生活污水包括施工人员的洗手水和厕所冲</w:t>
            </w:r>
            <w:r>
              <w:rPr>
                <w:rFonts w:hint="eastAsia"/>
                <w:sz w:val="24"/>
              </w:rPr>
              <w:t>洗</w:t>
            </w:r>
            <w:r>
              <w:rPr>
                <w:sz w:val="24"/>
              </w:rPr>
              <w:t>水等；施工废水包场地清洗、机械设备运转的冷却水和运输车辆轮胎洗涤水等。</w:t>
            </w:r>
          </w:p>
          <w:p w14:paraId="0266AD46">
            <w:pPr>
              <w:adjustRightInd w:val="0"/>
              <w:snapToGrid w:val="0"/>
              <w:spacing w:line="360" w:lineRule="auto"/>
              <w:ind w:firstLine="480" w:firstLineChars="200"/>
              <w:rPr>
                <w:sz w:val="24"/>
              </w:rPr>
            </w:pPr>
            <w:r>
              <w:rPr>
                <w:rFonts w:hint="eastAsia"/>
                <w:sz w:val="24"/>
              </w:rPr>
              <w:t>（2）</w:t>
            </w:r>
            <w:r>
              <w:rPr>
                <w:sz w:val="24"/>
              </w:rPr>
              <w:t>废气</w:t>
            </w:r>
          </w:p>
          <w:p w14:paraId="38121658">
            <w:pPr>
              <w:adjustRightInd w:val="0"/>
              <w:snapToGrid w:val="0"/>
              <w:spacing w:line="360" w:lineRule="auto"/>
              <w:ind w:firstLine="480" w:firstLineChars="200"/>
              <w:rPr>
                <w:sz w:val="24"/>
              </w:rPr>
            </w:pPr>
            <w:r>
              <w:rPr>
                <w:rFonts w:hint="eastAsia"/>
                <w:sz w:val="24"/>
              </w:rPr>
              <w:t>废气</w:t>
            </w:r>
            <w:r>
              <w:rPr>
                <w:sz w:val="24"/>
              </w:rPr>
              <w:t>产生源主要</w:t>
            </w:r>
            <w:r>
              <w:rPr>
                <w:rFonts w:hint="eastAsia"/>
                <w:sz w:val="24"/>
              </w:rPr>
              <w:t>包括</w:t>
            </w:r>
            <w:r>
              <w:rPr>
                <w:sz w:val="24"/>
              </w:rPr>
              <w:t>场地开挖平整</w:t>
            </w:r>
            <w:r>
              <w:rPr>
                <w:rFonts w:hint="eastAsia"/>
                <w:sz w:val="24"/>
              </w:rPr>
              <w:t>、</w:t>
            </w:r>
            <w:r>
              <w:rPr>
                <w:sz w:val="24"/>
              </w:rPr>
              <w:t>基础施工</w:t>
            </w:r>
            <w:r>
              <w:rPr>
                <w:rFonts w:hint="eastAsia"/>
                <w:sz w:val="24"/>
              </w:rPr>
              <w:t>、物料</w:t>
            </w:r>
            <w:r>
              <w:rPr>
                <w:sz w:val="24"/>
              </w:rPr>
              <w:t>运输</w:t>
            </w:r>
            <w:r>
              <w:rPr>
                <w:rFonts w:hint="eastAsia"/>
                <w:sz w:val="24"/>
              </w:rPr>
              <w:t>和</w:t>
            </w:r>
            <w:r>
              <w:rPr>
                <w:sz w:val="24"/>
              </w:rPr>
              <w:t>装卸等</w:t>
            </w:r>
            <w:r>
              <w:rPr>
                <w:rFonts w:hint="eastAsia"/>
                <w:sz w:val="24"/>
              </w:rPr>
              <w:t>过程</w:t>
            </w:r>
            <w:r>
              <w:rPr>
                <w:sz w:val="24"/>
              </w:rPr>
              <w:t>产生</w:t>
            </w:r>
            <w:r>
              <w:rPr>
                <w:rFonts w:hint="eastAsia"/>
                <w:sz w:val="24"/>
              </w:rPr>
              <w:t>的</w:t>
            </w:r>
            <w:r>
              <w:rPr>
                <w:sz w:val="24"/>
              </w:rPr>
              <w:t>扬尘</w:t>
            </w:r>
            <w:r>
              <w:rPr>
                <w:rFonts w:hint="eastAsia"/>
                <w:sz w:val="24"/>
              </w:rPr>
              <w:t>，</w:t>
            </w:r>
            <w:r>
              <w:rPr>
                <w:sz w:val="24"/>
              </w:rPr>
              <w:t>各类施工机械和运输车辆所排</w:t>
            </w:r>
            <w:r>
              <w:rPr>
                <w:rFonts w:hint="eastAsia"/>
                <w:sz w:val="24"/>
              </w:rPr>
              <w:t>放</w:t>
            </w:r>
            <w:r>
              <w:rPr>
                <w:sz w:val="24"/>
              </w:rPr>
              <w:t>的废气，装修废气等。</w:t>
            </w:r>
          </w:p>
          <w:p w14:paraId="28F0057D">
            <w:pPr>
              <w:adjustRightInd w:val="0"/>
              <w:snapToGrid w:val="0"/>
              <w:spacing w:line="360" w:lineRule="auto"/>
              <w:ind w:firstLine="480" w:firstLineChars="200"/>
              <w:rPr>
                <w:sz w:val="24"/>
              </w:rPr>
            </w:pPr>
            <w:r>
              <w:rPr>
                <w:rFonts w:hint="eastAsia"/>
                <w:sz w:val="24"/>
              </w:rPr>
              <w:t>（3）</w:t>
            </w:r>
            <w:r>
              <w:rPr>
                <w:sz w:val="24"/>
              </w:rPr>
              <w:t>噪声</w:t>
            </w:r>
          </w:p>
          <w:p w14:paraId="1B0F5CE3">
            <w:pPr>
              <w:adjustRightInd w:val="0"/>
              <w:snapToGrid w:val="0"/>
              <w:spacing w:line="360" w:lineRule="auto"/>
              <w:ind w:firstLine="480" w:firstLineChars="200"/>
              <w:rPr>
                <w:sz w:val="24"/>
              </w:rPr>
            </w:pPr>
            <w:r>
              <w:rPr>
                <w:sz w:val="24"/>
              </w:rPr>
              <w:t>施工期噪声源主要为施工机械和运输车辆，不同的施工阶段，所产生的噪声源类型不同。</w:t>
            </w:r>
          </w:p>
          <w:p w14:paraId="376B2717">
            <w:pPr>
              <w:adjustRightInd w:val="0"/>
              <w:snapToGrid w:val="0"/>
              <w:spacing w:line="360" w:lineRule="auto"/>
              <w:ind w:firstLine="480" w:firstLineChars="200"/>
              <w:rPr>
                <w:sz w:val="24"/>
              </w:rPr>
            </w:pPr>
            <w:r>
              <w:rPr>
                <w:rFonts w:hint="eastAsia"/>
                <w:sz w:val="24"/>
              </w:rPr>
              <w:t>（4）</w:t>
            </w:r>
            <w:r>
              <w:rPr>
                <w:sz w:val="24"/>
              </w:rPr>
              <w:t>固体废物</w:t>
            </w:r>
          </w:p>
          <w:p w14:paraId="24C760CB">
            <w:pPr>
              <w:adjustRightInd w:val="0"/>
              <w:snapToGrid w:val="0"/>
              <w:spacing w:line="360" w:lineRule="auto"/>
              <w:ind w:firstLine="480" w:firstLineChars="200"/>
              <w:rPr>
                <w:sz w:val="24"/>
              </w:rPr>
            </w:pPr>
            <w:r>
              <w:rPr>
                <w:sz w:val="24"/>
              </w:rPr>
              <w:t>施工固废主要有施工人员产生的生活垃圾和施工过程中的建筑、装修垃圾等。</w:t>
            </w:r>
          </w:p>
          <w:p w14:paraId="0FD91182">
            <w:pPr>
              <w:adjustRightInd w:val="0"/>
              <w:snapToGrid w:val="0"/>
              <w:spacing w:line="360" w:lineRule="auto"/>
              <w:ind w:firstLine="480" w:firstLineChars="200"/>
              <w:rPr>
                <w:sz w:val="24"/>
              </w:rPr>
            </w:pPr>
            <w:r>
              <w:rPr>
                <w:rFonts w:hint="eastAsia"/>
                <w:sz w:val="24"/>
              </w:rPr>
              <w:t>（5）</w:t>
            </w:r>
            <w:r>
              <w:rPr>
                <w:sz w:val="24"/>
              </w:rPr>
              <w:t>生态</w:t>
            </w:r>
          </w:p>
          <w:p w14:paraId="15815FD4">
            <w:pPr>
              <w:adjustRightInd w:val="0"/>
              <w:snapToGrid w:val="0"/>
              <w:spacing w:line="360" w:lineRule="auto"/>
              <w:ind w:firstLine="480" w:firstLineChars="200"/>
              <w:rPr>
                <w:sz w:val="24"/>
              </w:rPr>
            </w:pPr>
            <w:r>
              <w:rPr>
                <w:sz w:val="24"/>
              </w:rPr>
              <w:t>施工期间裸露地表以及工程弃渣的临时堆放，如不采取合理的措施，</w:t>
            </w:r>
            <w:r>
              <w:rPr>
                <w:rFonts w:hint="eastAsia"/>
                <w:sz w:val="24"/>
              </w:rPr>
              <w:t>雨天极易</w:t>
            </w:r>
            <w:r>
              <w:rPr>
                <w:sz w:val="24"/>
              </w:rPr>
              <w:t>造成水土流失。</w:t>
            </w:r>
          </w:p>
          <w:p w14:paraId="29BDBEAE">
            <w:pPr>
              <w:spacing w:before="120" w:beforeLines="50" w:line="360" w:lineRule="auto"/>
              <w:ind w:firstLine="482" w:firstLineChars="200"/>
              <w:jc w:val="left"/>
              <w:rPr>
                <w:b/>
                <w:bCs/>
                <w:sz w:val="24"/>
                <w:szCs w:val="24"/>
              </w:rPr>
            </w:pPr>
            <w:r>
              <w:rPr>
                <w:rFonts w:hint="eastAsia"/>
                <w:b/>
                <w:bCs/>
                <w:sz w:val="24"/>
                <w:szCs w:val="24"/>
              </w:rPr>
              <w:t>2.运营期</w:t>
            </w:r>
          </w:p>
          <w:p w14:paraId="5412E7E2">
            <w:pPr>
              <w:adjustRightInd w:val="0"/>
              <w:snapToGrid w:val="0"/>
              <w:spacing w:line="360" w:lineRule="auto"/>
              <w:ind w:firstLine="480" w:firstLineChars="200"/>
              <w:rPr>
                <w:sz w:val="24"/>
              </w:rPr>
            </w:pPr>
            <w:r>
              <w:rPr>
                <w:rFonts w:hint="eastAsia"/>
                <w:sz w:val="24"/>
              </w:rPr>
              <w:t>改扩建项目</w:t>
            </w:r>
            <w:r>
              <w:rPr>
                <w:sz w:val="24"/>
              </w:rPr>
              <w:t>生产工艺流程见图2-</w:t>
            </w:r>
            <w:r>
              <w:rPr>
                <w:rFonts w:hint="eastAsia"/>
                <w:sz w:val="24"/>
              </w:rPr>
              <w:t>5</w:t>
            </w:r>
            <w:r>
              <w:rPr>
                <w:sz w:val="24"/>
              </w:rPr>
              <w:t>。</w:t>
            </w:r>
          </w:p>
          <w:p w14:paraId="1EE5FEBF">
            <w:pPr>
              <w:pStyle w:val="42"/>
              <w:spacing w:line="360" w:lineRule="auto"/>
              <w:jc w:val="center"/>
              <w:rPr>
                <w:rFonts w:hint="default" w:ascii="Times New Roman" w:hAnsi="Times New Roman"/>
                <w:b w:val="0"/>
                <w:color w:val="auto"/>
                <w:szCs w:val="24"/>
              </w:rPr>
            </w:pPr>
          </w:p>
          <w:p w14:paraId="203730A8">
            <w:pPr>
              <w:pStyle w:val="12"/>
              <w:spacing w:line="360" w:lineRule="auto"/>
              <w:ind w:left="0" w:leftChars="0" w:firstLine="0" w:firstLineChars="0"/>
              <w:jc w:val="center"/>
              <w:rPr>
                <w:rFonts w:hint="eastAsia"/>
              </w:rPr>
            </w:pPr>
            <w:r>
              <w:rPr>
                <w:rFonts w:hint="eastAsia"/>
              </w:rPr>
              <w:drawing>
                <wp:inline distT="0" distB="0" distL="0" distR="0">
                  <wp:extent cx="4568190" cy="5549900"/>
                  <wp:effectExtent l="0" t="0" r="3810" b="0"/>
                  <wp:docPr id="2041482097"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82097" name="图片 15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72699" cy="5554798"/>
                          </a:xfrm>
                          <a:prstGeom prst="rect">
                            <a:avLst/>
                          </a:prstGeom>
                        </pic:spPr>
                      </pic:pic>
                    </a:graphicData>
                  </a:graphic>
                </wp:inline>
              </w:drawing>
            </w:r>
          </w:p>
          <w:p w14:paraId="786AA96B">
            <w:pPr>
              <w:pStyle w:val="14"/>
              <w:spacing w:before="0" w:beforeLines="0" w:after="0" w:afterLines="0" w:line="360" w:lineRule="auto"/>
              <w:rPr>
                <w:rFonts w:eastAsia="宋体"/>
                <w:b/>
                <w:sz w:val="21"/>
              </w:rPr>
            </w:pPr>
            <w:r>
              <w:rPr>
                <w:rFonts w:hint="eastAsia" w:eastAsia="宋体"/>
                <w:b/>
                <w:sz w:val="21"/>
              </w:rPr>
              <w:t>图2-5 项目生产工艺流程图</w:t>
            </w:r>
          </w:p>
          <w:p w14:paraId="6A134B09">
            <w:pPr>
              <w:tabs>
                <w:tab w:val="left" w:pos="0"/>
              </w:tabs>
              <w:spacing w:line="360" w:lineRule="auto"/>
              <w:ind w:firstLine="480" w:firstLineChars="200"/>
              <w:rPr>
                <w:sz w:val="24"/>
                <w:szCs w:val="24"/>
              </w:rPr>
            </w:pPr>
            <w:r>
              <w:rPr>
                <w:rFonts w:hint="eastAsia"/>
                <w:sz w:val="24"/>
                <w:szCs w:val="24"/>
              </w:rPr>
              <w:t>生产工艺流程简述</w:t>
            </w:r>
          </w:p>
          <w:p w14:paraId="5AAB2048">
            <w:pPr>
              <w:pStyle w:val="42"/>
              <w:spacing w:line="360" w:lineRule="auto"/>
              <w:ind w:firstLine="480" w:firstLineChars="200"/>
              <w:rPr>
                <w:rFonts w:hint="default" w:ascii="Times New Roman" w:hAnsi="Times New Roman"/>
                <w:b w:val="0"/>
                <w:bCs/>
                <w:color w:val="auto"/>
                <w:szCs w:val="28"/>
                <w:lang w:bidi="ar"/>
              </w:rPr>
            </w:pPr>
            <w:r>
              <w:rPr>
                <w:rFonts w:ascii="Times New Roman" w:hAnsi="Times New Roman"/>
                <w:b w:val="0"/>
                <w:bCs/>
                <w:color w:val="auto"/>
                <w:szCs w:val="28"/>
                <w:lang w:bidi="ar"/>
              </w:rPr>
              <w:t>（1）暂存</w:t>
            </w:r>
          </w:p>
          <w:p w14:paraId="422992E0">
            <w:pPr>
              <w:pStyle w:val="42"/>
              <w:spacing w:line="360" w:lineRule="auto"/>
              <w:ind w:firstLine="480" w:firstLineChars="200"/>
              <w:rPr>
                <w:rFonts w:hint="default" w:ascii="Times New Roman" w:hAnsi="Times New Roman"/>
                <w:b w:val="0"/>
                <w:color w:val="auto"/>
                <w:szCs w:val="28"/>
                <w:lang w:bidi="ar"/>
              </w:rPr>
            </w:pPr>
            <w:r>
              <w:rPr>
                <w:rFonts w:ascii="Times New Roman" w:hAnsi="Times New Roman"/>
                <w:b w:val="0"/>
                <w:color w:val="auto"/>
                <w:szCs w:val="28"/>
                <w:lang w:bidi="ar"/>
              </w:rPr>
              <w:t>散装废白土通过自卸货车运输入厂暂存于生产车间内废白土堆放区，堆放区场地硬底化并进行了防渗处理。原料废白土含有约20~25%的油脂和少量水分，呈润湿状态，暂存及后续的造料过程均不会产生粉尘。废白士堆放过程会产生少量臭气</w:t>
            </w:r>
            <w:r>
              <w:rPr>
                <w:rFonts w:ascii="Times New Roman" w:hAnsi="Times New Roman"/>
                <w:b w:val="0"/>
                <w:bCs/>
                <w:color w:val="auto"/>
                <w:szCs w:val="28"/>
                <w:lang w:bidi="ar"/>
              </w:rPr>
              <w:t>。臭气通过在原料堆放区设置集气罩进行收集，收集</w:t>
            </w:r>
            <w:r>
              <w:rPr>
                <w:rFonts w:ascii="Times New Roman" w:hAnsi="Times New Roman"/>
                <w:b w:val="0"/>
                <w:color w:val="auto"/>
                <w:szCs w:val="28"/>
                <w:lang w:bidi="ar"/>
              </w:rPr>
              <w:t>后通过活性炭吸附设施处理达标后排放。</w:t>
            </w:r>
          </w:p>
          <w:p w14:paraId="463B2916">
            <w:pPr>
              <w:pStyle w:val="42"/>
              <w:spacing w:line="360" w:lineRule="auto"/>
              <w:ind w:firstLine="480" w:firstLineChars="200"/>
              <w:rPr>
                <w:rFonts w:hint="default" w:ascii="Times New Roman" w:hAnsi="Times New Roman"/>
                <w:b w:val="0"/>
                <w:bCs/>
                <w:color w:val="auto"/>
                <w:szCs w:val="28"/>
                <w:lang w:bidi="ar"/>
              </w:rPr>
            </w:pPr>
            <w:r>
              <w:rPr>
                <w:rFonts w:ascii="Times New Roman" w:hAnsi="Times New Roman"/>
                <w:b w:val="0"/>
                <w:bCs/>
                <w:color w:val="auto"/>
                <w:szCs w:val="28"/>
                <w:lang w:bidi="ar"/>
              </w:rPr>
              <w:t>（2）造粒</w:t>
            </w:r>
          </w:p>
          <w:p w14:paraId="02010C65">
            <w:pPr>
              <w:pStyle w:val="42"/>
              <w:spacing w:line="360" w:lineRule="auto"/>
              <w:ind w:firstLine="480" w:firstLineChars="200"/>
              <w:rPr>
                <w:rFonts w:hint="default" w:ascii="Times New Roman" w:hAnsi="Times New Roman"/>
                <w:b w:val="0"/>
                <w:color w:val="auto"/>
                <w:szCs w:val="28"/>
                <w:lang w:bidi="ar"/>
              </w:rPr>
            </w:pPr>
            <w:r>
              <w:rPr>
                <w:rFonts w:ascii="Times New Roman" w:hAnsi="Times New Roman"/>
                <w:b w:val="0"/>
                <w:color w:val="auto"/>
                <w:szCs w:val="28"/>
                <w:lang w:bidi="ar"/>
              </w:rPr>
              <w:t>采用人工投料的方式，将废白土投入造粒机内制粒。废白土经过造粒机的网压制，形成料径均匀的颗粒（长约1cm，直径约0.2cm）。原料废白土含有约20~25%的油脂和少量水分，呈润湿状态，投料和造料过程均不会产生粉尘。投料和造料产生噪声和臭气。臭气主要成分为非甲烷总烃、硫化氢、氨，通过在造粒机上方设置集气罩进行收集，收集后通过活性炭吸附设施处理达标后排放。</w:t>
            </w:r>
          </w:p>
          <w:p w14:paraId="00ADCA57">
            <w:pPr>
              <w:pStyle w:val="42"/>
              <w:spacing w:line="360" w:lineRule="auto"/>
              <w:ind w:firstLine="480" w:firstLineChars="200"/>
              <w:rPr>
                <w:rFonts w:hint="default" w:ascii="Times New Roman" w:hAnsi="Times New Roman"/>
                <w:b w:val="0"/>
                <w:bCs/>
                <w:color w:val="auto"/>
                <w:szCs w:val="28"/>
                <w:lang w:bidi="ar"/>
              </w:rPr>
            </w:pPr>
            <w:r>
              <w:rPr>
                <w:rFonts w:ascii="Times New Roman" w:hAnsi="Times New Roman"/>
                <w:b w:val="0"/>
                <w:bCs/>
                <w:color w:val="auto"/>
                <w:szCs w:val="28"/>
                <w:lang w:bidi="ar"/>
              </w:rPr>
              <w:t>（3）浸出</w:t>
            </w:r>
          </w:p>
          <w:p w14:paraId="3086A6E3">
            <w:pPr>
              <w:pStyle w:val="42"/>
              <w:spacing w:line="360" w:lineRule="auto"/>
              <w:ind w:firstLine="480" w:firstLineChars="200"/>
              <w:rPr>
                <w:rFonts w:hint="default" w:ascii="Times New Roman" w:hAnsi="Times New Roman"/>
                <w:b w:val="0"/>
                <w:color w:val="auto"/>
                <w:szCs w:val="28"/>
                <w:lang w:bidi="ar"/>
              </w:rPr>
            </w:pPr>
            <w:r>
              <w:rPr>
                <w:rFonts w:ascii="Times New Roman" w:hAnsi="Times New Roman"/>
                <w:b w:val="0"/>
                <w:color w:val="auto"/>
                <w:szCs w:val="28"/>
                <w:lang w:bidi="ar"/>
              </w:rPr>
              <w:t>废白土颗粒经传送带输送进入浸出罐，溶剂通过密闭管道通入浸出罐中，颗粒在浸出罐中与溶剂充分混合后，再向浸出罐通入锅炉蒸汽加热，保持物料温度在约50℃保温2小时，使废白土中的油脂充分溶解在溶剂中。浸出完成后废白土中所含的油脂与溶剂混合液（浸出液）从浸出罐底部出油口抽出，通过密闭管道进入混合油罐沉淀除杂。浸出罐中的废白土颗粒（浸出渣）被出油口挡板拦截。此过程在浸出罐中完成，浸出液通过密闭管道输送，不会有废气逸出。</w:t>
            </w:r>
          </w:p>
          <w:p w14:paraId="4C4DFE86">
            <w:pPr>
              <w:pStyle w:val="42"/>
              <w:spacing w:line="360" w:lineRule="auto"/>
              <w:ind w:firstLine="480" w:firstLineChars="200"/>
              <w:rPr>
                <w:rFonts w:hint="default" w:ascii="Times New Roman" w:hAnsi="Times New Roman"/>
                <w:b w:val="0"/>
                <w:color w:val="auto"/>
                <w:szCs w:val="28"/>
                <w:lang w:bidi="ar"/>
              </w:rPr>
            </w:pPr>
            <w:r>
              <w:rPr>
                <w:rFonts w:ascii="Times New Roman" w:hAnsi="Times New Roman"/>
                <w:b w:val="0"/>
                <w:color w:val="auto"/>
                <w:szCs w:val="28"/>
                <w:lang w:bidi="ar"/>
              </w:rPr>
              <w:t>（3）白土渣蒸脱</w:t>
            </w:r>
          </w:p>
          <w:p w14:paraId="7D453B15">
            <w:pPr>
              <w:pStyle w:val="42"/>
              <w:spacing w:line="360" w:lineRule="auto"/>
              <w:ind w:firstLine="480" w:firstLineChars="200"/>
              <w:rPr>
                <w:rFonts w:hint="default" w:ascii="Times New Roman" w:hAnsi="Times New Roman"/>
                <w:b w:val="0"/>
                <w:color w:val="auto"/>
                <w:szCs w:val="28"/>
                <w:lang w:bidi="ar"/>
              </w:rPr>
            </w:pPr>
            <w:r>
              <w:rPr>
                <w:rFonts w:ascii="Times New Roman" w:hAnsi="Times New Roman"/>
                <w:b w:val="0"/>
                <w:color w:val="auto"/>
                <w:szCs w:val="28"/>
                <w:lang w:bidi="ar"/>
              </w:rPr>
              <w:t>待浸出罐中的浸出液完全抽出后，再向浸出罐通入锅炉蒸汽使浸出渣温度保持在69℃以上，此时温度达到溶剂的沸点，浸出渣中残留的溶剂挥发形成气态，与该过程蒸发出的水蒸汽一并通过管道引至冷凝系统，进行冷凝回收。然后将蒸脱后的白土渣从出料口排出，暂存于车间内白土渣堆放区，外售给专业回收公司用于制肥料或制砖。</w:t>
            </w:r>
          </w:p>
          <w:p w14:paraId="2081242D">
            <w:pPr>
              <w:pStyle w:val="42"/>
              <w:spacing w:line="360" w:lineRule="auto"/>
              <w:ind w:firstLine="480" w:firstLineChars="200"/>
              <w:rPr>
                <w:rFonts w:hint="default" w:ascii="Times New Roman" w:hAnsi="Times New Roman"/>
                <w:b w:val="0"/>
                <w:bCs/>
                <w:color w:val="auto"/>
                <w:szCs w:val="28"/>
                <w:lang w:bidi="ar"/>
              </w:rPr>
            </w:pPr>
            <w:r>
              <w:rPr>
                <w:rFonts w:ascii="Times New Roman" w:hAnsi="Times New Roman"/>
                <w:b w:val="0"/>
                <w:bCs/>
                <w:color w:val="auto"/>
                <w:szCs w:val="28"/>
                <w:lang w:bidi="ar"/>
              </w:rPr>
              <w:t>（4）浸出液除杂</w:t>
            </w:r>
          </w:p>
          <w:p w14:paraId="5A346D05">
            <w:pPr>
              <w:pStyle w:val="42"/>
              <w:spacing w:line="360" w:lineRule="auto"/>
              <w:ind w:firstLine="480" w:firstLineChars="200"/>
              <w:rPr>
                <w:rFonts w:hint="default" w:ascii="Times New Roman" w:hAnsi="Times New Roman"/>
                <w:b w:val="0"/>
                <w:color w:val="auto"/>
                <w:szCs w:val="28"/>
                <w:lang w:bidi="ar"/>
              </w:rPr>
            </w:pPr>
            <w:r>
              <w:rPr>
                <w:rFonts w:ascii="Times New Roman" w:hAnsi="Times New Roman"/>
                <w:b w:val="0"/>
                <w:bCs/>
                <w:color w:val="auto"/>
                <w:szCs w:val="28"/>
                <w:lang w:bidi="ar"/>
              </w:rPr>
              <w:t>从</w:t>
            </w:r>
            <w:r>
              <w:rPr>
                <w:rFonts w:ascii="Times New Roman" w:hAnsi="Times New Roman"/>
                <w:b w:val="0"/>
                <w:color w:val="auto"/>
                <w:szCs w:val="28"/>
                <w:lang w:bidi="ar"/>
              </w:rPr>
              <w:t>浸出罐抽出的浸出液经密闭管道进入混合油罐中沉淀，利用重力将浸出液中的杂质沉淀至罐底。罐底杂质富含油脂，定期将其抽出回流至浸出罐与废白土进行浸出加工。</w:t>
            </w:r>
          </w:p>
          <w:p w14:paraId="1825D25D">
            <w:pPr>
              <w:pStyle w:val="42"/>
              <w:spacing w:line="360" w:lineRule="auto"/>
              <w:ind w:firstLine="480" w:firstLineChars="200"/>
              <w:rPr>
                <w:rFonts w:hint="default" w:ascii="Times New Roman" w:hAnsi="Times New Roman"/>
                <w:b w:val="0"/>
                <w:bCs/>
                <w:color w:val="auto"/>
                <w:szCs w:val="28"/>
                <w:lang w:bidi="ar"/>
              </w:rPr>
            </w:pPr>
            <w:r>
              <w:rPr>
                <w:rFonts w:ascii="Times New Roman" w:hAnsi="Times New Roman"/>
                <w:b w:val="0"/>
                <w:color w:val="auto"/>
                <w:szCs w:val="28"/>
                <w:lang w:bidi="ar"/>
              </w:rPr>
              <w:t>（5）</w:t>
            </w:r>
            <w:r>
              <w:rPr>
                <w:rFonts w:ascii="Times New Roman" w:hAnsi="Times New Roman"/>
                <w:b w:val="0"/>
                <w:bCs/>
                <w:color w:val="auto"/>
                <w:szCs w:val="28"/>
                <w:lang w:bidi="ar"/>
              </w:rPr>
              <w:t>浸出液蒸发</w:t>
            </w:r>
          </w:p>
          <w:p w14:paraId="7316AA25">
            <w:pPr>
              <w:pStyle w:val="42"/>
              <w:spacing w:line="360" w:lineRule="auto"/>
              <w:ind w:firstLine="480" w:firstLineChars="200"/>
              <w:rPr>
                <w:rFonts w:hint="default" w:ascii="Times New Roman" w:hAnsi="Times New Roman"/>
                <w:b w:val="0"/>
                <w:color w:val="auto"/>
                <w:szCs w:val="28"/>
                <w:lang w:bidi="ar"/>
              </w:rPr>
            </w:pPr>
            <w:r>
              <w:rPr>
                <w:rFonts w:ascii="Times New Roman" w:hAnsi="Times New Roman"/>
                <w:b w:val="0"/>
                <w:bCs/>
                <w:color w:val="auto"/>
                <w:szCs w:val="28"/>
                <w:lang w:bidi="ar"/>
              </w:rPr>
              <w:t>除杂后的浸出液通过管道输入</w:t>
            </w:r>
            <w:r>
              <w:rPr>
                <w:rFonts w:ascii="Times New Roman" w:hAnsi="Times New Roman"/>
                <w:b w:val="0"/>
                <w:color w:val="auto"/>
                <w:szCs w:val="28"/>
                <w:lang w:bidi="ar"/>
              </w:rPr>
              <w:t>蒸发器蒸发，蒸发器热源使用锅炉蒸汽，蒸发温度约120℃。溶剂的沸点为69℃，远低于油脂的沸点。通过蒸发器120℃的蒸发，</w:t>
            </w:r>
            <w:r>
              <w:rPr>
                <w:rFonts w:ascii="Times New Roman" w:hAnsi="Times New Roman"/>
                <w:b w:val="0"/>
                <w:bCs/>
                <w:color w:val="auto"/>
                <w:szCs w:val="28"/>
                <w:lang w:bidi="ar"/>
              </w:rPr>
              <w:t>浸出液</w:t>
            </w:r>
            <w:r>
              <w:rPr>
                <w:rFonts w:ascii="Times New Roman" w:hAnsi="Times New Roman"/>
                <w:b w:val="0"/>
                <w:color w:val="auto"/>
                <w:szCs w:val="28"/>
                <w:lang w:bidi="ar"/>
              </w:rPr>
              <w:t>中的溶剂及水分以气态的形式进入下一步冷凝系统，油脂以液态的形式成为成品油，从而制得了产品工业油脂。</w:t>
            </w:r>
          </w:p>
          <w:p w14:paraId="3B41A02D">
            <w:pPr>
              <w:pStyle w:val="12"/>
              <w:spacing w:line="360" w:lineRule="auto"/>
              <w:ind w:left="0" w:leftChars="0" w:firstLine="480" w:firstLineChars="200"/>
              <w:rPr>
                <w:sz w:val="24"/>
                <w:lang w:bidi="ar"/>
              </w:rPr>
            </w:pPr>
            <w:r>
              <w:rPr>
                <w:rFonts w:hint="eastAsia"/>
                <w:sz w:val="24"/>
                <w:lang w:bidi="ar"/>
              </w:rPr>
              <w:t>（6）溶剂冷凝回收</w:t>
            </w:r>
          </w:p>
          <w:p w14:paraId="57E8E7A6">
            <w:pPr>
              <w:pStyle w:val="42"/>
              <w:spacing w:line="360" w:lineRule="auto"/>
              <w:ind w:firstLine="480" w:firstLineChars="200"/>
              <w:rPr>
                <w:rFonts w:hint="default" w:ascii="Times New Roman" w:hAnsi="Times New Roman"/>
                <w:b w:val="0"/>
                <w:color w:val="auto"/>
                <w:szCs w:val="28"/>
                <w:lang w:bidi="ar"/>
              </w:rPr>
            </w:pPr>
            <w:r>
              <w:rPr>
                <w:rFonts w:ascii="Times New Roman" w:hAnsi="Times New Roman"/>
                <w:b w:val="0"/>
                <w:bCs/>
                <w:color w:val="auto"/>
                <w:szCs w:val="28"/>
                <w:lang w:bidi="ar"/>
              </w:rPr>
              <w:t>从浸出液中</w:t>
            </w:r>
            <w:r>
              <w:rPr>
                <w:rFonts w:ascii="Times New Roman" w:hAnsi="Times New Roman"/>
                <w:b w:val="0"/>
                <w:color w:val="auto"/>
                <w:szCs w:val="28"/>
                <w:lang w:bidi="ar"/>
              </w:rPr>
              <w:t>蒸发出来的气态溶剂、水分和从浸出渣中蒸脱的气态溶剂、水蒸汽一并进入冷凝系统冷凝成为液态，溶剂不溶于水，因此冷凝后的液体通过分水箱分层后，上层溶剂回流至溶液罐内用于下一批次废白土的处理，下层冷凝水回用于现有项目蒸炒。冷凝系统使用自来水进行间接冷却，带走热量的自来经冷却塔冷却后循环使用。冷凝过程会产生少量的不凝气，污染因子以非甲烷总烃计，不凝气引入活性炭处理设施处理达标后排放。</w:t>
            </w:r>
          </w:p>
          <w:p w14:paraId="642E927C">
            <w:pPr>
              <w:pStyle w:val="42"/>
              <w:spacing w:line="360" w:lineRule="auto"/>
              <w:ind w:firstLine="480" w:firstLineChars="200"/>
              <w:rPr>
                <w:rFonts w:hint="default" w:ascii="Times New Roman" w:hAnsi="Times New Roman"/>
                <w:b w:val="0"/>
                <w:color w:val="auto"/>
                <w:lang w:bidi="ar"/>
              </w:rPr>
            </w:pPr>
            <w:r>
              <w:rPr>
                <w:rFonts w:ascii="Times New Roman" w:hAnsi="Times New Roman"/>
                <w:b w:val="0"/>
                <w:color w:val="auto"/>
                <w:lang w:bidi="ar"/>
              </w:rPr>
              <w:t>改扩建项目主要产污环节见表2-10。</w:t>
            </w:r>
          </w:p>
          <w:p w14:paraId="01952CE7">
            <w:pPr>
              <w:pStyle w:val="14"/>
              <w:spacing w:before="0" w:beforeLines="0" w:after="0" w:afterLines="0" w:line="360" w:lineRule="auto"/>
              <w:rPr>
                <w:rFonts w:eastAsia="宋体"/>
                <w:b/>
                <w:sz w:val="21"/>
              </w:rPr>
            </w:pPr>
            <w:r>
              <w:rPr>
                <w:rFonts w:hint="eastAsia" w:eastAsia="宋体"/>
                <w:b/>
                <w:sz w:val="21"/>
              </w:rPr>
              <w:t>表2-10 改扩建项目</w:t>
            </w:r>
            <w:r>
              <w:rPr>
                <w:rFonts w:eastAsia="宋体"/>
                <w:b/>
                <w:sz w:val="21"/>
              </w:rPr>
              <w:t>产污环节汇总表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1174"/>
              <w:gridCol w:w="1614"/>
              <w:gridCol w:w="2204"/>
              <w:gridCol w:w="2799"/>
              <w:gridCol w:w="9"/>
            </w:tblGrid>
            <w:tr w14:paraId="395B9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shd w:val="clear" w:color="auto" w:fill="FFFFFF"/>
                  <w:vAlign w:val="center"/>
                </w:tcPr>
                <w:p w14:paraId="5ED7C45D">
                  <w:pPr>
                    <w:pStyle w:val="52"/>
                    <w:overflowPunct w:val="0"/>
                    <w:jc w:val="center"/>
                    <w:textAlignment w:val="center"/>
                    <w:rPr>
                      <w:rFonts w:ascii="Times New Roman" w:hAnsi="Times New Roman"/>
                      <w:szCs w:val="24"/>
                    </w:rPr>
                  </w:pPr>
                  <w:r>
                    <w:rPr>
                      <w:rFonts w:ascii="Times New Roman" w:hAnsi="Times New Roman"/>
                      <w:szCs w:val="24"/>
                    </w:rPr>
                    <w:t>产污类型</w:t>
                  </w:r>
                </w:p>
              </w:tc>
              <w:tc>
                <w:tcPr>
                  <w:tcW w:w="1556" w:type="pct"/>
                  <w:gridSpan w:val="2"/>
                  <w:shd w:val="clear" w:color="auto" w:fill="FFFFFF"/>
                  <w:vAlign w:val="center"/>
                </w:tcPr>
                <w:p w14:paraId="16950379">
                  <w:pPr>
                    <w:pStyle w:val="52"/>
                    <w:overflowPunct w:val="0"/>
                    <w:jc w:val="center"/>
                    <w:textAlignment w:val="center"/>
                    <w:rPr>
                      <w:rFonts w:ascii="Times New Roman" w:hAnsi="Times New Roman"/>
                      <w:szCs w:val="24"/>
                    </w:rPr>
                  </w:pPr>
                  <w:r>
                    <w:rPr>
                      <w:rFonts w:ascii="Times New Roman" w:hAnsi="Times New Roman"/>
                      <w:szCs w:val="24"/>
                    </w:rPr>
                    <w:t>产排污环节</w:t>
                  </w:r>
                </w:p>
              </w:tc>
              <w:tc>
                <w:tcPr>
                  <w:tcW w:w="1230" w:type="pct"/>
                  <w:shd w:val="clear" w:color="auto" w:fill="FFFFFF"/>
                  <w:vAlign w:val="center"/>
                </w:tcPr>
                <w:p w14:paraId="6DB2EAB5">
                  <w:pPr>
                    <w:pStyle w:val="52"/>
                    <w:overflowPunct w:val="0"/>
                    <w:jc w:val="center"/>
                    <w:textAlignment w:val="center"/>
                    <w:rPr>
                      <w:rFonts w:ascii="Times New Roman" w:hAnsi="Times New Roman"/>
                      <w:szCs w:val="24"/>
                    </w:rPr>
                  </w:pPr>
                  <w:r>
                    <w:rPr>
                      <w:rFonts w:ascii="Times New Roman" w:hAnsi="Times New Roman"/>
                      <w:szCs w:val="24"/>
                    </w:rPr>
                    <w:t>污染物</w:t>
                  </w:r>
                </w:p>
              </w:tc>
              <w:tc>
                <w:tcPr>
                  <w:tcW w:w="1562" w:type="pct"/>
                  <w:shd w:val="clear" w:color="auto" w:fill="FFFFFF"/>
                  <w:vAlign w:val="center"/>
                </w:tcPr>
                <w:p w14:paraId="03E312F9">
                  <w:pPr>
                    <w:pStyle w:val="52"/>
                    <w:overflowPunct w:val="0"/>
                    <w:jc w:val="center"/>
                    <w:textAlignment w:val="center"/>
                    <w:rPr>
                      <w:rFonts w:ascii="Times New Roman" w:hAnsi="Times New Roman"/>
                      <w:szCs w:val="24"/>
                    </w:rPr>
                  </w:pPr>
                  <w:r>
                    <w:rPr>
                      <w:rFonts w:ascii="Times New Roman" w:hAnsi="Times New Roman"/>
                      <w:szCs w:val="24"/>
                    </w:rPr>
                    <w:t>治理设施</w:t>
                  </w:r>
                </w:p>
              </w:tc>
            </w:tr>
            <w:tr w14:paraId="19118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restart"/>
                  <w:shd w:val="clear" w:color="auto" w:fill="FFFFFF"/>
                  <w:vAlign w:val="center"/>
                </w:tcPr>
                <w:p w14:paraId="0B073CFB">
                  <w:pPr>
                    <w:pStyle w:val="52"/>
                    <w:overflowPunct w:val="0"/>
                    <w:jc w:val="center"/>
                    <w:textAlignment w:val="center"/>
                    <w:rPr>
                      <w:rFonts w:ascii="Times New Roman" w:hAnsi="Times New Roman"/>
                      <w:szCs w:val="24"/>
                    </w:rPr>
                  </w:pPr>
                  <w:r>
                    <w:rPr>
                      <w:rFonts w:hint="eastAsia" w:ascii="Times New Roman" w:hAnsi="Times New Roman"/>
                      <w:szCs w:val="24"/>
                    </w:rPr>
                    <w:t>废水</w:t>
                  </w:r>
                </w:p>
              </w:tc>
              <w:tc>
                <w:tcPr>
                  <w:tcW w:w="1556" w:type="pct"/>
                  <w:gridSpan w:val="2"/>
                  <w:shd w:val="clear" w:color="auto" w:fill="FFFFFF"/>
                  <w:vAlign w:val="center"/>
                </w:tcPr>
                <w:p w14:paraId="2FBB0EB9">
                  <w:pPr>
                    <w:pStyle w:val="52"/>
                    <w:overflowPunct w:val="0"/>
                    <w:jc w:val="center"/>
                    <w:textAlignment w:val="center"/>
                    <w:rPr>
                      <w:rFonts w:ascii="Times New Roman" w:hAnsi="Times New Roman"/>
                      <w:szCs w:val="24"/>
                    </w:rPr>
                  </w:pPr>
                  <w:r>
                    <w:rPr>
                      <w:rFonts w:hint="eastAsia" w:ascii="Times New Roman" w:hAnsi="Times New Roman"/>
                      <w:szCs w:val="24"/>
                    </w:rPr>
                    <w:t>生活、办公</w:t>
                  </w:r>
                </w:p>
              </w:tc>
              <w:tc>
                <w:tcPr>
                  <w:tcW w:w="1230" w:type="pct"/>
                  <w:shd w:val="clear" w:color="auto" w:fill="FFFFFF"/>
                  <w:vAlign w:val="center"/>
                </w:tcPr>
                <w:p w14:paraId="3630A91F">
                  <w:pPr>
                    <w:pStyle w:val="52"/>
                    <w:overflowPunct w:val="0"/>
                    <w:jc w:val="center"/>
                    <w:textAlignment w:val="center"/>
                    <w:rPr>
                      <w:rFonts w:ascii="Times New Roman" w:hAnsi="Times New Roman"/>
                      <w:szCs w:val="24"/>
                    </w:rPr>
                  </w:pPr>
                  <w:r>
                    <w:rPr>
                      <w:rFonts w:hint="eastAsia" w:ascii="Times New Roman" w:hAnsi="Times New Roman"/>
                      <w:szCs w:val="24"/>
                    </w:rPr>
                    <w:t>COD</w:t>
                  </w:r>
                  <w:r>
                    <w:rPr>
                      <w:rFonts w:hint="eastAsia" w:ascii="Times New Roman" w:hAnsi="Times New Roman"/>
                      <w:szCs w:val="24"/>
                      <w:vertAlign w:val="subscript"/>
                    </w:rPr>
                    <w:t>Cr</w:t>
                  </w:r>
                  <w:r>
                    <w:rPr>
                      <w:rFonts w:hint="eastAsia" w:ascii="Times New Roman" w:hAnsi="Times New Roman"/>
                      <w:szCs w:val="24"/>
                    </w:rPr>
                    <w:t>、BOD</w:t>
                  </w:r>
                  <w:r>
                    <w:rPr>
                      <w:rFonts w:hint="eastAsia" w:ascii="Times New Roman" w:hAnsi="Times New Roman"/>
                      <w:szCs w:val="24"/>
                      <w:vertAlign w:val="subscript"/>
                    </w:rPr>
                    <w:t>5</w:t>
                  </w:r>
                  <w:r>
                    <w:rPr>
                      <w:rFonts w:hint="eastAsia" w:ascii="Times New Roman" w:hAnsi="Times New Roman"/>
                      <w:szCs w:val="24"/>
                    </w:rPr>
                    <w:t>、氨氮、SS、总磷、动植物油等</w:t>
                  </w:r>
                </w:p>
              </w:tc>
              <w:tc>
                <w:tcPr>
                  <w:tcW w:w="1562" w:type="pct"/>
                  <w:shd w:val="clear" w:color="auto" w:fill="FFFFFF"/>
                  <w:vAlign w:val="center"/>
                </w:tcPr>
                <w:p w14:paraId="03D4E2E8">
                  <w:pPr>
                    <w:pStyle w:val="52"/>
                    <w:overflowPunct w:val="0"/>
                    <w:jc w:val="center"/>
                    <w:textAlignment w:val="center"/>
                    <w:rPr>
                      <w:rFonts w:ascii="Times New Roman" w:hAnsi="Times New Roman"/>
                      <w:szCs w:val="24"/>
                    </w:rPr>
                  </w:pPr>
                  <w:r>
                    <w:rPr>
                      <w:rFonts w:hint="eastAsia" w:ascii="Times New Roman" w:hAnsi="Times New Roman"/>
                      <w:szCs w:val="24"/>
                    </w:rPr>
                    <w:t>依托厂区现有“微生物处理</w:t>
                  </w:r>
                  <w:r>
                    <w:rPr>
                      <w:rFonts w:ascii="Times New Roman" w:hAnsi="Times New Roman"/>
                      <w:szCs w:val="24"/>
                    </w:rPr>
                    <w:t>+</w:t>
                  </w:r>
                  <w:r>
                    <w:rPr>
                      <w:rFonts w:hint="eastAsia" w:ascii="Times New Roman" w:hAnsi="Times New Roman"/>
                      <w:szCs w:val="24"/>
                    </w:rPr>
                    <w:t>人工湿地”系统处理达标后，用于山林灌溉。</w:t>
                  </w:r>
                </w:p>
              </w:tc>
            </w:tr>
            <w:tr w14:paraId="0D286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continue"/>
                  <w:shd w:val="clear" w:color="auto" w:fill="FFFFFF"/>
                  <w:vAlign w:val="center"/>
                </w:tcPr>
                <w:p w14:paraId="51623909">
                  <w:pPr>
                    <w:pStyle w:val="52"/>
                    <w:overflowPunct w:val="0"/>
                    <w:jc w:val="center"/>
                    <w:textAlignment w:val="center"/>
                    <w:rPr>
                      <w:rFonts w:ascii="Times New Roman" w:hAnsi="Times New Roman"/>
                      <w:szCs w:val="24"/>
                    </w:rPr>
                  </w:pPr>
                </w:p>
              </w:tc>
              <w:tc>
                <w:tcPr>
                  <w:tcW w:w="1556" w:type="pct"/>
                  <w:gridSpan w:val="2"/>
                  <w:shd w:val="clear" w:color="auto" w:fill="FFFFFF"/>
                  <w:vAlign w:val="center"/>
                </w:tcPr>
                <w:p w14:paraId="4032FCDD">
                  <w:pPr>
                    <w:pStyle w:val="52"/>
                    <w:overflowPunct w:val="0"/>
                    <w:jc w:val="center"/>
                    <w:textAlignment w:val="center"/>
                    <w:rPr>
                      <w:rFonts w:ascii="Times New Roman" w:hAnsi="Times New Roman"/>
                      <w:szCs w:val="24"/>
                    </w:rPr>
                  </w:pPr>
                  <w:r>
                    <w:rPr>
                      <w:rFonts w:hint="eastAsia" w:ascii="Times New Roman" w:hAnsi="Times New Roman"/>
                      <w:szCs w:val="24"/>
                    </w:rPr>
                    <w:t>冷凝水</w:t>
                  </w:r>
                </w:p>
              </w:tc>
              <w:tc>
                <w:tcPr>
                  <w:tcW w:w="1230" w:type="pct"/>
                  <w:shd w:val="clear" w:color="auto" w:fill="FFFFFF"/>
                  <w:vAlign w:val="center"/>
                </w:tcPr>
                <w:p w14:paraId="7F1B8804">
                  <w:pPr>
                    <w:pStyle w:val="52"/>
                    <w:overflowPunct w:val="0"/>
                    <w:jc w:val="center"/>
                    <w:textAlignment w:val="center"/>
                    <w:rPr>
                      <w:rFonts w:ascii="Times New Roman" w:hAnsi="Times New Roman"/>
                      <w:szCs w:val="24"/>
                    </w:rPr>
                  </w:pPr>
                  <w:r>
                    <w:rPr>
                      <w:rFonts w:hint="eastAsia" w:ascii="Times New Roman" w:hAnsi="Times New Roman"/>
                      <w:szCs w:val="24"/>
                    </w:rPr>
                    <w:t>COD</w:t>
                  </w:r>
                  <w:r>
                    <w:rPr>
                      <w:rFonts w:hint="eastAsia" w:ascii="Times New Roman" w:hAnsi="Times New Roman"/>
                      <w:szCs w:val="24"/>
                      <w:vertAlign w:val="subscript"/>
                    </w:rPr>
                    <w:t>Cr</w:t>
                  </w:r>
                  <w:r>
                    <w:rPr>
                      <w:rFonts w:hint="eastAsia" w:ascii="Times New Roman" w:hAnsi="Times New Roman"/>
                      <w:szCs w:val="24"/>
                    </w:rPr>
                    <w:t>、BOD</w:t>
                  </w:r>
                  <w:r>
                    <w:rPr>
                      <w:rFonts w:hint="eastAsia" w:ascii="Times New Roman" w:hAnsi="Times New Roman"/>
                      <w:szCs w:val="24"/>
                      <w:vertAlign w:val="subscript"/>
                    </w:rPr>
                    <w:t>5</w:t>
                  </w:r>
                  <w:r>
                    <w:rPr>
                      <w:rFonts w:hint="eastAsia" w:ascii="Times New Roman" w:hAnsi="Times New Roman"/>
                      <w:szCs w:val="24"/>
                    </w:rPr>
                    <w:t>、动植物油等</w:t>
                  </w:r>
                </w:p>
              </w:tc>
              <w:tc>
                <w:tcPr>
                  <w:tcW w:w="1562" w:type="pct"/>
                  <w:vMerge w:val="restart"/>
                  <w:shd w:val="clear" w:color="auto" w:fill="FFFFFF"/>
                  <w:vAlign w:val="center"/>
                </w:tcPr>
                <w:p w14:paraId="5E3E0A92">
                  <w:pPr>
                    <w:pStyle w:val="52"/>
                    <w:overflowPunct w:val="0"/>
                    <w:jc w:val="center"/>
                    <w:textAlignment w:val="center"/>
                    <w:rPr>
                      <w:rFonts w:ascii="Times New Roman" w:hAnsi="Times New Roman"/>
                      <w:szCs w:val="24"/>
                    </w:rPr>
                  </w:pPr>
                  <w:r>
                    <w:rPr>
                      <w:rFonts w:hint="eastAsia" w:ascii="Times New Roman" w:hAnsi="Times New Roman"/>
                      <w:szCs w:val="28"/>
                      <w:lang w:bidi="ar"/>
                    </w:rPr>
                    <w:t>回用于</w:t>
                  </w:r>
                  <w:r>
                    <w:rPr>
                      <w:rFonts w:ascii="Times New Roman" w:hAnsi="Times New Roman"/>
                      <w:szCs w:val="28"/>
                      <w:lang w:bidi="ar"/>
                    </w:rPr>
                    <w:t>现有项目</w:t>
                  </w:r>
                  <w:r>
                    <w:rPr>
                      <w:rFonts w:hint="eastAsia" w:ascii="Times New Roman" w:hAnsi="Times New Roman"/>
                      <w:szCs w:val="28"/>
                      <w:lang w:bidi="ar"/>
                    </w:rPr>
                    <w:t>蒸炒</w:t>
                  </w:r>
                </w:p>
              </w:tc>
            </w:tr>
            <w:tr w14:paraId="44F38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continue"/>
                  <w:shd w:val="clear" w:color="auto" w:fill="FFFFFF"/>
                  <w:vAlign w:val="center"/>
                </w:tcPr>
                <w:p w14:paraId="62D5DA82">
                  <w:pPr>
                    <w:pStyle w:val="52"/>
                    <w:overflowPunct w:val="0"/>
                    <w:jc w:val="center"/>
                    <w:textAlignment w:val="center"/>
                    <w:rPr>
                      <w:rFonts w:ascii="Times New Roman" w:hAnsi="Times New Roman"/>
                      <w:szCs w:val="24"/>
                    </w:rPr>
                  </w:pPr>
                </w:p>
              </w:tc>
              <w:tc>
                <w:tcPr>
                  <w:tcW w:w="1556" w:type="pct"/>
                  <w:gridSpan w:val="2"/>
                  <w:shd w:val="clear" w:color="auto" w:fill="FFFFFF"/>
                  <w:vAlign w:val="center"/>
                </w:tcPr>
                <w:p w14:paraId="412C9FCB">
                  <w:pPr>
                    <w:pStyle w:val="52"/>
                    <w:overflowPunct w:val="0"/>
                    <w:jc w:val="center"/>
                    <w:textAlignment w:val="center"/>
                    <w:rPr>
                      <w:rFonts w:ascii="Times New Roman" w:hAnsi="Times New Roman"/>
                      <w:szCs w:val="24"/>
                    </w:rPr>
                  </w:pPr>
                  <w:r>
                    <w:rPr>
                      <w:rFonts w:ascii="Times New Roman" w:hAnsi="Times New Roman"/>
                      <w:szCs w:val="24"/>
                    </w:rPr>
                    <w:t>锅炉排污水</w:t>
                  </w:r>
                  <w:r>
                    <w:rPr>
                      <w:rFonts w:hint="eastAsia" w:ascii="Times New Roman" w:hAnsi="Times New Roman"/>
                      <w:szCs w:val="24"/>
                    </w:rPr>
                    <w:t>、</w:t>
                  </w:r>
                  <w:r>
                    <w:rPr>
                      <w:rFonts w:ascii="Times New Roman" w:hAnsi="Times New Roman"/>
                      <w:szCs w:val="24"/>
                    </w:rPr>
                    <w:t>软化</w:t>
                  </w:r>
                  <w:r>
                    <w:rPr>
                      <w:rFonts w:hint="eastAsia" w:ascii="Times New Roman" w:hAnsi="Times New Roman"/>
                      <w:szCs w:val="24"/>
                    </w:rPr>
                    <w:t>浓水</w:t>
                  </w:r>
                </w:p>
              </w:tc>
              <w:tc>
                <w:tcPr>
                  <w:tcW w:w="1230" w:type="pct"/>
                  <w:shd w:val="clear" w:color="auto" w:fill="FFFFFF"/>
                  <w:vAlign w:val="center"/>
                </w:tcPr>
                <w:p w14:paraId="67FAFE2B">
                  <w:pPr>
                    <w:pStyle w:val="52"/>
                    <w:overflowPunct w:val="0"/>
                    <w:jc w:val="center"/>
                    <w:textAlignment w:val="center"/>
                    <w:rPr>
                      <w:rFonts w:ascii="Times New Roman" w:hAnsi="Times New Roman"/>
                      <w:szCs w:val="24"/>
                    </w:rPr>
                  </w:pPr>
                  <w:r>
                    <w:rPr>
                      <w:rFonts w:ascii="Times New Roman" w:hAnsi="Times New Roman"/>
                      <w:bCs/>
                      <w:szCs w:val="24"/>
                    </w:rPr>
                    <w:t>COD</w:t>
                  </w:r>
                  <w:r>
                    <w:rPr>
                      <w:rFonts w:ascii="Times New Roman" w:hAnsi="Times New Roman"/>
                      <w:bCs/>
                      <w:szCs w:val="24"/>
                      <w:vertAlign w:val="subscript"/>
                    </w:rPr>
                    <w:t>Cr</w:t>
                  </w:r>
                  <w:r>
                    <w:rPr>
                      <w:rFonts w:ascii="Times New Roman" w:hAnsi="Times New Roman"/>
                      <w:bCs/>
                      <w:szCs w:val="24"/>
                    </w:rPr>
                    <w:t>、BOD</w:t>
                  </w:r>
                  <w:r>
                    <w:rPr>
                      <w:rFonts w:ascii="Times New Roman" w:hAnsi="Times New Roman"/>
                      <w:bCs/>
                      <w:szCs w:val="24"/>
                      <w:vertAlign w:val="subscript"/>
                    </w:rPr>
                    <w:t>5</w:t>
                  </w:r>
                  <w:r>
                    <w:rPr>
                      <w:rFonts w:ascii="Times New Roman" w:hAnsi="Times New Roman"/>
                      <w:bCs/>
                      <w:szCs w:val="24"/>
                    </w:rPr>
                    <w:t>、SS</w:t>
                  </w:r>
                  <w:r>
                    <w:rPr>
                      <w:rFonts w:hint="eastAsia" w:ascii="Times New Roman" w:hAnsi="Times New Roman"/>
                      <w:bCs/>
                      <w:szCs w:val="24"/>
                    </w:rPr>
                    <w:t>等</w:t>
                  </w:r>
                </w:p>
              </w:tc>
              <w:tc>
                <w:tcPr>
                  <w:tcW w:w="1562" w:type="pct"/>
                  <w:vMerge w:val="continue"/>
                  <w:shd w:val="clear" w:color="auto" w:fill="FFFFFF"/>
                  <w:vAlign w:val="center"/>
                </w:tcPr>
                <w:p w14:paraId="22F5A624">
                  <w:pPr>
                    <w:pStyle w:val="52"/>
                    <w:overflowPunct w:val="0"/>
                    <w:jc w:val="center"/>
                    <w:textAlignment w:val="center"/>
                    <w:rPr>
                      <w:rFonts w:ascii="Times New Roman" w:hAnsi="Times New Roman"/>
                      <w:szCs w:val="24"/>
                    </w:rPr>
                  </w:pPr>
                </w:p>
              </w:tc>
            </w:tr>
            <w:tr w14:paraId="68AB4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restart"/>
                  <w:shd w:val="clear" w:color="auto" w:fill="FFFFFF"/>
                  <w:vAlign w:val="center"/>
                </w:tcPr>
                <w:p w14:paraId="4DFC0A58">
                  <w:pPr>
                    <w:pStyle w:val="52"/>
                    <w:overflowPunct w:val="0"/>
                    <w:jc w:val="center"/>
                    <w:textAlignment w:val="center"/>
                    <w:rPr>
                      <w:rFonts w:ascii="Times New Roman" w:hAnsi="Times New Roman"/>
                      <w:szCs w:val="24"/>
                    </w:rPr>
                  </w:pPr>
                  <w:r>
                    <w:rPr>
                      <w:rFonts w:ascii="Times New Roman" w:hAnsi="Times New Roman"/>
                      <w:szCs w:val="24"/>
                    </w:rPr>
                    <w:t>废气</w:t>
                  </w:r>
                </w:p>
              </w:tc>
              <w:tc>
                <w:tcPr>
                  <w:tcW w:w="1556" w:type="pct"/>
                  <w:gridSpan w:val="2"/>
                  <w:shd w:val="clear" w:color="auto" w:fill="FFFFFF"/>
                  <w:vAlign w:val="center"/>
                </w:tcPr>
                <w:p w14:paraId="5925BADE">
                  <w:pPr>
                    <w:pStyle w:val="52"/>
                    <w:overflowPunct w:val="0"/>
                    <w:jc w:val="center"/>
                    <w:textAlignment w:val="center"/>
                    <w:rPr>
                      <w:rFonts w:ascii="Times New Roman" w:hAnsi="Times New Roman"/>
                      <w:szCs w:val="24"/>
                    </w:rPr>
                  </w:pPr>
                  <w:r>
                    <w:rPr>
                      <w:rFonts w:hint="eastAsia" w:ascii="Times New Roman" w:hAnsi="Times New Roman"/>
                      <w:szCs w:val="24"/>
                    </w:rPr>
                    <w:t>废白土暂存、造粒、冷凝</w:t>
                  </w:r>
                </w:p>
              </w:tc>
              <w:tc>
                <w:tcPr>
                  <w:tcW w:w="1230" w:type="pct"/>
                  <w:shd w:val="clear" w:color="auto" w:fill="FFFFFF"/>
                  <w:vAlign w:val="center"/>
                </w:tcPr>
                <w:p w14:paraId="177EBBE1">
                  <w:pPr>
                    <w:pStyle w:val="52"/>
                    <w:overflowPunct w:val="0"/>
                    <w:jc w:val="center"/>
                    <w:textAlignment w:val="center"/>
                    <w:rPr>
                      <w:rFonts w:ascii="Times New Roman" w:hAnsi="Times New Roman"/>
                      <w:szCs w:val="24"/>
                    </w:rPr>
                  </w:pPr>
                  <w:r>
                    <w:rPr>
                      <w:rFonts w:hint="eastAsia" w:ascii="Times New Roman" w:hAnsi="Times New Roman"/>
                      <w:szCs w:val="24"/>
                    </w:rPr>
                    <w:t>非甲烷总烃、臭气浓度、H</w:t>
                  </w:r>
                  <w:r>
                    <w:rPr>
                      <w:rFonts w:hint="eastAsia" w:ascii="Times New Roman" w:hAnsi="Times New Roman"/>
                      <w:szCs w:val="24"/>
                      <w:vertAlign w:val="subscript"/>
                    </w:rPr>
                    <w:t>2</w:t>
                  </w:r>
                  <w:r>
                    <w:rPr>
                      <w:rFonts w:hint="eastAsia" w:ascii="Times New Roman" w:hAnsi="Times New Roman"/>
                      <w:szCs w:val="24"/>
                    </w:rPr>
                    <w:t>S、NH</w:t>
                  </w:r>
                  <w:r>
                    <w:rPr>
                      <w:rFonts w:hint="eastAsia" w:ascii="Times New Roman" w:hAnsi="Times New Roman"/>
                      <w:szCs w:val="24"/>
                      <w:vertAlign w:val="subscript"/>
                    </w:rPr>
                    <w:t>3</w:t>
                  </w:r>
                </w:p>
              </w:tc>
              <w:tc>
                <w:tcPr>
                  <w:tcW w:w="1562" w:type="pct"/>
                  <w:shd w:val="clear" w:color="auto" w:fill="FFFFFF"/>
                  <w:vAlign w:val="center"/>
                </w:tcPr>
                <w:p w14:paraId="73FA696C">
                  <w:pPr>
                    <w:pStyle w:val="52"/>
                    <w:overflowPunct w:val="0"/>
                    <w:jc w:val="center"/>
                    <w:textAlignment w:val="center"/>
                    <w:rPr>
                      <w:rFonts w:ascii="Times New Roman" w:hAnsi="Times New Roman"/>
                      <w:szCs w:val="24"/>
                    </w:rPr>
                  </w:pPr>
                  <w:r>
                    <w:rPr>
                      <w:rFonts w:hint="eastAsia" w:ascii="Times New Roman" w:hAnsi="Times New Roman"/>
                      <w:szCs w:val="24"/>
                    </w:rPr>
                    <w:t>经1套</w:t>
                  </w:r>
                  <w:r>
                    <w:rPr>
                      <w:rFonts w:ascii="Times New Roman" w:hAnsi="Times New Roman"/>
                      <w:szCs w:val="24"/>
                    </w:rPr>
                    <w:t>二级活性炭处理设施</w:t>
                  </w:r>
                  <w:r>
                    <w:rPr>
                      <w:rFonts w:hint="eastAsia" w:ascii="Times New Roman" w:hAnsi="Times New Roman"/>
                      <w:szCs w:val="24"/>
                    </w:rPr>
                    <w:t>处理后通过1根15m高排气筒（DA003）达标排放</w:t>
                  </w:r>
                </w:p>
              </w:tc>
            </w:tr>
            <w:tr w14:paraId="3B3AB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continue"/>
                  <w:shd w:val="clear" w:color="auto" w:fill="FFFFFF"/>
                  <w:vAlign w:val="center"/>
                </w:tcPr>
                <w:p w14:paraId="0DDEF4F1">
                  <w:pPr>
                    <w:pStyle w:val="52"/>
                    <w:overflowPunct w:val="0"/>
                    <w:jc w:val="center"/>
                    <w:textAlignment w:val="center"/>
                    <w:rPr>
                      <w:rFonts w:ascii="Times New Roman" w:hAnsi="Times New Roman"/>
                      <w:szCs w:val="24"/>
                    </w:rPr>
                  </w:pPr>
                </w:p>
              </w:tc>
              <w:tc>
                <w:tcPr>
                  <w:tcW w:w="1556" w:type="pct"/>
                  <w:gridSpan w:val="2"/>
                  <w:shd w:val="clear" w:color="auto" w:fill="FFFFFF"/>
                  <w:vAlign w:val="center"/>
                </w:tcPr>
                <w:p w14:paraId="3D676FB5">
                  <w:pPr>
                    <w:pStyle w:val="52"/>
                    <w:overflowPunct w:val="0"/>
                    <w:jc w:val="center"/>
                    <w:textAlignment w:val="center"/>
                    <w:rPr>
                      <w:rFonts w:ascii="Times New Roman" w:hAnsi="Times New Roman"/>
                      <w:szCs w:val="24"/>
                    </w:rPr>
                  </w:pPr>
                  <w:r>
                    <w:rPr>
                      <w:rFonts w:hint="eastAsia" w:ascii="Times New Roman" w:hAnsi="Times New Roman"/>
                      <w:szCs w:val="24"/>
                    </w:rPr>
                    <w:t>生物质锅炉废气</w:t>
                  </w:r>
                </w:p>
              </w:tc>
              <w:tc>
                <w:tcPr>
                  <w:tcW w:w="1230" w:type="pct"/>
                  <w:shd w:val="clear" w:color="auto" w:fill="FFFFFF"/>
                  <w:vAlign w:val="center"/>
                </w:tcPr>
                <w:p w14:paraId="44354866">
                  <w:pPr>
                    <w:pStyle w:val="52"/>
                    <w:overflowPunct w:val="0"/>
                    <w:jc w:val="center"/>
                    <w:textAlignment w:val="center"/>
                    <w:rPr>
                      <w:rFonts w:ascii="Times New Roman" w:hAnsi="Times New Roman"/>
                      <w:szCs w:val="24"/>
                    </w:rPr>
                  </w:pPr>
                  <w:r>
                    <w:rPr>
                      <w:rFonts w:hint="eastAsia" w:ascii="Times New Roman" w:hAnsi="Times New Roman"/>
                      <w:szCs w:val="24"/>
                    </w:rPr>
                    <w:t>颗粒物、SO</w:t>
                  </w:r>
                  <w:r>
                    <w:rPr>
                      <w:rFonts w:hint="eastAsia" w:ascii="Times New Roman" w:hAnsi="Times New Roman"/>
                      <w:szCs w:val="24"/>
                      <w:vertAlign w:val="subscript"/>
                    </w:rPr>
                    <w:t>2</w:t>
                  </w:r>
                  <w:r>
                    <w:rPr>
                      <w:rFonts w:hint="eastAsia" w:ascii="Times New Roman" w:hAnsi="Times New Roman"/>
                      <w:szCs w:val="24"/>
                    </w:rPr>
                    <w:t>、NO</w:t>
                  </w:r>
                  <w:r>
                    <w:rPr>
                      <w:rFonts w:hint="eastAsia" w:ascii="Times New Roman" w:hAnsi="Times New Roman"/>
                      <w:szCs w:val="24"/>
                      <w:vertAlign w:val="subscript"/>
                    </w:rPr>
                    <w:t>x</w:t>
                  </w:r>
                </w:p>
              </w:tc>
              <w:tc>
                <w:tcPr>
                  <w:tcW w:w="1562" w:type="pct"/>
                  <w:shd w:val="clear" w:color="auto" w:fill="FFFFFF"/>
                  <w:vAlign w:val="center"/>
                </w:tcPr>
                <w:p w14:paraId="4B273C22">
                  <w:pPr>
                    <w:pStyle w:val="52"/>
                    <w:overflowPunct w:val="0"/>
                    <w:jc w:val="center"/>
                    <w:textAlignment w:val="center"/>
                    <w:rPr>
                      <w:rFonts w:ascii="Times New Roman" w:hAnsi="Times New Roman"/>
                      <w:szCs w:val="24"/>
                    </w:rPr>
                  </w:pPr>
                  <w:r>
                    <w:rPr>
                      <w:rFonts w:hint="eastAsia" w:ascii="Times New Roman" w:hAnsi="Times New Roman"/>
                      <w:bCs/>
                      <w:szCs w:val="24"/>
                    </w:rPr>
                    <w:t>经</w:t>
                  </w:r>
                  <w:r>
                    <w:rPr>
                      <w:rFonts w:ascii="Times New Roman" w:hAnsi="Times New Roman"/>
                      <w:bCs/>
                      <w:szCs w:val="24"/>
                    </w:rPr>
                    <w:t>低氮燃烧</w:t>
                  </w:r>
                  <w:r>
                    <w:rPr>
                      <w:rFonts w:hint="eastAsia" w:ascii="Times New Roman" w:hAnsi="Times New Roman"/>
                      <w:bCs/>
                      <w:szCs w:val="24"/>
                    </w:rPr>
                    <w:t>+袋式除尘器+</w:t>
                  </w:r>
                  <w:r>
                    <w:rPr>
                      <w:rFonts w:ascii="Times New Roman" w:hAnsi="Times New Roman"/>
                      <w:bCs/>
                      <w:szCs w:val="24"/>
                    </w:rPr>
                    <w:t>SCR</w:t>
                  </w:r>
                  <w:r>
                    <w:rPr>
                      <w:rFonts w:hint="eastAsia" w:ascii="Times New Roman" w:hAnsi="Times New Roman"/>
                      <w:bCs/>
                      <w:szCs w:val="24"/>
                    </w:rPr>
                    <w:t>装置</w:t>
                  </w:r>
                  <w:r>
                    <w:rPr>
                      <w:rFonts w:hint="eastAsia" w:ascii="Times New Roman" w:hAnsi="Times New Roman"/>
                      <w:szCs w:val="24"/>
                    </w:rPr>
                    <w:t>处理达标后通过1根15m高排气筒（DA001）排放。</w:t>
                  </w:r>
                </w:p>
              </w:tc>
            </w:tr>
            <w:tr w14:paraId="1D8A4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shd w:val="clear" w:color="auto" w:fill="FFFFFF"/>
                  <w:vAlign w:val="center"/>
                </w:tcPr>
                <w:p w14:paraId="57A4EF36">
                  <w:pPr>
                    <w:pStyle w:val="52"/>
                    <w:overflowPunct w:val="0"/>
                    <w:jc w:val="center"/>
                    <w:textAlignment w:val="center"/>
                    <w:rPr>
                      <w:rFonts w:ascii="Times New Roman" w:hAnsi="Times New Roman"/>
                      <w:szCs w:val="24"/>
                    </w:rPr>
                  </w:pPr>
                  <w:r>
                    <w:rPr>
                      <w:rFonts w:hint="eastAsia" w:ascii="Times New Roman" w:hAnsi="Times New Roman"/>
                      <w:szCs w:val="24"/>
                    </w:rPr>
                    <w:t>噪声</w:t>
                  </w:r>
                </w:p>
              </w:tc>
              <w:tc>
                <w:tcPr>
                  <w:tcW w:w="1556" w:type="pct"/>
                  <w:gridSpan w:val="2"/>
                  <w:shd w:val="clear" w:color="auto" w:fill="FFFFFF"/>
                  <w:vAlign w:val="center"/>
                </w:tcPr>
                <w:p w14:paraId="6D79E220">
                  <w:pPr>
                    <w:pStyle w:val="52"/>
                    <w:overflowPunct w:val="0"/>
                    <w:jc w:val="center"/>
                    <w:textAlignment w:val="center"/>
                    <w:rPr>
                      <w:rFonts w:ascii="Times New Roman" w:hAnsi="Times New Roman"/>
                      <w:szCs w:val="24"/>
                    </w:rPr>
                  </w:pPr>
                  <w:r>
                    <w:rPr>
                      <w:rFonts w:hint="eastAsia" w:ascii="Times New Roman" w:hAnsi="Times New Roman"/>
                      <w:szCs w:val="24"/>
                    </w:rPr>
                    <w:t>造粒、蒸发、蒸脱、冷凝、锅炉、冷却塔等生产设备设施</w:t>
                  </w:r>
                </w:p>
              </w:tc>
              <w:tc>
                <w:tcPr>
                  <w:tcW w:w="1230" w:type="pct"/>
                  <w:shd w:val="clear" w:color="auto" w:fill="FFFFFF"/>
                  <w:vAlign w:val="center"/>
                </w:tcPr>
                <w:p w14:paraId="77E4DAF6">
                  <w:pPr>
                    <w:pStyle w:val="52"/>
                    <w:overflowPunct w:val="0"/>
                    <w:jc w:val="center"/>
                    <w:textAlignment w:val="center"/>
                    <w:rPr>
                      <w:rFonts w:ascii="Times New Roman" w:hAnsi="Times New Roman"/>
                      <w:szCs w:val="24"/>
                    </w:rPr>
                  </w:pPr>
                  <w:r>
                    <w:rPr>
                      <w:rFonts w:hint="eastAsia" w:ascii="Times New Roman" w:hAnsi="Times New Roman"/>
                      <w:szCs w:val="24"/>
                    </w:rPr>
                    <w:t>噪声</w:t>
                  </w:r>
                </w:p>
              </w:tc>
              <w:tc>
                <w:tcPr>
                  <w:tcW w:w="1562" w:type="pct"/>
                  <w:shd w:val="clear" w:color="auto" w:fill="FFFFFF"/>
                  <w:vAlign w:val="center"/>
                </w:tcPr>
                <w:p w14:paraId="21B0FA97">
                  <w:pPr>
                    <w:pStyle w:val="52"/>
                    <w:overflowPunct w:val="0"/>
                    <w:jc w:val="center"/>
                    <w:textAlignment w:val="center"/>
                    <w:rPr>
                      <w:rFonts w:ascii="Times New Roman" w:hAnsi="Times New Roman"/>
                      <w:szCs w:val="24"/>
                    </w:rPr>
                  </w:pPr>
                  <w:r>
                    <w:rPr>
                      <w:rFonts w:hint="eastAsia" w:ascii="Times New Roman" w:hAnsi="Times New Roman"/>
                      <w:szCs w:val="24"/>
                    </w:rPr>
                    <w:t>采取减震、隔声等措施</w:t>
                  </w:r>
                </w:p>
              </w:tc>
            </w:tr>
            <w:tr w14:paraId="4E342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restart"/>
                  <w:shd w:val="clear" w:color="auto" w:fill="FFFFFF"/>
                  <w:vAlign w:val="center"/>
                </w:tcPr>
                <w:p w14:paraId="5D459EFD">
                  <w:pPr>
                    <w:pStyle w:val="52"/>
                    <w:overflowPunct w:val="0"/>
                    <w:jc w:val="center"/>
                    <w:textAlignment w:val="center"/>
                    <w:rPr>
                      <w:rFonts w:ascii="Times New Roman" w:hAnsi="Times New Roman"/>
                      <w:szCs w:val="24"/>
                    </w:rPr>
                  </w:pPr>
                  <w:r>
                    <w:rPr>
                      <w:rFonts w:ascii="Times New Roman" w:hAnsi="Times New Roman"/>
                      <w:szCs w:val="24"/>
                    </w:rPr>
                    <w:t>固废</w:t>
                  </w:r>
                </w:p>
              </w:tc>
              <w:tc>
                <w:tcPr>
                  <w:tcW w:w="655" w:type="pct"/>
                  <w:vMerge w:val="restart"/>
                  <w:shd w:val="clear" w:color="auto" w:fill="FFFFFF"/>
                  <w:vAlign w:val="center"/>
                </w:tcPr>
                <w:p w14:paraId="52F14A91">
                  <w:pPr>
                    <w:pStyle w:val="52"/>
                    <w:overflowPunct w:val="0"/>
                    <w:jc w:val="center"/>
                    <w:textAlignment w:val="center"/>
                    <w:rPr>
                      <w:rFonts w:ascii="Times New Roman" w:hAnsi="Times New Roman"/>
                      <w:szCs w:val="24"/>
                    </w:rPr>
                  </w:pPr>
                  <w:r>
                    <w:rPr>
                      <w:rFonts w:hint="eastAsia" w:ascii="Times New Roman" w:hAnsi="Times New Roman"/>
                      <w:szCs w:val="24"/>
                    </w:rPr>
                    <w:t>一般工业固废</w:t>
                  </w:r>
                </w:p>
              </w:tc>
              <w:tc>
                <w:tcPr>
                  <w:tcW w:w="901" w:type="pct"/>
                  <w:shd w:val="clear" w:color="auto" w:fill="FFFFFF"/>
                  <w:vAlign w:val="center"/>
                </w:tcPr>
                <w:p w14:paraId="0DC683C8">
                  <w:pPr>
                    <w:pStyle w:val="52"/>
                    <w:overflowPunct w:val="0"/>
                    <w:jc w:val="center"/>
                    <w:textAlignment w:val="center"/>
                    <w:rPr>
                      <w:rFonts w:ascii="Times New Roman" w:hAnsi="Times New Roman"/>
                      <w:szCs w:val="24"/>
                    </w:rPr>
                  </w:pPr>
                  <w:r>
                    <w:rPr>
                      <w:rFonts w:hint="eastAsia" w:ascii="Times New Roman" w:hAnsi="Times New Roman"/>
                      <w:szCs w:val="24"/>
                    </w:rPr>
                    <w:t>废白土加工</w:t>
                  </w:r>
                </w:p>
              </w:tc>
              <w:tc>
                <w:tcPr>
                  <w:tcW w:w="1230" w:type="pct"/>
                  <w:shd w:val="clear" w:color="auto" w:fill="FFFFFF"/>
                  <w:vAlign w:val="center"/>
                </w:tcPr>
                <w:p w14:paraId="13BA40BD">
                  <w:pPr>
                    <w:pStyle w:val="52"/>
                    <w:overflowPunct w:val="0"/>
                    <w:jc w:val="center"/>
                    <w:textAlignment w:val="center"/>
                    <w:rPr>
                      <w:rFonts w:ascii="Times New Roman" w:hAnsi="Times New Roman"/>
                      <w:szCs w:val="24"/>
                    </w:rPr>
                  </w:pPr>
                  <w:r>
                    <w:rPr>
                      <w:rFonts w:hint="eastAsia" w:ascii="Times New Roman" w:hAnsi="Times New Roman"/>
                      <w:szCs w:val="24"/>
                    </w:rPr>
                    <w:t>白土渣</w:t>
                  </w:r>
                </w:p>
              </w:tc>
              <w:tc>
                <w:tcPr>
                  <w:tcW w:w="1562" w:type="pct"/>
                  <w:vMerge w:val="restart"/>
                  <w:shd w:val="clear" w:color="auto" w:fill="FFFFFF"/>
                  <w:vAlign w:val="center"/>
                </w:tcPr>
                <w:p w14:paraId="6B524529">
                  <w:pPr>
                    <w:pStyle w:val="52"/>
                    <w:overflowPunct w:val="0"/>
                    <w:jc w:val="center"/>
                    <w:textAlignment w:val="center"/>
                    <w:rPr>
                      <w:rFonts w:ascii="Times New Roman" w:hAnsi="Times New Roman"/>
                      <w:szCs w:val="24"/>
                    </w:rPr>
                  </w:pPr>
                  <w:r>
                    <w:rPr>
                      <w:rFonts w:hint="eastAsia" w:ascii="Times New Roman" w:hAnsi="Times New Roman"/>
                      <w:szCs w:val="24"/>
                    </w:rPr>
                    <w:t>暂存于车间内一般固废区，交专业回收公司处理利用</w:t>
                  </w:r>
                </w:p>
              </w:tc>
            </w:tr>
            <w:tr w14:paraId="1EB5A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continue"/>
                  <w:shd w:val="clear" w:color="auto" w:fill="FFFFFF"/>
                  <w:vAlign w:val="center"/>
                </w:tcPr>
                <w:p w14:paraId="40BF14DA">
                  <w:pPr>
                    <w:pStyle w:val="52"/>
                    <w:overflowPunct w:val="0"/>
                    <w:jc w:val="center"/>
                    <w:textAlignment w:val="center"/>
                    <w:rPr>
                      <w:rFonts w:ascii="Times New Roman" w:hAnsi="Times New Roman"/>
                      <w:szCs w:val="24"/>
                    </w:rPr>
                  </w:pPr>
                </w:p>
              </w:tc>
              <w:tc>
                <w:tcPr>
                  <w:tcW w:w="655" w:type="pct"/>
                  <w:vMerge w:val="continue"/>
                  <w:shd w:val="clear" w:color="auto" w:fill="FFFFFF"/>
                  <w:vAlign w:val="center"/>
                </w:tcPr>
                <w:p w14:paraId="7D8FBF84">
                  <w:pPr>
                    <w:pStyle w:val="52"/>
                    <w:overflowPunct w:val="0"/>
                    <w:jc w:val="center"/>
                    <w:textAlignment w:val="center"/>
                    <w:rPr>
                      <w:rFonts w:ascii="Times New Roman" w:hAnsi="Times New Roman"/>
                      <w:szCs w:val="24"/>
                    </w:rPr>
                  </w:pPr>
                </w:p>
              </w:tc>
              <w:tc>
                <w:tcPr>
                  <w:tcW w:w="901" w:type="pct"/>
                  <w:shd w:val="clear" w:color="auto" w:fill="FFFFFF"/>
                  <w:vAlign w:val="center"/>
                </w:tcPr>
                <w:p w14:paraId="0EB3205E">
                  <w:pPr>
                    <w:pStyle w:val="52"/>
                    <w:overflowPunct w:val="0"/>
                    <w:jc w:val="center"/>
                    <w:textAlignment w:val="center"/>
                    <w:rPr>
                      <w:rFonts w:ascii="Times New Roman" w:hAnsi="Times New Roman"/>
                      <w:szCs w:val="24"/>
                    </w:rPr>
                  </w:pPr>
                  <w:r>
                    <w:rPr>
                      <w:rFonts w:hint="eastAsia" w:ascii="Times New Roman" w:hAnsi="Times New Roman"/>
                      <w:szCs w:val="24"/>
                    </w:rPr>
                    <w:t>生物质锅炉</w:t>
                  </w:r>
                </w:p>
              </w:tc>
              <w:tc>
                <w:tcPr>
                  <w:tcW w:w="1230" w:type="pct"/>
                  <w:shd w:val="clear" w:color="auto" w:fill="FFFFFF"/>
                  <w:vAlign w:val="center"/>
                </w:tcPr>
                <w:p w14:paraId="08ED81E8">
                  <w:pPr>
                    <w:pStyle w:val="52"/>
                    <w:overflowPunct w:val="0"/>
                    <w:jc w:val="center"/>
                    <w:textAlignment w:val="center"/>
                    <w:rPr>
                      <w:rFonts w:ascii="Times New Roman" w:hAnsi="Times New Roman"/>
                      <w:szCs w:val="24"/>
                    </w:rPr>
                  </w:pPr>
                  <w:r>
                    <w:rPr>
                      <w:rFonts w:hint="eastAsia" w:ascii="Times New Roman" w:hAnsi="Times New Roman"/>
                      <w:szCs w:val="24"/>
                    </w:rPr>
                    <w:t>炉渣</w:t>
                  </w:r>
                </w:p>
              </w:tc>
              <w:tc>
                <w:tcPr>
                  <w:tcW w:w="1562" w:type="pct"/>
                  <w:vMerge w:val="continue"/>
                  <w:shd w:val="clear" w:color="auto" w:fill="FFFFFF"/>
                  <w:vAlign w:val="center"/>
                </w:tcPr>
                <w:p w14:paraId="1A9D46E6">
                  <w:pPr>
                    <w:pStyle w:val="52"/>
                    <w:overflowPunct w:val="0"/>
                    <w:jc w:val="center"/>
                    <w:textAlignment w:val="center"/>
                    <w:rPr>
                      <w:rFonts w:ascii="Times New Roman" w:hAnsi="Times New Roman"/>
                      <w:szCs w:val="24"/>
                    </w:rPr>
                  </w:pPr>
                </w:p>
              </w:tc>
            </w:tr>
            <w:tr w14:paraId="4AAC0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continue"/>
                  <w:shd w:val="clear" w:color="auto" w:fill="FFFFFF"/>
                  <w:vAlign w:val="center"/>
                </w:tcPr>
                <w:p w14:paraId="38CACD6C">
                  <w:pPr>
                    <w:pStyle w:val="52"/>
                    <w:overflowPunct w:val="0"/>
                    <w:jc w:val="center"/>
                    <w:textAlignment w:val="center"/>
                    <w:rPr>
                      <w:rFonts w:ascii="Times New Roman" w:hAnsi="Times New Roman"/>
                      <w:szCs w:val="24"/>
                    </w:rPr>
                  </w:pPr>
                </w:p>
              </w:tc>
              <w:tc>
                <w:tcPr>
                  <w:tcW w:w="655" w:type="pct"/>
                  <w:vMerge w:val="restart"/>
                  <w:shd w:val="clear" w:color="auto" w:fill="FFFFFF"/>
                  <w:vAlign w:val="center"/>
                </w:tcPr>
                <w:p w14:paraId="57377DE0">
                  <w:pPr>
                    <w:pStyle w:val="52"/>
                    <w:overflowPunct w:val="0"/>
                    <w:jc w:val="center"/>
                    <w:textAlignment w:val="center"/>
                    <w:rPr>
                      <w:rFonts w:ascii="Times New Roman" w:hAnsi="Times New Roman"/>
                      <w:szCs w:val="24"/>
                    </w:rPr>
                  </w:pPr>
                  <w:r>
                    <w:rPr>
                      <w:rFonts w:hint="eastAsia" w:ascii="Times New Roman" w:hAnsi="Times New Roman"/>
                      <w:szCs w:val="24"/>
                    </w:rPr>
                    <w:t>危险废物</w:t>
                  </w:r>
                </w:p>
              </w:tc>
              <w:tc>
                <w:tcPr>
                  <w:tcW w:w="901" w:type="pct"/>
                  <w:shd w:val="clear" w:color="auto" w:fill="FFFFFF"/>
                  <w:vAlign w:val="center"/>
                </w:tcPr>
                <w:p w14:paraId="06E4EBD2">
                  <w:pPr>
                    <w:pStyle w:val="52"/>
                    <w:overflowPunct w:val="0"/>
                    <w:jc w:val="center"/>
                    <w:textAlignment w:val="center"/>
                    <w:rPr>
                      <w:rFonts w:ascii="Times New Roman" w:hAnsi="Times New Roman"/>
                      <w:szCs w:val="24"/>
                    </w:rPr>
                  </w:pPr>
                  <w:r>
                    <w:rPr>
                      <w:rFonts w:hint="eastAsia" w:ascii="Times New Roman" w:hAnsi="Times New Roman"/>
                      <w:szCs w:val="24"/>
                    </w:rPr>
                    <w:t>废气治理</w:t>
                  </w:r>
                </w:p>
              </w:tc>
              <w:tc>
                <w:tcPr>
                  <w:tcW w:w="1230" w:type="pct"/>
                  <w:shd w:val="clear" w:color="auto" w:fill="FFFFFF"/>
                  <w:vAlign w:val="center"/>
                </w:tcPr>
                <w:p w14:paraId="17378AEB">
                  <w:pPr>
                    <w:pStyle w:val="52"/>
                    <w:overflowPunct w:val="0"/>
                    <w:jc w:val="center"/>
                    <w:textAlignment w:val="center"/>
                    <w:rPr>
                      <w:rFonts w:ascii="Times New Roman" w:hAnsi="Times New Roman"/>
                      <w:szCs w:val="24"/>
                    </w:rPr>
                  </w:pPr>
                  <w:r>
                    <w:rPr>
                      <w:rFonts w:hint="eastAsia" w:ascii="Times New Roman" w:hAnsi="Times New Roman"/>
                      <w:szCs w:val="24"/>
                    </w:rPr>
                    <w:t>废活性炭</w:t>
                  </w:r>
                </w:p>
              </w:tc>
              <w:tc>
                <w:tcPr>
                  <w:tcW w:w="1562" w:type="pct"/>
                  <w:vMerge w:val="restart"/>
                  <w:shd w:val="clear" w:color="auto" w:fill="FFFFFF"/>
                  <w:vAlign w:val="center"/>
                </w:tcPr>
                <w:p w14:paraId="48D9129E">
                  <w:pPr>
                    <w:pStyle w:val="52"/>
                    <w:overflowPunct w:val="0"/>
                    <w:jc w:val="center"/>
                    <w:textAlignment w:val="center"/>
                    <w:rPr>
                      <w:rFonts w:ascii="Times New Roman" w:hAnsi="Times New Roman"/>
                      <w:szCs w:val="24"/>
                    </w:rPr>
                  </w:pPr>
                  <w:r>
                    <w:rPr>
                      <w:rFonts w:hint="eastAsia" w:ascii="Times New Roman" w:hAnsi="Times New Roman"/>
                      <w:szCs w:val="24"/>
                    </w:rPr>
                    <w:t>交由有危险废物处理资质单位处理</w:t>
                  </w:r>
                </w:p>
              </w:tc>
            </w:tr>
            <w:tr w14:paraId="0FEC3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cantSplit/>
                <w:trHeight w:val="284" w:hRule="atLeast"/>
                <w:jc w:val="center"/>
              </w:trPr>
              <w:tc>
                <w:tcPr>
                  <w:tcW w:w="647" w:type="pct"/>
                  <w:vMerge w:val="continue"/>
                  <w:shd w:val="clear" w:color="auto" w:fill="FFFFFF"/>
                  <w:vAlign w:val="center"/>
                </w:tcPr>
                <w:p w14:paraId="44D0B1D5">
                  <w:pPr>
                    <w:pStyle w:val="52"/>
                    <w:overflowPunct w:val="0"/>
                    <w:jc w:val="center"/>
                    <w:textAlignment w:val="center"/>
                    <w:rPr>
                      <w:rFonts w:ascii="Times New Roman" w:hAnsi="Times New Roman"/>
                      <w:szCs w:val="24"/>
                    </w:rPr>
                  </w:pPr>
                </w:p>
              </w:tc>
              <w:tc>
                <w:tcPr>
                  <w:tcW w:w="655" w:type="pct"/>
                  <w:vMerge w:val="continue"/>
                  <w:shd w:val="clear" w:color="auto" w:fill="FFFFFF"/>
                  <w:vAlign w:val="center"/>
                </w:tcPr>
                <w:p w14:paraId="15432374">
                  <w:pPr>
                    <w:pStyle w:val="52"/>
                    <w:overflowPunct w:val="0"/>
                    <w:jc w:val="center"/>
                    <w:textAlignment w:val="center"/>
                    <w:rPr>
                      <w:rFonts w:ascii="Times New Roman" w:hAnsi="Times New Roman"/>
                      <w:szCs w:val="24"/>
                    </w:rPr>
                  </w:pPr>
                </w:p>
              </w:tc>
              <w:tc>
                <w:tcPr>
                  <w:tcW w:w="901" w:type="pct"/>
                  <w:shd w:val="clear" w:color="auto" w:fill="FFFFFF"/>
                  <w:vAlign w:val="center"/>
                </w:tcPr>
                <w:p w14:paraId="4BB3E245">
                  <w:pPr>
                    <w:pStyle w:val="52"/>
                    <w:overflowPunct w:val="0"/>
                    <w:jc w:val="center"/>
                    <w:textAlignment w:val="center"/>
                    <w:rPr>
                      <w:rFonts w:ascii="Times New Roman" w:hAnsi="Times New Roman"/>
                      <w:szCs w:val="24"/>
                    </w:rPr>
                  </w:pPr>
                  <w:r>
                    <w:rPr>
                      <w:rFonts w:hint="eastAsia" w:ascii="Times New Roman" w:hAnsi="Times New Roman"/>
                      <w:szCs w:val="24"/>
                    </w:rPr>
                    <w:t>设备维修保养</w:t>
                  </w:r>
                </w:p>
              </w:tc>
              <w:tc>
                <w:tcPr>
                  <w:tcW w:w="1230" w:type="pct"/>
                  <w:shd w:val="clear" w:color="auto" w:fill="FFFFFF"/>
                  <w:vAlign w:val="center"/>
                </w:tcPr>
                <w:p w14:paraId="4EFC55B2">
                  <w:pPr>
                    <w:autoSpaceDE w:val="0"/>
                    <w:autoSpaceDN w:val="0"/>
                    <w:adjustRightInd w:val="0"/>
                    <w:snapToGrid w:val="0"/>
                    <w:jc w:val="center"/>
                    <w:textAlignment w:val="baseline"/>
                    <w:rPr>
                      <w:szCs w:val="24"/>
                    </w:rPr>
                  </w:pPr>
                  <w:r>
                    <w:rPr>
                      <w:rFonts w:hint="eastAsia"/>
                      <w:szCs w:val="24"/>
                    </w:rPr>
                    <w:t>废机油、废机油桶、含油废抹布及手套</w:t>
                  </w:r>
                </w:p>
              </w:tc>
              <w:tc>
                <w:tcPr>
                  <w:tcW w:w="1562" w:type="pct"/>
                  <w:vMerge w:val="continue"/>
                  <w:shd w:val="clear" w:color="auto" w:fill="FFFFFF"/>
                  <w:vAlign w:val="center"/>
                </w:tcPr>
                <w:p w14:paraId="41706555">
                  <w:pPr>
                    <w:pStyle w:val="52"/>
                    <w:overflowPunct w:val="0"/>
                    <w:jc w:val="center"/>
                    <w:textAlignment w:val="center"/>
                    <w:rPr>
                      <w:rFonts w:ascii="Times New Roman" w:hAnsi="Times New Roman"/>
                      <w:szCs w:val="24"/>
                    </w:rPr>
                  </w:pPr>
                </w:p>
              </w:tc>
            </w:tr>
            <w:tr w14:paraId="541F3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647" w:type="pct"/>
                  <w:vMerge w:val="continue"/>
                  <w:shd w:val="clear" w:color="auto" w:fill="FFFFFF"/>
                  <w:vAlign w:val="center"/>
                </w:tcPr>
                <w:p w14:paraId="73C50F54">
                  <w:pPr>
                    <w:pStyle w:val="52"/>
                    <w:overflowPunct w:val="0"/>
                    <w:jc w:val="center"/>
                    <w:textAlignment w:val="center"/>
                    <w:rPr>
                      <w:rFonts w:ascii="Times New Roman" w:hAnsi="Times New Roman"/>
                      <w:szCs w:val="24"/>
                    </w:rPr>
                  </w:pPr>
                </w:p>
              </w:tc>
              <w:tc>
                <w:tcPr>
                  <w:tcW w:w="655" w:type="pct"/>
                  <w:shd w:val="clear" w:color="auto" w:fill="FFFFFF"/>
                  <w:vAlign w:val="center"/>
                </w:tcPr>
                <w:p w14:paraId="69E9F33D">
                  <w:pPr>
                    <w:pStyle w:val="52"/>
                    <w:overflowPunct w:val="0"/>
                    <w:jc w:val="center"/>
                    <w:textAlignment w:val="center"/>
                    <w:rPr>
                      <w:rFonts w:ascii="Times New Roman" w:hAnsi="Times New Roman"/>
                      <w:szCs w:val="24"/>
                    </w:rPr>
                  </w:pPr>
                  <w:r>
                    <w:rPr>
                      <w:rFonts w:ascii="Times New Roman" w:hAnsi="Times New Roman"/>
                      <w:szCs w:val="24"/>
                    </w:rPr>
                    <w:t>生活垃圾</w:t>
                  </w:r>
                </w:p>
              </w:tc>
              <w:tc>
                <w:tcPr>
                  <w:tcW w:w="901" w:type="pct"/>
                  <w:shd w:val="clear" w:color="auto" w:fill="FFFFFF"/>
                  <w:vAlign w:val="center"/>
                </w:tcPr>
                <w:p w14:paraId="4F255063">
                  <w:pPr>
                    <w:pStyle w:val="52"/>
                    <w:overflowPunct w:val="0"/>
                    <w:jc w:val="center"/>
                    <w:textAlignment w:val="center"/>
                    <w:rPr>
                      <w:rFonts w:ascii="Times New Roman" w:hAnsi="Times New Roman"/>
                      <w:szCs w:val="24"/>
                    </w:rPr>
                  </w:pPr>
                  <w:r>
                    <w:rPr>
                      <w:rFonts w:hint="eastAsia" w:ascii="Times New Roman" w:hAnsi="Times New Roman"/>
                      <w:szCs w:val="24"/>
                    </w:rPr>
                    <w:t>办公、生活</w:t>
                  </w:r>
                </w:p>
              </w:tc>
              <w:tc>
                <w:tcPr>
                  <w:tcW w:w="1230" w:type="pct"/>
                  <w:shd w:val="clear" w:color="auto" w:fill="FFFFFF"/>
                  <w:vAlign w:val="center"/>
                </w:tcPr>
                <w:p w14:paraId="6589CF03">
                  <w:pPr>
                    <w:autoSpaceDE w:val="0"/>
                    <w:autoSpaceDN w:val="0"/>
                    <w:adjustRightInd w:val="0"/>
                    <w:snapToGrid w:val="0"/>
                    <w:jc w:val="center"/>
                    <w:textAlignment w:val="baseline"/>
                    <w:rPr>
                      <w:szCs w:val="24"/>
                    </w:rPr>
                  </w:pPr>
                  <w:r>
                    <w:rPr>
                      <w:szCs w:val="24"/>
                    </w:rPr>
                    <w:t>生活垃圾</w:t>
                  </w:r>
                </w:p>
              </w:tc>
              <w:tc>
                <w:tcPr>
                  <w:tcW w:w="1567" w:type="pct"/>
                  <w:gridSpan w:val="2"/>
                  <w:shd w:val="clear" w:color="auto" w:fill="FFFFFF"/>
                  <w:vAlign w:val="center"/>
                </w:tcPr>
                <w:p w14:paraId="72D79940">
                  <w:pPr>
                    <w:pStyle w:val="52"/>
                    <w:overflowPunct w:val="0"/>
                    <w:jc w:val="center"/>
                    <w:textAlignment w:val="center"/>
                    <w:rPr>
                      <w:rFonts w:ascii="Times New Roman" w:hAnsi="Times New Roman"/>
                      <w:szCs w:val="24"/>
                    </w:rPr>
                  </w:pPr>
                  <w:r>
                    <w:rPr>
                      <w:rFonts w:hint="eastAsia" w:ascii="Times New Roman" w:hAnsi="Times New Roman"/>
                      <w:szCs w:val="24"/>
                    </w:rPr>
                    <w:t>交环卫部门统一清运</w:t>
                  </w:r>
                </w:p>
              </w:tc>
            </w:tr>
          </w:tbl>
          <w:p w14:paraId="07A6ED50">
            <w:pPr>
              <w:pStyle w:val="12"/>
              <w:spacing w:line="360" w:lineRule="auto"/>
              <w:ind w:left="0" w:leftChars="0" w:firstLine="480" w:firstLineChars="200"/>
              <w:rPr>
                <w:sz w:val="24"/>
                <w:lang w:bidi="ar"/>
              </w:rPr>
            </w:pPr>
          </w:p>
          <w:p w14:paraId="1D85F0AA">
            <w:pPr>
              <w:spacing w:line="360" w:lineRule="auto"/>
              <w:ind w:firstLine="200"/>
              <w:rPr>
                <w:lang w:bidi="ar"/>
              </w:rPr>
            </w:pPr>
          </w:p>
          <w:p w14:paraId="455FDCEC">
            <w:pPr>
              <w:spacing w:line="360" w:lineRule="auto"/>
              <w:ind w:firstLine="200"/>
              <w:rPr>
                <w:lang w:bidi="ar"/>
              </w:rPr>
            </w:pPr>
          </w:p>
          <w:p w14:paraId="61584B07">
            <w:pPr>
              <w:spacing w:line="360" w:lineRule="auto"/>
              <w:ind w:firstLine="200"/>
              <w:rPr>
                <w:lang w:bidi="ar"/>
              </w:rPr>
            </w:pPr>
          </w:p>
          <w:p w14:paraId="061EA8F7">
            <w:pPr>
              <w:spacing w:line="360" w:lineRule="auto"/>
              <w:ind w:firstLine="200"/>
              <w:rPr>
                <w:lang w:bidi="ar"/>
              </w:rPr>
            </w:pPr>
          </w:p>
          <w:p w14:paraId="25DE00A0">
            <w:pPr>
              <w:spacing w:line="360" w:lineRule="auto"/>
              <w:ind w:firstLine="200"/>
              <w:rPr>
                <w:lang w:bidi="ar"/>
              </w:rPr>
            </w:pPr>
          </w:p>
          <w:p w14:paraId="0DCE37F4">
            <w:pPr>
              <w:spacing w:line="360" w:lineRule="auto"/>
              <w:ind w:firstLine="200"/>
              <w:rPr>
                <w:lang w:bidi="ar"/>
              </w:rPr>
            </w:pPr>
          </w:p>
          <w:p w14:paraId="69D29C3C">
            <w:pPr>
              <w:spacing w:line="360" w:lineRule="auto"/>
              <w:ind w:firstLine="200"/>
              <w:rPr>
                <w:lang w:bidi="ar"/>
              </w:rPr>
            </w:pPr>
          </w:p>
          <w:p w14:paraId="2897E99A">
            <w:pPr>
              <w:spacing w:line="360" w:lineRule="auto"/>
              <w:ind w:firstLine="200"/>
              <w:rPr>
                <w:lang w:bidi="ar"/>
              </w:rPr>
            </w:pPr>
          </w:p>
          <w:p w14:paraId="2871E90C">
            <w:pPr>
              <w:spacing w:line="360" w:lineRule="auto"/>
              <w:ind w:firstLine="200"/>
              <w:rPr>
                <w:lang w:bidi="ar"/>
              </w:rPr>
            </w:pPr>
          </w:p>
          <w:p w14:paraId="12CCE339">
            <w:pPr>
              <w:pStyle w:val="12"/>
              <w:spacing w:line="360" w:lineRule="auto"/>
              <w:ind w:left="0" w:leftChars="0" w:firstLine="480" w:firstLineChars="200"/>
              <w:rPr>
                <w:sz w:val="24"/>
              </w:rPr>
            </w:pPr>
          </w:p>
        </w:tc>
      </w:tr>
      <w:tr w14:paraId="2B5FE0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98" w:hRule="atLeast"/>
          <w:jc w:val="center"/>
        </w:trPr>
        <w:tc>
          <w:tcPr>
            <w:tcW w:w="245" w:type="pct"/>
            <w:vAlign w:val="center"/>
          </w:tcPr>
          <w:p w14:paraId="694FFF7D">
            <w:pPr>
              <w:widowControl/>
              <w:adjustRightInd w:val="0"/>
              <w:snapToGrid w:val="0"/>
              <w:jc w:val="center"/>
              <w:rPr>
                <w:b/>
                <w:kern w:val="0"/>
                <w:sz w:val="24"/>
                <w:szCs w:val="24"/>
              </w:rPr>
            </w:pPr>
            <w:r>
              <w:rPr>
                <w:b/>
                <w:bCs/>
                <w:sz w:val="24"/>
                <w:szCs w:val="24"/>
              </w:rPr>
              <w:t>与项目有关的原有环境污染问题</w:t>
            </w:r>
          </w:p>
        </w:tc>
        <w:tc>
          <w:tcPr>
            <w:tcW w:w="4755" w:type="pct"/>
          </w:tcPr>
          <w:p w14:paraId="1F81C7D8">
            <w:pPr>
              <w:spacing w:before="120" w:beforeLines="50" w:line="360" w:lineRule="auto"/>
              <w:ind w:firstLine="482" w:firstLineChars="200"/>
              <w:jc w:val="left"/>
              <w:rPr>
                <w:b/>
                <w:bCs/>
                <w:sz w:val="24"/>
                <w:szCs w:val="24"/>
              </w:rPr>
            </w:pPr>
            <w:r>
              <w:rPr>
                <w:rFonts w:hint="eastAsia"/>
                <w:b/>
                <w:bCs/>
                <w:sz w:val="24"/>
                <w:szCs w:val="24"/>
              </w:rPr>
              <w:t>1.现有项目概况及环保手续履行情况</w:t>
            </w:r>
          </w:p>
          <w:p w14:paraId="1326A7B8">
            <w:pPr>
              <w:spacing w:line="360" w:lineRule="auto"/>
              <w:ind w:firstLine="480" w:firstLineChars="200"/>
              <w:rPr>
                <w:sz w:val="24"/>
              </w:rPr>
            </w:pPr>
            <w:r>
              <w:rPr>
                <w:rFonts w:hint="eastAsia"/>
                <w:sz w:val="24"/>
              </w:rPr>
              <w:t>惠州市耀坤环保科技有限公司位于</w:t>
            </w:r>
            <w:r>
              <w:rPr>
                <w:sz w:val="24"/>
              </w:rPr>
              <w:t>惠州市博罗县湖镇镇水心围村委会水心围小组</w:t>
            </w:r>
            <w:r>
              <w:rPr>
                <w:rFonts w:hint="eastAsia"/>
                <w:sz w:val="24"/>
              </w:rPr>
              <w:t>，主要</w:t>
            </w:r>
            <w:r>
              <w:rPr>
                <w:rFonts w:hint="eastAsia"/>
                <w:bCs/>
                <w:sz w:val="24"/>
                <w:szCs w:val="24"/>
              </w:rPr>
              <w:t>从事废白土的加工利用，从废白土中回收工业油脂。现有项目设计年加工废白土60000吨、</w:t>
            </w:r>
            <w:r>
              <w:rPr>
                <w:rFonts w:hint="eastAsia"/>
                <w:sz w:val="24"/>
              </w:rPr>
              <w:t>废皂脚20000吨，其中年加工</w:t>
            </w:r>
            <w:r>
              <w:rPr>
                <w:sz w:val="24"/>
              </w:rPr>
              <w:t>6</w:t>
            </w:r>
            <w:r>
              <w:rPr>
                <w:rFonts w:hint="eastAsia"/>
                <w:sz w:val="24"/>
              </w:rPr>
              <w:t>万吨废白土项目已建成投产，年加工2万吨废皂脚项目至今未建设投产。</w:t>
            </w:r>
          </w:p>
          <w:p w14:paraId="35057220">
            <w:pPr>
              <w:spacing w:line="360" w:lineRule="auto"/>
              <w:ind w:firstLine="480" w:firstLineChars="200"/>
              <w:rPr>
                <w:sz w:val="24"/>
              </w:rPr>
            </w:pPr>
            <w:r>
              <w:rPr>
                <w:rFonts w:hint="eastAsia"/>
                <w:sz w:val="24"/>
              </w:rPr>
              <w:t>惠州市耀坤环保科技有限公司委托惠州市环科环境科技有限公司于2018年编制完成《惠州市耀坤环保科技有限公司年加工6万吨废白土及2万吨废皂脚项目环境影响报告书》，同年11月取得原博罗县环境保护局《关于惠州市耀坤环保科技有限公司年加工6万吨废白土及2万吨废皂脚项目环境影响报告书的批复》（博环建〔2018〕305号，见附件</w:t>
            </w:r>
            <w:r>
              <w:rPr>
                <w:rFonts w:hint="eastAsia"/>
                <w:sz w:val="24"/>
                <w:lang w:val="en-US" w:eastAsia="zh-CN"/>
              </w:rPr>
              <w:t>2</w:t>
            </w:r>
            <w:r>
              <w:rPr>
                <w:rFonts w:hint="eastAsia"/>
                <w:sz w:val="24"/>
              </w:rPr>
              <w:t>）同意建设；2019年7月，惠州市耀坤环保科技有限公司年加工</w:t>
            </w:r>
            <w:r>
              <w:rPr>
                <w:sz w:val="24"/>
              </w:rPr>
              <w:t>6</w:t>
            </w:r>
            <w:r>
              <w:rPr>
                <w:rFonts w:hint="eastAsia"/>
                <w:sz w:val="24"/>
              </w:rPr>
              <w:t>万吨废白土及</w:t>
            </w:r>
            <w:r>
              <w:rPr>
                <w:sz w:val="24"/>
              </w:rPr>
              <w:t>2</w:t>
            </w:r>
            <w:r>
              <w:rPr>
                <w:rFonts w:hint="eastAsia"/>
                <w:sz w:val="24"/>
              </w:rPr>
              <w:t>万吨废皂脚项目（一期）建成通过了竣工环保自主验收（见附件</w:t>
            </w:r>
            <w:r>
              <w:rPr>
                <w:rFonts w:hint="eastAsia"/>
                <w:sz w:val="24"/>
                <w:lang w:val="en-US" w:eastAsia="zh-CN"/>
              </w:rPr>
              <w:t>3</w:t>
            </w:r>
            <w:r>
              <w:rPr>
                <w:rFonts w:hint="eastAsia"/>
                <w:sz w:val="24"/>
              </w:rPr>
              <w:t>）并投入生产，一期主要建设内容为年加工</w:t>
            </w:r>
            <w:r>
              <w:rPr>
                <w:sz w:val="24"/>
              </w:rPr>
              <w:t>6</w:t>
            </w:r>
            <w:r>
              <w:rPr>
                <w:rFonts w:hint="eastAsia"/>
                <w:sz w:val="24"/>
              </w:rPr>
              <w:t>万吨废白土项目，年加工2万吨废皂脚项目至今未建设投产。公司已申领国家排污许可证（见附件</w:t>
            </w:r>
            <w:r>
              <w:rPr>
                <w:rFonts w:hint="eastAsia"/>
                <w:sz w:val="24"/>
                <w:lang w:val="en-US" w:eastAsia="zh-CN"/>
              </w:rPr>
              <w:t>4</w:t>
            </w:r>
            <w:r>
              <w:rPr>
                <w:rFonts w:hint="eastAsia"/>
                <w:sz w:val="24"/>
              </w:rPr>
              <w:t>），许可证编号：91441322MA4WBT8J9P001V。</w:t>
            </w:r>
          </w:p>
          <w:p w14:paraId="281B0510">
            <w:pPr>
              <w:adjustRightInd w:val="0"/>
              <w:snapToGrid w:val="0"/>
              <w:spacing w:line="360" w:lineRule="auto"/>
              <w:ind w:firstLine="482" w:firstLineChars="200"/>
              <w:rPr>
                <w:b/>
                <w:bCs/>
                <w:sz w:val="24"/>
                <w:szCs w:val="24"/>
              </w:rPr>
            </w:pPr>
            <w:r>
              <w:rPr>
                <w:rFonts w:hint="eastAsia"/>
                <w:b/>
                <w:bCs/>
                <w:sz w:val="24"/>
                <w:szCs w:val="24"/>
              </w:rPr>
              <w:t>2.现有项目污染物排放情况</w:t>
            </w:r>
          </w:p>
          <w:p w14:paraId="69B5936C">
            <w:pPr>
              <w:adjustRightInd w:val="0"/>
              <w:snapToGrid w:val="0"/>
              <w:spacing w:line="360" w:lineRule="auto"/>
              <w:ind w:firstLine="482" w:firstLineChars="200"/>
              <w:rPr>
                <w:b/>
                <w:bCs/>
                <w:sz w:val="24"/>
                <w:szCs w:val="24"/>
              </w:rPr>
            </w:pPr>
            <w:r>
              <w:rPr>
                <w:rFonts w:hint="eastAsia"/>
                <w:b/>
                <w:bCs/>
                <w:sz w:val="24"/>
                <w:szCs w:val="24"/>
              </w:rPr>
              <w:t>2.1年加工6万吨废白土项目（已批已投产）</w:t>
            </w:r>
          </w:p>
          <w:p w14:paraId="41ADE591">
            <w:pPr>
              <w:adjustRightInd w:val="0"/>
              <w:snapToGrid w:val="0"/>
              <w:spacing w:line="360" w:lineRule="auto"/>
              <w:ind w:firstLine="482" w:firstLineChars="200"/>
              <w:rPr>
                <w:b/>
                <w:bCs/>
                <w:sz w:val="24"/>
              </w:rPr>
            </w:pPr>
            <w:r>
              <w:rPr>
                <w:rFonts w:hint="eastAsia"/>
                <w:b/>
                <w:bCs/>
                <w:sz w:val="24"/>
              </w:rPr>
              <w:t>2.1.1生产工艺流程</w:t>
            </w:r>
          </w:p>
          <w:p w14:paraId="2F61F9BC">
            <w:pPr>
              <w:spacing w:line="360" w:lineRule="auto"/>
              <w:ind w:firstLine="480" w:firstLineChars="200"/>
              <w:rPr>
                <w:bCs/>
                <w:sz w:val="24"/>
                <w:szCs w:val="24"/>
              </w:rPr>
            </w:pPr>
            <w:r>
              <w:rPr>
                <w:rFonts w:hint="eastAsia"/>
                <w:sz w:val="24"/>
              </w:rPr>
              <w:t>已投产的年加工6万吨废白工项目，</w:t>
            </w:r>
            <w:r>
              <w:rPr>
                <w:rFonts w:hint="eastAsia"/>
                <w:bCs/>
                <w:sz w:val="24"/>
                <w:szCs w:val="24"/>
              </w:rPr>
              <w:t>年产工业油脂（酸化油）10500吨。</w:t>
            </w:r>
            <w:r>
              <w:rPr>
                <w:rFonts w:hint="eastAsia"/>
                <w:sz w:val="24"/>
              </w:rPr>
              <w:t>实际</w:t>
            </w:r>
            <w:r>
              <w:rPr>
                <w:rFonts w:hint="eastAsia"/>
                <w:bCs/>
                <w:sz w:val="24"/>
                <w:szCs w:val="24"/>
              </w:rPr>
              <w:t>年工作300天、一天3班、每班8小时。生产工艺流程如下。</w:t>
            </w:r>
          </w:p>
          <w:p w14:paraId="5CDBA7B6">
            <w:pPr>
              <w:spacing w:line="360" w:lineRule="auto"/>
              <w:jc w:val="center"/>
              <w:rPr>
                <w:bCs/>
                <w:sz w:val="24"/>
                <w:szCs w:val="24"/>
              </w:rPr>
            </w:pPr>
            <w:r>
              <w:drawing>
                <wp:inline distT="0" distB="0" distL="0" distR="0">
                  <wp:extent cx="3270250" cy="2507615"/>
                  <wp:effectExtent l="0" t="0" r="6350" b="6985"/>
                  <wp:docPr id="8484193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419305" name="图片 1"/>
                          <pic:cNvPicPr>
                            <a:picLocks noChangeAspect="1"/>
                          </pic:cNvPicPr>
                        </pic:nvPicPr>
                        <pic:blipFill>
                          <a:blip r:embed="rId17"/>
                          <a:srcRect t="2665" b="7585"/>
                          <a:stretch>
                            <a:fillRect/>
                          </a:stretch>
                        </pic:blipFill>
                        <pic:spPr>
                          <a:xfrm>
                            <a:off x="0" y="0"/>
                            <a:ext cx="3349429" cy="2568957"/>
                          </a:xfrm>
                          <a:prstGeom prst="rect">
                            <a:avLst/>
                          </a:prstGeom>
                          <a:ln>
                            <a:noFill/>
                          </a:ln>
                        </pic:spPr>
                      </pic:pic>
                    </a:graphicData>
                  </a:graphic>
                </wp:inline>
              </w:drawing>
            </w:r>
          </w:p>
          <w:p w14:paraId="00EF84F2">
            <w:pPr>
              <w:pStyle w:val="14"/>
              <w:spacing w:before="0" w:beforeLines="0" w:after="0" w:afterLines="0" w:line="360" w:lineRule="auto"/>
              <w:rPr>
                <w:rFonts w:eastAsia="宋体"/>
                <w:b/>
                <w:sz w:val="21"/>
              </w:rPr>
            </w:pPr>
            <w:r>
              <w:rPr>
                <w:rFonts w:hint="eastAsia" w:eastAsia="宋体"/>
                <w:b/>
                <w:sz w:val="21"/>
              </w:rPr>
              <w:t>图2-6 现有项目废白土加工生产工艺流程图</w:t>
            </w:r>
          </w:p>
          <w:p w14:paraId="20A05096">
            <w:pPr>
              <w:spacing w:line="360" w:lineRule="auto"/>
              <w:ind w:firstLine="480" w:firstLineChars="200"/>
              <w:rPr>
                <w:sz w:val="24"/>
              </w:rPr>
            </w:pPr>
            <w:r>
              <w:rPr>
                <w:rFonts w:hint="eastAsia"/>
                <w:sz w:val="24"/>
              </w:rPr>
              <w:t>外收的废白土通过汽车直接运输到生产车间内的原料区暂存。原料区上风设置集气罩，</w:t>
            </w:r>
            <w:r>
              <w:rPr>
                <w:rFonts w:hint="eastAsia"/>
                <w:bCs/>
                <w:sz w:val="24"/>
              </w:rPr>
              <w:t>废气经集气罩收集进入活性炭吸附装置处理达标后排放。</w:t>
            </w:r>
            <w:r>
              <w:rPr>
                <w:rFonts w:hint="eastAsia"/>
                <w:sz w:val="24"/>
              </w:rPr>
              <w:t>。</w:t>
            </w:r>
          </w:p>
          <w:p w14:paraId="5AB56C52">
            <w:pPr>
              <w:spacing w:line="360" w:lineRule="auto"/>
              <w:ind w:firstLine="480" w:firstLineChars="200"/>
              <w:rPr>
                <w:sz w:val="24"/>
              </w:rPr>
            </w:pPr>
            <w:r>
              <w:rPr>
                <w:rFonts w:hint="eastAsia"/>
                <w:bCs/>
                <w:sz w:val="24"/>
                <w:szCs w:val="24"/>
              </w:rPr>
              <w:t>（1）</w:t>
            </w:r>
            <w:r>
              <w:rPr>
                <w:rFonts w:hint="eastAsia"/>
                <w:sz w:val="24"/>
              </w:rPr>
              <w:t>蒸炒</w:t>
            </w:r>
          </w:p>
          <w:p w14:paraId="07C1FD8A">
            <w:pPr>
              <w:spacing w:line="360" w:lineRule="auto"/>
              <w:ind w:firstLine="480" w:firstLineChars="200"/>
              <w:rPr>
                <w:sz w:val="24"/>
              </w:rPr>
            </w:pPr>
            <w:r>
              <w:rPr>
                <w:rFonts w:hint="eastAsia"/>
                <w:sz w:val="24"/>
              </w:rPr>
              <w:t>本工序通过人工投料将废白土投入炒锅内，并喷洒一定量的水（加入水约为废白土质量的35%）进行润湿，然后通入生物质锅炉产生的蒸汽加热，蒸汽直接与物料接触，加热温度控制在</w:t>
            </w:r>
            <w:r>
              <w:rPr>
                <w:sz w:val="24"/>
              </w:rPr>
              <w:t>90</w:t>
            </w:r>
            <w:r>
              <w:rPr>
                <w:rFonts w:hint="eastAsia"/>
                <w:sz w:val="24"/>
              </w:rPr>
              <w:t>℃左右。此过程中，加水可提高白土的含水率，从而降低白土的油脂吸附能力；通过蒸炒对废白土进行加热并调节水分，以降低废白土中的油脂黏度，促进油脂的流动，加快出油速率。蒸炒过程会产生少量硫化氢和氨，通过在炒锅上方设置集气罩对废气进行收集，收集后的废气经活性炭吸附处理达标后排放。</w:t>
            </w:r>
          </w:p>
          <w:p w14:paraId="38284032">
            <w:pPr>
              <w:spacing w:line="360" w:lineRule="auto"/>
              <w:ind w:firstLine="480" w:firstLineChars="200"/>
              <w:rPr>
                <w:sz w:val="24"/>
              </w:rPr>
            </w:pPr>
            <w:r>
              <w:rPr>
                <w:rFonts w:hint="eastAsia"/>
                <w:bCs/>
                <w:sz w:val="24"/>
                <w:szCs w:val="24"/>
              </w:rPr>
              <w:t>（2）</w:t>
            </w:r>
            <w:r>
              <w:rPr>
                <w:rFonts w:hint="eastAsia"/>
                <w:sz w:val="24"/>
              </w:rPr>
              <w:t>压榨</w:t>
            </w:r>
          </w:p>
          <w:p w14:paraId="2D36B496">
            <w:pPr>
              <w:spacing w:line="360" w:lineRule="auto"/>
              <w:ind w:firstLine="480" w:firstLineChars="200"/>
              <w:rPr>
                <w:sz w:val="24"/>
              </w:rPr>
            </w:pPr>
            <w:r>
              <w:rPr>
                <w:rFonts w:hint="eastAsia"/>
                <w:sz w:val="24"/>
              </w:rPr>
              <w:t>废白土蒸炒成散状后铲入滤布，再投入榨油机进行压榨，压榨在常温状态下进行，通过逐步提高榨油机的压力，使油和水从废白土压出。压榨产生的白土渣收集外售给专门的公司回收利用，用于做肥料或制砖生产。</w:t>
            </w:r>
          </w:p>
          <w:p w14:paraId="26BAA0F5">
            <w:pPr>
              <w:spacing w:line="360" w:lineRule="auto"/>
              <w:ind w:firstLine="480" w:firstLineChars="200"/>
              <w:rPr>
                <w:sz w:val="24"/>
              </w:rPr>
            </w:pPr>
            <w:r>
              <w:rPr>
                <w:rFonts w:hint="eastAsia"/>
                <w:bCs/>
                <w:sz w:val="24"/>
                <w:szCs w:val="24"/>
              </w:rPr>
              <w:t>（3）</w:t>
            </w:r>
            <w:r>
              <w:rPr>
                <w:rFonts w:hint="eastAsia"/>
                <w:sz w:val="24"/>
              </w:rPr>
              <w:t>油水分离</w:t>
            </w:r>
          </w:p>
          <w:p w14:paraId="4B1F9A19">
            <w:pPr>
              <w:spacing w:line="360" w:lineRule="auto"/>
              <w:ind w:firstLine="480" w:firstLineChars="200"/>
              <w:rPr>
                <w:bCs/>
                <w:sz w:val="24"/>
                <w:szCs w:val="24"/>
              </w:rPr>
            </w:pPr>
            <w:r>
              <w:rPr>
                <w:rFonts w:hint="eastAsia"/>
                <w:sz w:val="24"/>
              </w:rPr>
              <w:t>压榨出的油水混合物进入沉淀池，静置分层后上层为酸化油，将酸化油泵入产品储罐作为产品外售；沉淀池下层为工艺废水，收集后回用于炒锅废白土润湿，不外排。</w:t>
            </w:r>
          </w:p>
          <w:p w14:paraId="7D1FA861">
            <w:pPr>
              <w:spacing w:line="360" w:lineRule="auto"/>
              <w:ind w:firstLine="482" w:firstLineChars="200"/>
              <w:rPr>
                <w:b/>
                <w:bCs/>
                <w:sz w:val="24"/>
              </w:rPr>
            </w:pPr>
            <w:r>
              <w:rPr>
                <w:rFonts w:hint="eastAsia"/>
                <w:b/>
                <w:bCs/>
                <w:sz w:val="24"/>
              </w:rPr>
              <w:t>2.1.2污染物产生和排放情况</w:t>
            </w:r>
          </w:p>
          <w:p w14:paraId="120B91DE">
            <w:pPr>
              <w:spacing w:line="360" w:lineRule="auto"/>
              <w:ind w:firstLine="480" w:firstLineChars="200"/>
              <w:rPr>
                <w:bCs/>
                <w:sz w:val="24"/>
                <w:szCs w:val="24"/>
              </w:rPr>
            </w:pPr>
            <w:r>
              <w:rPr>
                <w:rFonts w:hint="eastAsia"/>
                <w:bCs/>
                <w:sz w:val="24"/>
                <w:szCs w:val="24"/>
              </w:rPr>
              <w:t>（1）废气</w:t>
            </w:r>
          </w:p>
          <w:p w14:paraId="6EB8EB6F">
            <w:pPr>
              <w:spacing w:line="360" w:lineRule="auto"/>
              <w:ind w:firstLine="480" w:firstLineChars="200"/>
              <w:rPr>
                <w:bCs/>
                <w:sz w:val="24"/>
                <w:szCs w:val="24"/>
              </w:rPr>
            </w:pPr>
            <w:r>
              <w:rPr>
                <w:rFonts w:hint="eastAsia"/>
                <w:bCs/>
                <w:sz w:val="24"/>
                <w:szCs w:val="24"/>
              </w:rPr>
              <w:t>①锅炉废气</w:t>
            </w:r>
          </w:p>
          <w:p w14:paraId="773BEF8D">
            <w:pPr>
              <w:spacing w:line="360" w:lineRule="auto"/>
              <w:ind w:firstLine="480" w:firstLineChars="200"/>
              <w:rPr>
                <w:bCs/>
                <w:sz w:val="24"/>
              </w:rPr>
            </w:pPr>
            <w:r>
              <w:rPr>
                <w:rFonts w:hint="eastAsia"/>
                <w:bCs/>
                <w:sz w:val="24"/>
                <w:szCs w:val="24"/>
              </w:rPr>
              <w:t>现有项目配套有</w:t>
            </w:r>
            <w:r>
              <w:rPr>
                <w:bCs/>
                <w:sz w:val="24"/>
                <w:szCs w:val="24"/>
              </w:rPr>
              <w:t>1</w:t>
            </w:r>
            <w:r>
              <w:rPr>
                <w:rFonts w:hint="eastAsia"/>
                <w:bCs/>
                <w:sz w:val="24"/>
                <w:szCs w:val="24"/>
              </w:rPr>
              <w:t>台2t/h燃生物质成型燃料锅炉，</w:t>
            </w:r>
            <w:r>
              <w:rPr>
                <w:rFonts w:hint="eastAsia"/>
                <w:sz w:val="24"/>
              </w:rPr>
              <w:t>日运行时间为10h/d，</w:t>
            </w:r>
            <w:r>
              <w:rPr>
                <w:rFonts w:hint="eastAsia"/>
                <w:bCs/>
                <w:sz w:val="24"/>
                <w:szCs w:val="24"/>
              </w:rPr>
              <w:t>锅炉废气经“</w:t>
            </w:r>
            <w:r>
              <w:rPr>
                <w:rFonts w:hint="eastAsia"/>
                <w:bCs/>
                <w:sz w:val="24"/>
              </w:rPr>
              <w:t>旋风除尘器</w:t>
            </w:r>
            <w:r>
              <w:rPr>
                <w:bCs/>
                <w:sz w:val="24"/>
              </w:rPr>
              <w:t>+</w:t>
            </w:r>
            <w:r>
              <w:rPr>
                <w:rFonts w:hint="eastAsia"/>
                <w:bCs/>
                <w:sz w:val="24"/>
              </w:rPr>
              <w:t>袋式除尘器</w:t>
            </w:r>
            <w:r>
              <w:rPr>
                <w:bCs/>
                <w:sz w:val="24"/>
              </w:rPr>
              <w:t>+</w:t>
            </w:r>
            <w:r>
              <w:rPr>
                <w:rFonts w:hint="eastAsia"/>
                <w:bCs/>
                <w:sz w:val="24"/>
              </w:rPr>
              <w:t>水膜除尘器+</w:t>
            </w:r>
            <w:r>
              <w:rPr>
                <w:bCs/>
                <w:sz w:val="24"/>
              </w:rPr>
              <w:t>SNCR</w:t>
            </w:r>
            <w:r>
              <w:rPr>
                <w:rFonts w:hint="eastAsia"/>
                <w:bCs/>
                <w:sz w:val="24"/>
              </w:rPr>
              <w:t>”处理设施处理达标后通过1根15</w:t>
            </w:r>
            <w:r>
              <w:rPr>
                <w:bCs/>
                <w:sz w:val="24"/>
              </w:rPr>
              <w:t>m</w:t>
            </w:r>
            <w:r>
              <w:rPr>
                <w:rFonts w:hint="eastAsia"/>
                <w:bCs/>
                <w:sz w:val="24"/>
              </w:rPr>
              <w:t>高</w:t>
            </w:r>
            <w:r>
              <w:rPr>
                <w:bCs/>
                <w:sz w:val="24"/>
              </w:rPr>
              <w:t>排气筒</w:t>
            </w:r>
            <w:r>
              <w:rPr>
                <w:rFonts w:hint="eastAsia"/>
                <w:bCs/>
                <w:sz w:val="24"/>
              </w:rPr>
              <w:t>（DA001）排放。锅炉废气污染物排放执行《锅炉大气污染物排放标准》（</w:t>
            </w:r>
            <w:r>
              <w:rPr>
                <w:bCs/>
                <w:sz w:val="24"/>
              </w:rPr>
              <w:t>DB44/765-2019</w:t>
            </w:r>
            <w:r>
              <w:rPr>
                <w:rFonts w:hint="eastAsia"/>
                <w:bCs/>
                <w:sz w:val="24"/>
              </w:rPr>
              <w:t>）表2标准限值。</w:t>
            </w:r>
          </w:p>
          <w:p w14:paraId="20105312">
            <w:pPr>
              <w:spacing w:line="360" w:lineRule="auto"/>
              <w:ind w:firstLine="480" w:firstLineChars="200"/>
              <w:rPr>
                <w:bCs/>
                <w:sz w:val="24"/>
                <w:szCs w:val="24"/>
              </w:rPr>
            </w:pPr>
            <w:r>
              <w:rPr>
                <w:rFonts w:hint="eastAsia"/>
                <w:bCs/>
                <w:sz w:val="24"/>
                <w:szCs w:val="24"/>
              </w:rPr>
              <w:t>②废白土堆场废气和废白土炒锅废气</w:t>
            </w:r>
          </w:p>
          <w:p w14:paraId="2D4F8EAA">
            <w:pPr>
              <w:spacing w:line="360" w:lineRule="auto"/>
              <w:ind w:firstLine="480" w:firstLineChars="200"/>
              <w:rPr>
                <w:bCs/>
                <w:sz w:val="24"/>
                <w:szCs w:val="24"/>
              </w:rPr>
            </w:pPr>
            <w:r>
              <w:rPr>
                <w:rFonts w:hint="eastAsia"/>
                <w:bCs/>
                <w:sz w:val="24"/>
                <w:szCs w:val="24"/>
              </w:rPr>
              <w:t>现有项目废白土堆场废气和废白土炒锅废气经集气罩收集进入活性炭吸附装置处理达标后经</w:t>
            </w:r>
            <w:r>
              <w:rPr>
                <w:bCs/>
                <w:sz w:val="24"/>
                <w:szCs w:val="24"/>
              </w:rPr>
              <w:t>1</w:t>
            </w:r>
            <w:r>
              <w:rPr>
                <w:rFonts w:hint="eastAsia"/>
                <w:bCs/>
                <w:sz w:val="24"/>
                <w:szCs w:val="24"/>
              </w:rPr>
              <w:t>根</w:t>
            </w:r>
            <w:r>
              <w:rPr>
                <w:bCs/>
                <w:sz w:val="24"/>
                <w:szCs w:val="24"/>
              </w:rPr>
              <w:t>15m</w:t>
            </w:r>
            <w:r>
              <w:rPr>
                <w:rFonts w:hint="eastAsia"/>
                <w:bCs/>
                <w:sz w:val="24"/>
                <w:szCs w:val="24"/>
              </w:rPr>
              <w:t>高排气筒（DA002）排放。其中VOCs排放执行《家具制造行业挥发性有机化合物排放标准》（</w:t>
            </w:r>
            <w:r>
              <w:rPr>
                <w:bCs/>
                <w:sz w:val="24"/>
                <w:szCs w:val="24"/>
              </w:rPr>
              <w:t>DB44/814-2010</w:t>
            </w:r>
            <w:r>
              <w:rPr>
                <w:rFonts w:hint="eastAsia"/>
                <w:bCs/>
                <w:sz w:val="24"/>
                <w:szCs w:val="24"/>
              </w:rPr>
              <w:t>）Ⅱ时段标准，H</w:t>
            </w:r>
            <w:r>
              <w:rPr>
                <w:rFonts w:hint="eastAsia"/>
                <w:bCs/>
                <w:sz w:val="24"/>
                <w:szCs w:val="24"/>
                <w:vertAlign w:val="subscript"/>
              </w:rPr>
              <w:t>2</w:t>
            </w:r>
            <w:r>
              <w:rPr>
                <w:rFonts w:hint="eastAsia"/>
                <w:bCs/>
                <w:sz w:val="24"/>
                <w:szCs w:val="24"/>
              </w:rPr>
              <w:t>S、NH</w:t>
            </w:r>
            <w:r>
              <w:rPr>
                <w:rFonts w:hint="eastAsia"/>
                <w:bCs/>
                <w:sz w:val="24"/>
                <w:szCs w:val="24"/>
                <w:vertAlign w:val="subscript"/>
              </w:rPr>
              <w:t>3</w:t>
            </w:r>
            <w:r>
              <w:rPr>
                <w:rFonts w:hint="eastAsia"/>
                <w:bCs/>
                <w:sz w:val="24"/>
                <w:szCs w:val="24"/>
              </w:rPr>
              <w:t>执行《恶臭污染物排放标准》（</w:t>
            </w:r>
            <w:r>
              <w:rPr>
                <w:bCs/>
                <w:sz w:val="24"/>
                <w:szCs w:val="24"/>
              </w:rPr>
              <w:t>GB 14554-93</w:t>
            </w:r>
            <w:r>
              <w:rPr>
                <w:rFonts w:hint="eastAsia"/>
                <w:bCs/>
                <w:sz w:val="24"/>
                <w:szCs w:val="24"/>
              </w:rPr>
              <w:t>）二级标准。</w:t>
            </w:r>
          </w:p>
          <w:p w14:paraId="2149C77A">
            <w:pPr>
              <w:spacing w:line="360" w:lineRule="auto"/>
              <w:ind w:firstLine="480" w:firstLineChars="200"/>
              <w:rPr>
                <w:bCs/>
                <w:sz w:val="24"/>
              </w:rPr>
            </w:pPr>
            <w:r>
              <w:rPr>
                <w:rFonts w:hint="eastAsia"/>
                <w:bCs/>
                <w:sz w:val="24"/>
              </w:rPr>
              <w:t>根据建设单位委托广东骥祥检测技术有限公司于2025年4月和2025年5月的采样监测数据，见表2-11、表2-12（监测报告见附件</w:t>
            </w:r>
            <w:r>
              <w:rPr>
                <w:rFonts w:hint="eastAsia"/>
                <w:bCs/>
                <w:sz w:val="24"/>
                <w:lang w:val="en-US" w:eastAsia="zh-CN"/>
              </w:rPr>
              <w:t>10</w:t>
            </w:r>
            <w:r>
              <w:rPr>
                <w:rFonts w:hint="eastAsia"/>
                <w:bCs/>
                <w:sz w:val="24"/>
              </w:rPr>
              <w:t>），现有项目锅炉废气和生产废气均能达标排放。</w:t>
            </w:r>
          </w:p>
          <w:p w14:paraId="2EEED728">
            <w:pPr>
              <w:pStyle w:val="14"/>
              <w:spacing w:before="0" w:beforeLines="0" w:after="0" w:afterLines="0" w:line="360" w:lineRule="auto"/>
              <w:rPr>
                <w:rFonts w:eastAsia="宋体"/>
                <w:b/>
                <w:sz w:val="21"/>
              </w:rPr>
            </w:pPr>
            <w:r>
              <w:rPr>
                <w:rFonts w:hint="eastAsia" w:eastAsia="宋体"/>
                <w:b/>
                <w:sz w:val="21"/>
              </w:rPr>
              <w:t>表2-11 现有项目废气污染物有组织排放监测数据（2025年4月）</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057"/>
              <w:gridCol w:w="1272"/>
              <w:gridCol w:w="951"/>
              <w:gridCol w:w="1174"/>
              <w:gridCol w:w="1174"/>
              <w:gridCol w:w="1174"/>
              <w:gridCol w:w="985"/>
              <w:gridCol w:w="1172"/>
            </w:tblGrid>
            <w:tr w14:paraId="552BC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restart"/>
                  <w:noWrap/>
                  <w:vAlign w:val="center"/>
                </w:tcPr>
                <w:p w14:paraId="168DE5C2">
                  <w:pPr>
                    <w:widowControl/>
                    <w:jc w:val="center"/>
                    <w:rPr>
                      <w:rFonts w:cs="宋体"/>
                      <w:kern w:val="0"/>
                      <w:szCs w:val="20"/>
                    </w:rPr>
                  </w:pPr>
                  <w:r>
                    <w:rPr>
                      <w:rFonts w:cs="Calibri"/>
                      <w:kern w:val="0"/>
                      <w:szCs w:val="22"/>
                    </w:rPr>
                    <w:t>采样点位</w:t>
                  </w:r>
                </w:p>
              </w:tc>
              <w:tc>
                <w:tcPr>
                  <w:tcW w:w="710" w:type="pct"/>
                  <w:vMerge w:val="restart"/>
                  <w:noWrap/>
                  <w:vAlign w:val="center"/>
                </w:tcPr>
                <w:p w14:paraId="5CB3F24E">
                  <w:pPr>
                    <w:widowControl/>
                    <w:jc w:val="center"/>
                    <w:rPr>
                      <w:rFonts w:cs="宋体"/>
                      <w:kern w:val="0"/>
                      <w:szCs w:val="20"/>
                    </w:rPr>
                  </w:pPr>
                  <w:r>
                    <w:rPr>
                      <w:rFonts w:cs="Calibri"/>
                      <w:kern w:val="0"/>
                      <w:szCs w:val="22"/>
                    </w:rPr>
                    <w:t>检测项目</w:t>
                  </w:r>
                </w:p>
              </w:tc>
              <w:tc>
                <w:tcPr>
                  <w:tcW w:w="531" w:type="pct"/>
                  <w:vMerge w:val="restart"/>
                  <w:noWrap/>
                  <w:vAlign w:val="center"/>
                </w:tcPr>
                <w:p w14:paraId="264E92F3">
                  <w:pPr>
                    <w:widowControl/>
                    <w:jc w:val="center"/>
                    <w:rPr>
                      <w:rFonts w:cs="Calibri"/>
                      <w:kern w:val="0"/>
                      <w:szCs w:val="22"/>
                    </w:rPr>
                  </w:pPr>
                  <w:r>
                    <w:rPr>
                      <w:rFonts w:cs="Calibri"/>
                      <w:kern w:val="0"/>
                      <w:szCs w:val="22"/>
                    </w:rPr>
                    <w:t>标干流量</w:t>
                  </w:r>
                </w:p>
                <w:p w14:paraId="7E638854">
                  <w:pPr>
                    <w:widowControl/>
                    <w:jc w:val="center"/>
                    <w:rPr>
                      <w:rFonts w:cs="宋体"/>
                      <w:kern w:val="0"/>
                      <w:szCs w:val="20"/>
                    </w:rPr>
                  </w:pPr>
                  <w:r>
                    <w:rPr>
                      <w:rFonts w:cs="Calibri"/>
                      <w:kern w:val="0"/>
                      <w:szCs w:val="22"/>
                    </w:rPr>
                    <w:t>(m</w:t>
                  </w:r>
                  <w:r>
                    <w:rPr>
                      <w:rFonts w:cs="Calibri"/>
                      <w:kern w:val="0"/>
                      <w:szCs w:val="22"/>
                      <w:vertAlign w:val="superscript"/>
                    </w:rPr>
                    <w:t>3</w:t>
                  </w:r>
                  <w:r>
                    <w:rPr>
                      <w:rFonts w:cs="Calibri"/>
                      <w:kern w:val="0"/>
                      <w:szCs w:val="22"/>
                    </w:rPr>
                    <w:t>/h)</w:t>
                  </w:r>
                </w:p>
              </w:tc>
              <w:tc>
                <w:tcPr>
                  <w:tcW w:w="1965" w:type="pct"/>
                  <w:gridSpan w:val="3"/>
                  <w:noWrap/>
                  <w:vAlign w:val="center"/>
                </w:tcPr>
                <w:p w14:paraId="4B71F13B">
                  <w:pPr>
                    <w:widowControl/>
                    <w:jc w:val="center"/>
                    <w:rPr>
                      <w:rFonts w:cs="宋体"/>
                      <w:kern w:val="0"/>
                      <w:szCs w:val="20"/>
                    </w:rPr>
                  </w:pPr>
                  <w:r>
                    <w:rPr>
                      <w:rFonts w:cs="Calibri"/>
                      <w:kern w:val="0"/>
                      <w:szCs w:val="22"/>
                    </w:rPr>
                    <w:t>检测结果</w:t>
                  </w:r>
                </w:p>
              </w:tc>
              <w:tc>
                <w:tcPr>
                  <w:tcW w:w="1204" w:type="pct"/>
                  <w:gridSpan w:val="2"/>
                  <w:vAlign w:val="center"/>
                </w:tcPr>
                <w:p w14:paraId="6D4041DE">
                  <w:pPr>
                    <w:widowControl/>
                    <w:jc w:val="center"/>
                    <w:rPr>
                      <w:rFonts w:cs="宋体"/>
                      <w:kern w:val="0"/>
                      <w:szCs w:val="20"/>
                    </w:rPr>
                  </w:pPr>
                  <w:r>
                    <w:rPr>
                      <w:rFonts w:cs="Calibri"/>
                      <w:kern w:val="0"/>
                      <w:szCs w:val="22"/>
                    </w:rPr>
                    <w:t>标准限值</w:t>
                  </w:r>
                </w:p>
              </w:tc>
            </w:tr>
            <w:tr w14:paraId="3503C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continue"/>
                  <w:vAlign w:val="center"/>
                </w:tcPr>
                <w:p w14:paraId="0CACFABD">
                  <w:pPr>
                    <w:widowControl/>
                    <w:jc w:val="center"/>
                    <w:rPr>
                      <w:rFonts w:cs="宋体"/>
                      <w:kern w:val="0"/>
                      <w:szCs w:val="20"/>
                    </w:rPr>
                  </w:pPr>
                </w:p>
              </w:tc>
              <w:tc>
                <w:tcPr>
                  <w:tcW w:w="710" w:type="pct"/>
                  <w:vMerge w:val="continue"/>
                  <w:vAlign w:val="center"/>
                </w:tcPr>
                <w:p w14:paraId="631BEC71">
                  <w:pPr>
                    <w:widowControl/>
                    <w:jc w:val="center"/>
                    <w:rPr>
                      <w:rFonts w:cs="宋体"/>
                      <w:kern w:val="0"/>
                      <w:szCs w:val="20"/>
                    </w:rPr>
                  </w:pPr>
                </w:p>
              </w:tc>
              <w:tc>
                <w:tcPr>
                  <w:tcW w:w="531" w:type="pct"/>
                  <w:vMerge w:val="continue"/>
                  <w:vAlign w:val="center"/>
                </w:tcPr>
                <w:p w14:paraId="414A8557">
                  <w:pPr>
                    <w:widowControl/>
                    <w:jc w:val="center"/>
                    <w:rPr>
                      <w:rFonts w:cs="宋体"/>
                      <w:kern w:val="0"/>
                      <w:szCs w:val="20"/>
                    </w:rPr>
                  </w:pPr>
                </w:p>
              </w:tc>
              <w:tc>
                <w:tcPr>
                  <w:tcW w:w="655" w:type="pct"/>
                  <w:noWrap/>
                  <w:vAlign w:val="center"/>
                </w:tcPr>
                <w:p w14:paraId="796282B5">
                  <w:pPr>
                    <w:widowControl/>
                    <w:jc w:val="center"/>
                    <w:rPr>
                      <w:rFonts w:cs="Calibri"/>
                      <w:kern w:val="0"/>
                      <w:szCs w:val="22"/>
                    </w:rPr>
                  </w:pPr>
                  <w:r>
                    <w:rPr>
                      <w:rFonts w:cs="Calibri"/>
                      <w:kern w:val="0"/>
                      <w:szCs w:val="22"/>
                    </w:rPr>
                    <w:t>实测浓度</w:t>
                  </w:r>
                </w:p>
                <w:p w14:paraId="62EA2FB9">
                  <w:pPr>
                    <w:widowControl/>
                    <w:jc w:val="center"/>
                    <w:rPr>
                      <w:rFonts w:cs="宋体"/>
                      <w:kern w:val="0"/>
                      <w:szCs w:val="20"/>
                    </w:rPr>
                  </w:pPr>
                  <w:r>
                    <w:rPr>
                      <w:rFonts w:cs="Calibri"/>
                      <w:kern w:val="0"/>
                      <w:szCs w:val="22"/>
                    </w:rPr>
                    <w:t>(mg/m</w:t>
                  </w:r>
                  <w:r>
                    <w:rPr>
                      <w:rFonts w:cs="Calibri"/>
                      <w:kern w:val="0"/>
                      <w:szCs w:val="22"/>
                      <w:vertAlign w:val="superscript"/>
                    </w:rPr>
                    <w:t>3</w:t>
                  </w:r>
                  <w:r>
                    <w:rPr>
                      <w:rFonts w:cs="Calibri"/>
                      <w:kern w:val="0"/>
                      <w:szCs w:val="22"/>
                    </w:rPr>
                    <w:t>)</w:t>
                  </w:r>
                </w:p>
              </w:tc>
              <w:tc>
                <w:tcPr>
                  <w:tcW w:w="655" w:type="pct"/>
                  <w:noWrap/>
                  <w:vAlign w:val="center"/>
                </w:tcPr>
                <w:p w14:paraId="408374A9">
                  <w:pPr>
                    <w:widowControl/>
                    <w:jc w:val="center"/>
                    <w:rPr>
                      <w:rFonts w:cs="Calibri"/>
                      <w:kern w:val="0"/>
                      <w:szCs w:val="22"/>
                    </w:rPr>
                  </w:pPr>
                  <w:r>
                    <w:rPr>
                      <w:rFonts w:cs="Calibri"/>
                      <w:kern w:val="0"/>
                      <w:szCs w:val="22"/>
                    </w:rPr>
                    <w:t>折算浓度</w:t>
                  </w:r>
                </w:p>
                <w:p w14:paraId="4D35B33C">
                  <w:pPr>
                    <w:widowControl/>
                    <w:jc w:val="center"/>
                    <w:rPr>
                      <w:rFonts w:cs="宋体"/>
                      <w:kern w:val="0"/>
                      <w:szCs w:val="20"/>
                    </w:rPr>
                  </w:pPr>
                  <w:r>
                    <w:rPr>
                      <w:rFonts w:cs="Calibri"/>
                      <w:kern w:val="0"/>
                      <w:szCs w:val="22"/>
                    </w:rPr>
                    <w:t>(mg/ m</w:t>
                  </w:r>
                  <w:r>
                    <w:rPr>
                      <w:rFonts w:cs="Calibri"/>
                      <w:kern w:val="0"/>
                      <w:szCs w:val="22"/>
                      <w:vertAlign w:val="superscript"/>
                    </w:rPr>
                    <w:t>3</w:t>
                  </w:r>
                  <w:r>
                    <w:rPr>
                      <w:rFonts w:cs="Calibri"/>
                      <w:kern w:val="0"/>
                      <w:szCs w:val="22"/>
                    </w:rPr>
                    <w:t>)</w:t>
                  </w:r>
                </w:p>
              </w:tc>
              <w:tc>
                <w:tcPr>
                  <w:tcW w:w="655" w:type="pct"/>
                  <w:noWrap/>
                  <w:vAlign w:val="center"/>
                </w:tcPr>
                <w:p w14:paraId="59B84D56">
                  <w:pPr>
                    <w:widowControl/>
                    <w:jc w:val="center"/>
                    <w:rPr>
                      <w:rFonts w:cs="Calibri"/>
                      <w:kern w:val="0"/>
                      <w:szCs w:val="22"/>
                    </w:rPr>
                  </w:pPr>
                  <w:r>
                    <w:rPr>
                      <w:rFonts w:cs="Calibri"/>
                      <w:kern w:val="0"/>
                      <w:szCs w:val="22"/>
                    </w:rPr>
                    <w:t>排放速率</w:t>
                  </w:r>
                </w:p>
                <w:p w14:paraId="2029D546">
                  <w:pPr>
                    <w:widowControl/>
                    <w:jc w:val="center"/>
                    <w:rPr>
                      <w:rFonts w:cs="宋体"/>
                      <w:kern w:val="0"/>
                      <w:szCs w:val="20"/>
                    </w:rPr>
                  </w:pPr>
                  <w:r>
                    <w:rPr>
                      <w:rFonts w:cs="Calibri"/>
                      <w:kern w:val="0"/>
                      <w:szCs w:val="22"/>
                    </w:rPr>
                    <w:t>(kg/h)</w:t>
                  </w:r>
                </w:p>
              </w:tc>
              <w:tc>
                <w:tcPr>
                  <w:tcW w:w="550" w:type="pct"/>
                  <w:vAlign w:val="center"/>
                </w:tcPr>
                <w:p w14:paraId="3D861876">
                  <w:pPr>
                    <w:widowControl/>
                    <w:jc w:val="center"/>
                    <w:rPr>
                      <w:rFonts w:cs="Calibri"/>
                      <w:kern w:val="0"/>
                      <w:szCs w:val="22"/>
                    </w:rPr>
                  </w:pPr>
                  <w:r>
                    <w:rPr>
                      <w:rFonts w:cs="Calibri"/>
                      <w:kern w:val="0"/>
                      <w:szCs w:val="22"/>
                    </w:rPr>
                    <w:t>浓度</w:t>
                  </w:r>
                </w:p>
                <w:p w14:paraId="7FE7950D">
                  <w:pPr>
                    <w:widowControl/>
                    <w:jc w:val="center"/>
                    <w:rPr>
                      <w:rFonts w:cs="宋体"/>
                      <w:kern w:val="0"/>
                      <w:szCs w:val="20"/>
                    </w:rPr>
                  </w:pPr>
                  <w:r>
                    <w:rPr>
                      <w:rFonts w:cs="Calibri"/>
                      <w:kern w:val="0"/>
                      <w:szCs w:val="22"/>
                    </w:rPr>
                    <w:t>(mg/m</w:t>
                  </w:r>
                  <w:r>
                    <w:rPr>
                      <w:rFonts w:cs="Calibri"/>
                      <w:kern w:val="0"/>
                      <w:szCs w:val="22"/>
                      <w:vertAlign w:val="superscript"/>
                    </w:rPr>
                    <w:t>3</w:t>
                  </w:r>
                  <w:r>
                    <w:rPr>
                      <w:rFonts w:cs="Calibri"/>
                      <w:kern w:val="0"/>
                      <w:szCs w:val="22"/>
                    </w:rPr>
                    <w:t>)</w:t>
                  </w:r>
                </w:p>
              </w:tc>
              <w:tc>
                <w:tcPr>
                  <w:tcW w:w="654" w:type="pct"/>
                  <w:noWrap/>
                  <w:vAlign w:val="center"/>
                </w:tcPr>
                <w:p w14:paraId="47F53A95">
                  <w:pPr>
                    <w:widowControl/>
                    <w:jc w:val="center"/>
                    <w:rPr>
                      <w:rFonts w:cs="Calibri"/>
                      <w:kern w:val="0"/>
                      <w:szCs w:val="22"/>
                    </w:rPr>
                  </w:pPr>
                  <w:r>
                    <w:rPr>
                      <w:rFonts w:cs="Calibri"/>
                      <w:kern w:val="0"/>
                      <w:szCs w:val="22"/>
                    </w:rPr>
                    <w:t>排放速率</w:t>
                  </w:r>
                </w:p>
                <w:p w14:paraId="724DFD85">
                  <w:pPr>
                    <w:widowControl/>
                    <w:jc w:val="center"/>
                    <w:rPr>
                      <w:rFonts w:cs="宋体"/>
                      <w:kern w:val="0"/>
                      <w:szCs w:val="20"/>
                    </w:rPr>
                  </w:pPr>
                  <w:r>
                    <w:rPr>
                      <w:rFonts w:cs="Calibri"/>
                      <w:kern w:val="0"/>
                      <w:szCs w:val="22"/>
                    </w:rPr>
                    <w:t>(kg/h)</w:t>
                  </w:r>
                </w:p>
              </w:tc>
            </w:tr>
            <w:tr w14:paraId="60D8D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restart"/>
                  <w:noWrap/>
                  <w:vAlign w:val="center"/>
                </w:tcPr>
                <w:p w14:paraId="4F920ED4">
                  <w:pPr>
                    <w:widowControl/>
                    <w:jc w:val="center"/>
                    <w:rPr>
                      <w:rFonts w:cs="Calibri"/>
                      <w:kern w:val="0"/>
                      <w:szCs w:val="22"/>
                    </w:rPr>
                  </w:pPr>
                  <w:r>
                    <w:rPr>
                      <w:rFonts w:cs="Calibri"/>
                      <w:kern w:val="0"/>
                      <w:szCs w:val="22"/>
                    </w:rPr>
                    <w:t>锅炉废气</w:t>
                  </w:r>
                </w:p>
                <w:p w14:paraId="24E1C27B">
                  <w:pPr>
                    <w:widowControl/>
                    <w:jc w:val="center"/>
                    <w:rPr>
                      <w:rFonts w:cs="Calibri"/>
                      <w:kern w:val="0"/>
                      <w:szCs w:val="22"/>
                    </w:rPr>
                  </w:pPr>
                  <w:r>
                    <w:rPr>
                      <w:rFonts w:cs="Calibri"/>
                      <w:kern w:val="0"/>
                      <w:szCs w:val="22"/>
                    </w:rPr>
                    <w:t>排放口</w:t>
                  </w:r>
                </w:p>
                <w:p w14:paraId="6C6D7DB8">
                  <w:pPr>
                    <w:widowControl/>
                    <w:jc w:val="center"/>
                    <w:rPr>
                      <w:rFonts w:cs="宋体"/>
                      <w:kern w:val="0"/>
                      <w:szCs w:val="20"/>
                    </w:rPr>
                  </w:pPr>
                  <w:r>
                    <w:rPr>
                      <w:rFonts w:cs="Calibri"/>
                      <w:kern w:val="0"/>
                      <w:szCs w:val="22"/>
                    </w:rPr>
                    <w:t>DA001</w:t>
                  </w:r>
                </w:p>
              </w:tc>
              <w:tc>
                <w:tcPr>
                  <w:tcW w:w="710" w:type="pct"/>
                  <w:noWrap/>
                  <w:vAlign w:val="center"/>
                </w:tcPr>
                <w:p w14:paraId="3F7CFA79">
                  <w:pPr>
                    <w:widowControl/>
                    <w:jc w:val="center"/>
                    <w:rPr>
                      <w:rFonts w:cs="宋体"/>
                      <w:kern w:val="0"/>
                      <w:szCs w:val="20"/>
                    </w:rPr>
                  </w:pPr>
                  <w:r>
                    <w:rPr>
                      <w:rFonts w:cs="Calibri"/>
                      <w:kern w:val="0"/>
                      <w:szCs w:val="22"/>
                    </w:rPr>
                    <w:t>颗粒物</w:t>
                  </w:r>
                </w:p>
              </w:tc>
              <w:tc>
                <w:tcPr>
                  <w:tcW w:w="531" w:type="pct"/>
                  <w:vMerge w:val="restart"/>
                  <w:noWrap/>
                  <w:vAlign w:val="center"/>
                </w:tcPr>
                <w:p w14:paraId="38A1CCE6">
                  <w:pPr>
                    <w:widowControl/>
                    <w:jc w:val="center"/>
                    <w:rPr>
                      <w:rFonts w:cs="宋体"/>
                      <w:kern w:val="0"/>
                      <w:szCs w:val="20"/>
                    </w:rPr>
                  </w:pPr>
                  <w:r>
                    <w:rPr>
                      <w:rFonts w:cs="Calibri"/>
                      <w:kern w:val="0"/>
                      <w:szCs w:val="22"/>
                    </w:rPr>
                    <w:t>5692</w:t>
                  </w:r>
                </w:p>
              </w:tc>
              <w:tc>
                <w:tcPr>
                  <w:tcW w:w="655" w:type="pct"/>
                  <w:noWrap/>
                  <w:vAlign w:val="center"/>
                </w:tcPr>
                <w:p w14:paraId="323E5E56">
                  <w:pPr>
                    <w:widowControl/>
                    <w:jc w:val="center"/>
                    <w:rPr>
                      <w:rFonts w:cs="宋体"/>
                      <w:kern w:val="0"/>
                      <w:szCs w:val="20"/>
                    </w:rPr>
                  </w:pPr>
                  <w:r>
                    <w:rPr>
                      <w:rFonts w:cs="Calibri"/>
                      <w:kern w:val="0"/>
                      <w:szCs w:val="22"/>
                    </w:rPr>
                    <w:t>&lt;20</w:t>
                  </w:r>
                </w:p>
              </w:tc>
              <w:tc>
                <w:tcPr>
                  <w:tcW w:w="655" w:type="pct"/>
                  <w:noWrap/>
                  <w:vAlign w:val="center"/>
                </w:tcPr>
                <w:p w14:paraId="1DB5C75C">
                  <w:pPr>
                    <w:widowControl/>
                    <w:jc w:val="center"/>
                    <w:rPr>
                      <w:rFonts w:cs="宋体"/>
                      <w:kern w:val="0"/>
                      <w:szCs w:val="20"/>
                    </w:rPr>
                  </w:pPr>
                  <w:r>
                    <w:rPr>
                      <w:rFonts w:hint="eastAsia" w:cs="宋体"/>
                      <w:kern w:val="0"/>
                      <w:szCs w:val="20"/>
                    </w:rPr>
                    <w:t>/</w:t>
                  </w:r>
                </w:p>
              </w:tc>
              <w:tc>
                <w:tcPr>
                  <w:tcW w:w="655" w:type="pct"/>
                  <w:noWrap/>
                  <w:vAlign w:val="center"/>
                </w:tcPr>
                <w:p w14:paraId="61ADDE26">
                  <w:pPr>
                    <w:widowControl/>
                    <w:jc w:val="center"/>
                    <w:rPr>
                      <w:kern w:val="0"/>
                      <w:szCs w:val="20"/>
                    </w:rPr>
                  </w:pPr>
                  <w:r>
                    <w:rPr>
                      <w:rFonts w:hint="eastAsia"/>
                      <w:kern w:val="0"/>
                      <w:szCs w:val="20"/>
                    </w:rPr>
                    <w:t>/</w:t>
                  </w:r>
                </w:p>
              </w:tc>
              <w:tc>
                <w:tcPr>
                  <w:tcW w:w="550" w:type="pct"/>
                  <w:vAlign w:val="center"/>
                </w:tcPr>
                <w:p w14:paraId="66304DD1">
                  <w:pPr>
                    <w:widowControl/>
                    <w:jc w:val="center"/>
                    <w:rPr>
                      <w:rFonts w:cs="宋体"/>
                      <w:kern w:val="0"/>
                      <w:szCs w:val="20"/>
                    </w:rPr>
                  </w:pPr>
                  <w:r>
                    <w:rPr>
                      <w:rFonts w:cs="Calibri"/>
                      <w:kern w:val="0"/>
                      <w:szCs w:val="22"/>
                    </w:rPr>
                    <w:t>20</w:t>
                  </w:r>
                </w:p>
              </w:tc>
              <w:tc>
                <w:tcPr>
                  <w:tcW w:w="654" w:type="pct"/>
                  <w:noWrap/>
                  <w:vAlign w:val="center"/>
                </w:tcPr>
                <w:p w14:paraId="662627FC">
                  <w:pPr>
                    <w:widowControl/>
                    <w:jc w:val="center"/>
                    <w:rPr>
                      <w:rFonts w:cs="宋体"/>
                      <w:kern w:val="0"/>
                      <w:szCs w:val="20"/>
                    </w:rPr>
                  </w:pPr>
                  <w:r>
                    <w:rPr>
                      <w:rFonts w:hint="eastAsia" w:cs="宋体"/>
                      <w:kern w:val="0"/>
                      <w:szCs w:val="20"/>
                    </w:rPr>
                    <w:t>/</w:t>
                  </w:r>
                </w:p>
              </w:tc>
            </w:tr>
            <w:tr w14:paraId="7843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continue"/>
                  <w:vAlign w:val="center"/>
                </w:tcPr>
                <w:p w14:paraId="7AFBE80F">
                  <w:pPr>
                    <w:widowControl/>
                    <w:jc w:val="center"/>
                    <w:rPr>
                      <w:rFonts w:cs="宋体"/>
                      <w:kern w:val="0"/>
                      <w:szCs w:val="20"/>
                    </w:rPr>
                  </w:pPr>
                </w:p>
              </w:tc>
              <w:tc>
                <w:tcPr>
                  <w:tcW w:w="710" w:type="pct"/>
                  <w:noWrap/>
                  <w:vAlign w:val="center"/>
                </w:tcPr>
                <w:p w14:paraId="2D028C26">
                  <w:pPr>
                    <w:widowControl/>
                    <w:jc w:val="center"/>
                    <w:rPr>
                      <w:rFonts w:cs="宋体"/>
                      <w:kern w:val="0"/>
                      <w:szCs w:val="20"/>
                    </w:rPr>
                  </w:pPr>
                  <w:r>
                    <w:rPr>
                      <w:rFonts w:cs="Calibri"/>
                      <w:kern w:val="0"/>
                      <w:szCs w:val="22"/>
                    </w:rPr>
                    <w:t>氮氧化物</w:t>
                  </w:r>
                </w:p>
              </w:tc>
              <w:tc>
                <w:tcPr>
                  <w:tcW w:w="531" w:type="pct"/>
                  <w:vMerge w:val="continue"/>
                  <w:vAlign w:val="center"/>
                </w:tcPr>
                <w:p w14:paraId="55C75BA7">
                  <w:pPr>
                    <w:widowControl/>
                    <w:jc w:val="center"/>
                    <w:rPr>
                      <w:rFonts w:cs="宋体"/>
                      <w:kern w:val="0"/>
                      <w:szCs w:val="20"/>
                    </w:rPr>
                  </w:pPr>
                </w:p>
              </w:tc>
              <w:tc>
                <w:tcPr>
                  <w:tcW w:w="655" w:type="pct"/>
                  <w:noWrap/>
                  <w:vAlign w:val="center"/>
                </w:tcPr>
                <w:p w14:paraId="5C140B4E">
                  <w:pPr>
                    <w:widowControl/>
                    <w:jc w:val="center"/>
                    <w:rPr>
                      <w:rFonts w:cs="宋体"/>
                      <w:kern w:val="0"/>
                      <w:szCs w:val="20"/>
                    </w:rPr>
                  </w:pPr>
                  <w:r>
                    <w:rPr>
                      <w:rFonts w:cs="Calibri"/>
                      <w:kern w:val="0"/>
                      <w:szCs w:val="22"/>
                    </w:rPr>
                    <w:t>52</w:t>
                  </w:r>
                </w:p>
              </w:tc>
              <w:tc>
                <w:tcPr>
                  <w:tcW w:w="655" w:type="pct"/>
                  <w:noWrap/>
                  <w:vAlign w:val="center"/>
                </w:tcPr>
                <w:p w14:paraId="08028FEC">
                  <w:pPr>
                    <w:widowControl/>
                    <w:jc w:val="center"/>
                    <w:rPr>
                      <w:rFonts w:cs="宋体"/>
                      <w:kern w:val="0"/>
                      <w:szCs w:val="20"/>
                    </w:rPr>
                  </w:pPr>
                  <w:r>
                    <w:rPr>
                      <w:rFonts w:cs="Calibri"/>
                      <w:kern w:val="0"/>
                      <w:szCs w:val="22"/>
                    </w:rPr>
                    <w:t>90</w:t>
                  </w:r>
                </w:p>
              </w:tc>
              <w:tc>
                <w:tcPr>
                  <w:tcW w:w="655" w:type="pct"/>
                  <w:noWrap/>
                  <w:vAlign w:val="center"/>
                </w:tcPr>
                <w:p w14:paraId="65580961">
                  <w:pPr>
                    <w:widowControl/>
                    <w:jc w:val="center"/>
                    <w:rPr>
                      <w:rFonts w:cs="宋体"/>
                      <w:kern w:val="0"/>
                      <w:szCs w:val="20"/>
                    </w:rPr>
                  </w:pPr>
                  <w:r>
                    <w:rPr>
                      <w:rFonts w:cs="Calibri"/>
                      <w:kern w:val="0"/>
                      <w:szCs w:val="22"/>
                    </w:rPr>
                    <w:t>0.30</w:t>
                  </w:r>
                </w:p>
              </w:tc>
              <w:tc>
                <w:tcPr>
                  <w:tcW w:w="550" w:type="pct"/>
                  <w:vAlign w:val="center"/>
                </w:tcPr>
                <w:p w14:paraId="7D6CB45D">
                  <w:pPr>
                    <w:widowControl/>
                    <w:jc w:val="center"/>
                    <w:rPr>
                      <w:rFonts w:cs="宋体"/>
                      <w:kern w:val="0"/>
                      <w:szCs w:val="20"/>
                    </w:rPr>
                  </w:pPr>
                  <w:r>
                    <w:rPr>
                      <w:rFonts w:cs="Calibri"/>
                      <w:kern w:val="0"/>
                      <w:szCs w:val="22"/>
                    </w:rPr>
                    <w:t>150</w:t>
                  </w:r>
                </w:p>
              </w:tc>
              <w:tc>
                <w:tcPr>
                  <w:tcW w:w="654" w:type="pct"/>
                  <w:noWrap/>
                  <w:vAlign w:val="center"/>
                </w:tcPr>
                <w:p w14:paraId="4E5043BA">
                  <w:pPr>
                    <w:widowControl/>
                    <w:jc w:val="center"/>
                    <w:rPr>
                      <w:rFonts w:cs="宋体"/>
                      <w:kern w:val="0"/>
                      <w:szCs w:val="20"/>
                    </w:rPr>
                  </w:pPr>
                  <w:r>
                    <w:rPr>
                      <w:rFonts w:hint="eastAsia" w:cs="宋体"/>
                      <w:kern w:val="0"/>
                      <w:szCs w:val="20"/>
                    </w:rPr>
                    <w:t>/</w:t>
                  </w:r>
                </w:p>
              </w:tc>
            </w:tr>
            <w:tr w14:paraId="11194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continue"/>
                  <w:vAlign w:val="center"/>
                </w:tcPr>
                <w:p w14:paraId="420144FC">
                  <w:pPr>
                    <w:widowControl/>
                    <w:jc w:val="center"/>
                    <w:rPr>
                      <w:rFonts w:cs="宋体"/>
                      <w:kern w:val="0"/>
                      <w:szCs w:val="20"/>
                    </w:rPr>
                  </w:pPr>
                </w:p>
              </w:tc>
              <w:tc>
                <w:tcPr>
                  <w:tcW w:w="710" w:type="pct"/>
                  <w:noWrap/>
                  <w:vAlign w:val="center"/>
                </w:tcPr>
                <w:p w14:paraId="45C05F79">
                  <w:pPr>
                    <w:widowControl/>
                    <w:jc w:val="center"/>
                    <w:rPr>
                      <w:rFonts w:cs="宋体"/>
                      <w:kern w:val="0"/>
                      <w:szCs w:val="20"/>
                    </w:rPr>
                  </w:pPr>
                  <w:r>
                    <w:rPr>
                      <w:rFonts w:cs="Calibri"/>
                      <w:kern w:val="0"/>
                      <w:szCs w:val="22"/>
                    </w:rPr>
                    <w:t>二氧化硫</w:t>
                  </w:r>
                </w:p>
              </w:tc>
              <w:tc>
                <w:tcPr>
                  <w:tcW w:w="531" w:type="pct"/>
                  <w:vMerge w:val="continue"/>
                  <w:vAlign w:val="center"/>
                </w:tcPr>
                <w:p w14:paraId="001B7C54">
                  <w:pPr>
                    <w:widowControl/>
                    <w:jc w:val="center"/>
                    <w:rPr>
                      <w:rFonts w:cs="宋体"/>
                      <w:kern w:val="0"/>
                      <w:szCs w:val="20"/>
                    </w:rPr>
                  </w:pPr>
                </w:p>
              </w:tc>
              <w:tc>
                <w:tcPr>
                  <w:tcW w:w="655" w:type="pct"/>
                  <w:noWrap/>
                  <w:vAlign w:val="center"/>
                </w:tcPr>
                <w:p w14:paraId="397D4E0D">
                  <w:pPr>
                    <w:widowControl/>
                    <w:jc w:val="center"/>
                    <w:rPr>
                      <w:rFonts w:cs="宋体"/>
                      <w:kern w:val="0"/>
                      <w:szCs w:val="20"/>
                    </w:rPr>
                  </w:pPr>
                  <w:r>
                    <w:rPr>
                      <w:rFonts w:cs="Calibri"/>
                      <w:kern w:val="0"/>
                      <w:szCs w:val="22"/>
                    </w:rPr>
                    <w:t>ND</w:t>
                  </w:r>
                </w:p>
              </w:tc>
              <w:tc>
                <w:tcPr>
                  <w:tcW w:w="655" w:type="pct"/>
                  <w:noWrap/>
                  <w:vAlign w:val="center"/>
                </w:tcPr>
                <w:p w14:paraId="172810A8">
                  <w:pPr>
                    <w:widowControl/>
                    <w:jc w:val="center"/>
                    <w:rPr>
                      <w:rFonts w:cs="宋体"/>
                      <w:kern w:val="0"/>
                      <w:szCs w:val="20"/>
                    </w:rPr>
                  </w:pPr>
                  <w:r>
                    <w:rPr>
                      <w:rFonts w:hint="eastAsia" w:cs="宋体"/>
                      <w:kern w:val="0"/>
                      <w:szCs w:val="20"/>
                    </w:rPr>
                    <w:t>/</w:t>
                  </w:r>
                </w:p>
              </w:tc>
              <w:tc>
                <w:tcPr>
                  <w:tcW w:w="655" w:type="pct"/>
                  <w:noWrap/>
                  <w:vAlign w:val="center"/>
                </w:tcPr>
                <w:p w14:paraId="7713CD47">
                  <w:pPr>
                    <w:widowControl/>
                    <w:jc w:val="center"/>
                    <w:rPr>
                      <w:kern w:val="0"/>
                      <w:szCs w:val="20"/>
                    </w:rPr>
                  </w:pPr>
                  <w:r>
                    <w:rPr>
                      <w:rFonts w:hint="eastAsia"/>
                      <w:kern w:val="0"/>
                      <w:szCs w:val="20"/>
                    </w:rPr>
                    <w:t>/</w:t>
                  </w:r>
                </w:p>
              </w:tc>
              <w:tc>
                <w:tcPr>
                  <w:tcW w:w="550" w:type="pct"/>
                  <w:vAlign w:val="center"/>
                </w:tcPr>
                <w:p w14:paraId="4DB70B3D">
                  <w:pPr>
                    <w:widowControl/>
                    <w:jc w:val="center"/>
                    <w:rPr>
                      <w:rFonts w:cs="宋体"/>
                      <w:kern w:val="0"/>
                      <w:szCs w:val="20"/>
                    </w:rPr>
                  </w:pPr>
                  <w:r>
                    <w:rPr>
                      <w:rFonts w:cs="Calibri"/>
                      <w:kern w:val="0"/>
                      <w:szCs w:val="22"/>
                    </w:rPr>
                    <w:t>35</w:t>
                  </w:r>
                </w:p>
              </w:tc>
              <w:tc>
                <w:tcPr>
                  <w:tcW w:w="654" w:type="pct"/>
                  <w:noWrap/>
                  <w:vAlign w:val="center"/>
                </w:tcPr>
                <w:p w14:paraId="0236F31D">
                  <w:pPr>
                    <w:widowControl/>
                    <w:jc w:val="center"/>
                    <w:rPr>
                      <w:rFonts w:cs="宋体"/>
                      <w:kern w:val="0"/>
                      <w:szCs w:val="20"/>
                    </w:rPr>
                  </w:pPr>
                  <w:r>
                    <w:rPr>
                      <w:rFonts w:hint="eastAsia" w:cs="宋体"/>
                      <w:kern w:val="0"/>
                      <w:szCs w:val="20"/>
                    </w:rPr>
                    <w:t>/</w:t>
                  </w:r>
                </w:p>
              </w:tc>
            </w:tr>
            <w:tr w14:paraId="6AF0F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continue"/>
                  <w:vAlign w:val="center"/>
                </w:tcPr>
                <w:p w14:paraId="127B9850">
                  <w:pPr>
                    <w:widowControl/>
                    <w:jc w:val="center"/>
                    <w:rPr>
                      <w:rFonts w:cs="宋体"/>
                      <w:kern w:val="0"/>
                      <w:szCs w:val="20"/>
                    </w:rPr>
                  </w:pPr>
                </w:p>
              </w:tc>
              <w:tc>
                <w:tcPr>
                  <w:tcW w:w="710" w:type="pct"/>
                  <w:noWrap/>
                  <w:vAlign w:val="center"/>
                </w:tcPr>
                <w:p w14:paraId="2A8EE8D7">
                  <w:pPr>
                    <w:widowControl/>
                    <w:jc w:val="center"/>
                    <w:rPr>
                      <w:rFonts w:cs="宋体"/>
                      <w:kern w:val="0"/>
                      <w:szCs w:val="20"/>
                    </w:rPr>
                  </w:pPr>
                  <w:r>
                    <w:rPr>
                      <w:rFonts w:cs="Calibri"/>
                      <w:kern w:val="0"/>
                      <w:szCs w:val="22"/>
                    </w:rPr>
                    <w:t>一氧化碳</w:t>
                  </w:r>
                </w:p>
              </w:tc>
              <w:tc>
                <w:tcPr>
                  <w:tcW w:w="531" w:type="pct"/>
                  <w:vMerge w:val="continue"/>
                  <w:vAlign w:val="center"/>
                </w:tcPr>
                <w:p w14:paraId="4787474A">
                  <w:pPr>
                    <w:widowControl/>
                    <w:jc w:val="center"/>
                    <w:rPr>
                      <w:rFonts w:cs="宋体"/>
                      <w:kern w:val="0"/>
                      <w:szCs w:val="20"/>
                    </w:rPr>
                  </w:pPr>
                </w:p>
              </w:tc>
              <w:tc>
                <w:tcPr>
                  <w:tcW w:w="655" w:type="pct"/>
                  <w:noWrap/>
                  <w:vAlign w:val="center"/>
                </w:tcPr>
                <w:p w14:paraId="2BC6AACA">
                  <w:pPr>
                    <w:widowControl/>
                    <w:jc w:val="center"/>
                    <w:rPr>
                      <w:rFonts w:cs="宋体"/>
                      <w:kern w:val="0"/>
                      <w:szCs w:val="20"/>
                    </w:rPr>
                  </w:pPr>
                  <w:r>
                    <w:rPr>
                      <w:rFonts w:cs="Calibri"/>
                      <w:kern w:val="0"/>
                      <w:szCs w:val="22"/>
                    </w:rPr>
                    <w:t>73</w:t>
                  </w:r>
                </w:p>
              </w:tc>
              <w:tc>
                <w:tcPr>
                  <w:tcW w:w="655" w:type="pct"/>
                  <w:noWrap/>
                  <w:vAlign w:val="center"/>
                </w:tcPr>
                <w:p w14:paraId="7F92D71A">
                  <w:pPr>
                    <w:widowControl/>
                    <w:jc w:val="center"/>
                    <w:rPr>
                      <w:rFonts w:cs="宋体"/>
                      <w:kern w:val="0"/>
                      <w:szCs w:val="20"/>
                    </w:rPr>
                  </w:pPr>
                  <w:r>
                    <w:rPr>
                      <w:rFonts w:cs="Calibri"/>
                      <w:kern w:val="0"/>
                      <w:szCs w:val="22"/>
                    </w:rPr>
                    <w:t>127</w:t>
                  </w:r>
                </w:p>
              </w:tc>
              <w:tc>
                <w:tcPr>
                  <w:tcW w:w="655" w:type="pct"/>
                  <w:noWrap/>
                  <w:vAlign w:val="center"/>
                </w:tcPr>
                <w:p w14:paraId="3F530AD7">
                  <w:pPr>
                    <w:widowControl/>
                    <w:jc w:val="center"/>
                    <w:rPr>
                      <w:rFonts w:cs="宋体"/>
                      <w:kern w:val="0"/>
                      <w:szCs w:val="20"/>
                    </w:rPr>
                  </w:pPr>
                  <w:r>
                    <w:rPr>
                      <w:rFonts w:cs="Calibri"/>
                      <w:kern w:val="0"/>
                      <w:szCs w:val="22"/>
                    </w:rPr>
                    <w:t>0.42</w:t>
                  </w:r>
                </w:p>
              </w:tc>
              <w:tc>
                <w:tcPr>
                  <w:tcW w:w="550" w:type="pct"/>
                  <w:vAlign w:val="center"/>
                </w:tcPr>
                <w:p w14:paraId="6FD3A076">
                  <w:pPr>
                    <w:widowControl/>
                    <w:jc w:val="center"/>
                    <w:rPr>
                      <w:rFonts w:cs="宋体"/>
                      <w:kern w:val="0"/>
                      <w:szCs w:val="20"/>
                    </w:rPr>
                  </w:pPr>
                  <w:r>
                    <w:rPr>
                      <w:rFonts w:cs="Calibri"/>
                      <w:kern w:val="0"/>
                      <w:szCs w:val="22"/>
                    </w:rPr>
                    <w:t>200</w:t>
                  </w:r>
                </w:p>
              </w:tc>
              <w:tc>
                <w:tcPr>
                  <w:tcW w:w="654" w:type="pct"/>
                  <w:noWrap/>
                  <w:vAlign w:val="center"/>
                </w:tcPr>
                <w:p w14:paraId="24BFBE36">
                  <w:pPr>
                    <w:widowControl/>
                    <w:jc w:val="center"/>
                    <w:rPr>
                      <w:rFonts w:cs="宋体"/>
                      <w:kern w:val="0"/>
                      <w:szCs w:val="20"/>
                    </w:rPr>
                  </w:pPr>
                  <w:r>
                    <w:rPr>
                      <w:rFonts w:hint="eastAsia" w:cs="宋体"/>
                      <w:kern w:val="0"/>
                      <w:szCs w:val="20"/>
                    </w:rPr>
                    <w:t>/</w:t>
                  </w:r>
                </w:p>
              </w:tc>
            </w:tr>
            <w:tr w14:paraId="0436E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continue"/>
                  <w:vAlign w:val="center"/>
                </w:tcPr>
                <w:p w14:paraId="38DF1A59">
                  <w:pPr>
                    <w:widowControl/>
                    <w:jc w:val="center"/>
                    <w:rPr>
                      <w:rFonts w:cs="宋体"/>
                      <w:kern w:val="0"/>
                      <w:szCs w:val="20"/>
                    </w:rPr>
                  </w:pPr>
                </w:p>
              </w:tc>
              <w:tc>
                <w:tcPr>
                  <w:tcW w:w="710" w:type="pct"/>
                  <w:noWrap/>
                  <w:vAlign w:val="center"/>
                </w:tcPr>
                <w:p w14:paraId="6202AD42">
                  <w:pPr>
                    <w:widowControl/>
                    <w:jc w:val="center"/>
                    <w:rPr>
                      <w:rFonts w:cs="宋体"/>
                      <w:kern w:val="0"/>
                      <w:szCs w:val="20"/>
                    </w:rPr>
                  </w:pPr>
                  <w:r>
                    <w:rPr>
                      <w:rFonts w:cs="Calibri"/>
                      <w:kern w:val="0"/>
                      <w:szCs w:val="22"/>
                    </w:rPr>
                    <w:t>林格曼黑度</w:t>
                  </w:r>
                </w:p>
              </w:tc>
              <w:tc>
                <w:tcPr>
                  <w:tcW w:w="531" w:type="pct"/>
                  <w:noWrap/>
                  <w:vAlign w:val="center"/>
                </w:tcPr>
                <w:p w14:paraId="1BBDB085">
                  <w:pPr>
                    <w:widowControl/>
                    <w:jc w:val="center"/>
                    <w:rPr>
                      <w:rFonts w:cs="宋体"/>
                      <w:kern w:val="0"/>
                      <w:szCs w:val="20"/>
                    </w:rPr>
                  </w:pPr>
                  <w:r>
                    <w:rPr>
                      <w:rFonts w:hint="eastAsia" w:cs="宋体"/>
                      <w:kern w:val="0"/>
                      <w:szCs w:val="20"/>
                    </w:rPr>
                    <w:t>/</w:t>
                  </w:r>
                </w:p>
              </w:tc>
              <w:tc>
                <w:tcPr>
                  <w:tcW w:w="1965" w:type="pct"/>
                  <w:gridSpan w:val="3"/>
                  <w:noWrap/>
                  <w:vAlign w:val="center"/>
                </w:tcPr>
                <w:p w14:paraId="5729953D">
                  <w:pPr>
                    <w:widowControl/>
                    <w:jc w:val="center"/>
                    <w:rPr>
                      <w:rFonts w:cs="宋体"/>
                      <w:kern w:val="0"/>
                      <w:szCs w:val="20"/>
                    </w:rPr>
                  </w:pPr>
                  <w:r>
                    <w:rPr>
                      <w:rFonts w:cs="Calibri"/>
                      <w:kern w:val="0"/>
                      <w:szCs w:val="22"/>
                    </w:rPr>
                    <w:t>&lt;1</w:t>
                  </w:r>
                </w:p>
              </w:tc>
              <w:tc>
                <w:tcPr>
                  <w:tcW w:w="1204" w:type="pct"/>
                  <w:gridSpan w:val="2"/>
                  <w:vAlign w:val="center"/>
                </w:tcPr>
                <w:p w14:paraId="714F2477">
                  <w:pPr>
                    <w:widowControl/>
                    <w:jc w:val="center"/>
                    <w:rPr>
                      <w:rFonts w:cs="宋体"/>
                      <w:kern w:val="0"/>
                      <w:szCs w:val="20"/>
                    </w:rPr>
                  </w:pPr>
                  <w:r>
                    <w:rPr>
                      <w:rFonts w:cs="Calibri"/>
                      <w:kern w:val="0"/>
                      <w:szCs w:val="22"/>
                    </w:rPr>
                    <w:t>≤1</w:t>
                  </w:r>
                </w:p>
              </w:tc>
            </w:tr>
            <w:tr w14:paraId="780ED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continue"/>
                  <w:vAlign w:val="center"/>
                </w:tcPr>
                <w:p w14:paraId="496B67F2">
                  <w:pPr>
                    <w:widowControl/>
                    <w:jc w:val="center"/>
                    <w:rPr>
                      <w:rFonts w:cs="宋体"/>
                      <w:kern w:val="0"/>
                      <w:szCs w:val="20"/>
                    </w:rPr>
                  </w:pPr>
                </w:p>
              </w:tc>
              <w:tc>
                <w:tcPr>
                  <w:tcW w:w="710" w:type="pct"/>
                  <w:noWrap/>
                  <w:vAlign w:val="center"/>
                </w:tcPr>
                <w:p w14:paraId="387F85C2">
                  <w:pPr>
                    <w:widowControl/>
                    <w:jc w:val="center"/>
                    <w:rPr>
                      <w:rFonts w:cs="Calibri"/>
                      <w:kern w:val="0"/>
                      <w:szCs w:val="22"/>
                    </w:rPr>
                  </w:pPr>
                  <w:r>
                    <w:rPr>
                      <w:rFonts w:hint="eastAsia" w:cs="Calibri"/>
                      <w:kern w:val="0"/>
                      <w:szCs w:val="22"/>
                    </w:rPr>
                    <w:t>含氧量</w:t>
                  </w:r>
                </w:p>
              </w:tc>
              <w:tc>
                <w:tcPr>
                  <w:tcW w:w="3700" w:type="pct"/>
                  <w:gridSpan w:val="6"/>
                  <w:noWrap/>
                  <w:vAlign w:val="center"/>
                </w:tcPr>
                <w:p w14:paraId="17F6F482">
                  <w:pPr>
                    <w:widowControl/>
                    <w:jc w:val="center"/>
                    <w:rPr>
                      <w:rFonts w:cs="Calibri"/>
                      <w:kern w:val="0"/>
                      <w:szCs w:val="22"/>
                    </w:rPr>
                  </w:pPr>
                  <w:r>
                    <w:rPr>
                      <w:rFonts w:hint="eastAsia" w:cs="Calibri"/>
                      <w:kern w:val="0"/>
                      <w:szCs w:val="22"/>
                    </w:rPr>
                    <w:t>14.1%</w:t>
                  </w:r>
                </w:p>
              </w:tc>
            </w:tr>
            <w:tr w14:paraId="622B7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restart"/>
                  <w:noWrap/>
                  <w:vAlign w:val="center"/>
                </w:tcPr>
                <w:p w14:paraId="57FCDCB3">
                  <w:pPr>
                    <w:widowControl/>
                    <w:jc w:val="center"/>
                    <w:rPr>
                      <w:rFonts w:cs="Calibri"/>
                      <w:kern w:val="0"/>
                      <w:szCs w:val="22"/>
                    </w:rPr>
                  </w:pPr>
                  <w:r>
                    <w:rPr>
                      <w:rFonts w:cs="Calibri"/>
                      <w:kern w:val="0"/>
                      <w:szCs w:val="22"/>
                    </w:rPr>
                    <w:t>生产废气</w:t>
                  </w:r>
                </w:p>
                <w:p w14:paraId="4FA34BC5">
                  <w:pPr>
                    <w:widowControl/>
                    <w:jc w:val="center"/>
                    <w:rPr>
                      <w:rFonts w:cs="Calibri"/>
                      <w:kern w:val="0"/>
                      <w:szCs w:val="22"/>
                    </w:rPr>
                  </w:pPr>
                  <w:r>
                    <w:rPr>
                      <w:rFonts w:cs="Calibri"/>
                      <w:kern w:val="0"/>
                      <w:szCs w:val="22"/>
                    </w:rPr>
                    <w:t>排放口</w:t>
                  </w:r>
                </w:p>
                <w:p w14:paraId="0EA82D7B">
                  <w:pPr>
                    <w:widowControl/>
                    <w:jc w:val="center"/>
                    <w:rPr>
                      <w:rFonts w:cs="宋体"/>
                      <w:kern w:val="0"/>
                      <w:szCs w:val="20"/>
                    </w:rPr>
                  </w:pPr>
                  <w:r>
                    <w:rPr>
                      <w:rFonts w:cs="Calibri"/>
                      <w:kern w:val="0"/>
                      <w:szCs w:val="22"/>
                    </w:rPr>
                    <w:t>DA002</w:t>
                  </w:r>
                </w:p>
              </w:tc>
              <w:tc>
                <w:tcPr>
                  <w:tcW w:w="710" w:type="pct"/>
                  <w:noWrap/>
                  <w:vAlign w:val="center"/>
                </w:tcPr>
                <w:p w14:paraId="64E59382">
                  <w:pPr>
                    <w:widowControl/>
                    <w:jc w:val="center"/>
                    <w:rPr>
                      <w:rFonts w:cs="宋体"/>
                      <w:kern w:val="0"/>
                      <w:szCs w:val="20"/>
                    </w:rPr>
                  </w:pPr>
                  <w:r>
                    <w:rPr>
                      <w:rFonts w:cs="Calibri"/>
                      <w:kern w:val="0"/>
                      <w:szCs w:val="22"/>
                    </w:rPr>
                    <w:t>氨</w:t>
                  </w:r>
                </w:p>
              </w:tc>
              <w:tc>
                <w:tcPr>
                  <w:tcW w:w="531" w:type="pct"/>
                  <w:vMerge w:val="restart"/>
                  <w:noWrap/>
                  <w:vAlign w:val="center"/>
                </w:tcPr>
                <w:p w14:paraId="5658DB89">
                  <w:pPr>
                    <w:widowControl/>
                    <w:jc w:val="center"/>
                    <w:rPr>
                      <w:rFonts w:cs="宋体"/>
                      <w:kern w:val="0"/>
                      <w:szCs w:val="20"/>
                    </w:rPr>
                  </w:pPr>
                  <w:r>
                    <w:rPr>
                      <w:rFonts w:cs="Calibri"/>
                      <w:kern w:val="0"/>
                      <w:szCs w:val="22"/>
                    </w:rPr>
                    <w:t>18029</w:t>
                  </w:r>
                </w:p>
              </w:tc>
              <w:tc>
                <w:tcPr>
                  <w:tcW w:w="655" w:type="pct"/>
                  <w:noWrap/>
                  <w:vAlign w:val="center"/>
                </w:tcPr>
                <w:p w14:paraId="29EAF388">
                  <w:pPr>
                    <w:widowControl/>
                    <w:jc w:val="center"/>
                    <w:rPr>
                      <w:rFonts w:cs="宋体"/>
                      <w:kern w:val="0"/>
                      <w:szCs w:val="20"/>
                    </w:rPr>
                  </w:pPr>
                  <w:r>
                    <w:rPr>
                      <w:rFonts w:cs="Calibri"/>
                      <w:kern w:val="0"/>
                      <w:szCs w:val="22"/>
                    </w:rPr>
                    <w:t>0.038</w:t>
                  </w:r>
                </w:p>
              </w:tc>
              <w:tc>
                <w:tcPr>
                  <w:tcW w:w="655" w:type="pct"/>
                  <w:noWrap/>
                  <w:vAlign w:val="center"/>
                </w:tcPr>
                <w:p w14:paraId="358D7D4D">
                  <w:pPr>
                    <w:widowControl/>
                    <w:jc w:val="center"/>
                    <w:rPr>
                      <w:rFonts w:cs="宋体"/>
                      <w:kern w:val="0"/>
                      <w:szCs w:val="20"/>
                    </w:rPr>
                  </w:pPr>
                  <w:r>
                    <w:rPr>
                      <w:rFonts w:hint="eastAsia" w:cs="宋体"/>
                      <w:kern w:val="0"/>
                      <w:szCs w:val="20"/>
                    </w:rPr>
                    <w:t>/</w:t>
                  </w:r>
                </w:p>
              </w:tc>
              <w:tc>
                <w:tcPr>
                  <w:tcW w:w="655" w:type="pct"/>
                  <w:noWrap/>
                  <w:vAlign w:val="center"/>
                </w:tcPr>
                <w:p w14:paraId="100CC519">
                  <w:pPr>
                    <w:widowControl/>
                    <w:jc w:val="center"/>
                    <w:rPr>
                      <w:rFonts w:cs="宋体"/>
                      <w:kern w:val="0"/>
                      <w:szCs w:val="20"/>
                    </w:rPr>
                  </w:pPr>
                  <w:r>
                    <w:rPr>
                      <w:rFonts w:cs="Calibri"/>
                      <w:kern w:val="0"/>
                      <w:szCs w:val="22"/>
                    </w:rPr>
                    <w:t>6.8</w:t>
                  </w:r>
                  <w:r>
                    <w:t>×</w:t>
                  </w:r>
                  <w:r>
                    <w:rPr>
                      <w:rFonts w:cs="Calibri"/>
                      <w:kern w:val="0"/>
                      <w:szCs w:val="22"/>
                    </w:rPr>
                    <w:t>10</w:t>
                  </w:r>
                  <w:r>
                    <w:rPr>
                      <w:rFonts w:cs="Calibri"/>
                      <w:kern w:val="0"/>
                      <w:szCs w:val="22"/>
                      <w:vertAlign w:val="superscript"/>
                    </w:rPr>
                    <w:t>-5</w:t>
                  </w:r>
                </w:p>
              </w:tc>
              <w:tc>
                <w:tcPr>
                  <w:tcW w:w="550" w:type="pct"/>
                  <w:vAlign w:val="center"/>
                </w:tcPr>
                <w:p w14:paraId="54F2068E">
                  <w:pPr>
                    <w:widowControl/>
                    <w:jc w:val="center"/>
                    <w:rPr>
                      <w:rFonts w:cs="宋体"/>
                      <w:kern w:val="0"/>
                      <w:szCs w:val="20"/>
                    </w:rPr>
                  </w:pPr>
                  <w:r>
                    <w:rPr>
                      <w:rFonts w:hint="eastAsia" w:cs="宋体"/>
                      <w:kern w:val="0"/>
                      <w:szCs w:val="20"/>
                    </w:rPr>
                    <w:t>/</w:t>
                  </w:r>
                </w:p>
              </w:tc>
              <w:tc>
                <w:tcPr>
                  <w:tcW w:w="654" w:type="pct"/>
                  <w:noWrap/>
                  <w:vAlign w:val="center"/>
                </w:tcPr>
                <w:p w14:paraId="63F25172">
                  <w:pPr>
                    <w:widowControl/>
                    <w:jc w:val="center"/>
                    <w:rPr>
                      <w:rFonts w:cs="宋体"/>
                      <w:kern w:val="0"/>
                      <w:szCs w:val="20"/>
                    </w:rPr>
                  </w:pPr>
                  <w:r>
                    <w:rPr>
                      <w:rFonts w:cs="Calibri"/>
                      <w:kern w:val="0"/>
                      <w:szCs w:val="22"/>
                    </w:rPr>
                    <w:t>4.9</w:t>
                  </w:r>
                </w:p>
              </w:tc>
            </w:tr>
            <w:tr w14:paraId="128CB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continue"/>
                  <w:vAlign w:val="center"/>
                </w:tcPr>
                <w:p w14:paraId="38788D81">
                  <w:pPr>
                    <w:widowControl/>
                    <w:jc w:val="center"/>
                    <w:rPr>
                      <w:rFonts w:cs="宋体"/>
                      <w:kern w:val="0"/>
                      <w:szCs w:val="20"/>
                    </w:rPr>
                  </w:pPr>
                </w:p>
              </w:tc>
              <w:tc>
                <w:tcPr>
                  <w:tcW w:w="710" w:type="pct"/>
                  <w:noWrap/>
                  <w:vAlign w:val="center"/>
                </w:tcPr>
                <w:p w14:paraId="03D96635">
                  <w:pPr>
                    <w:widowControl/>
                    <w:jc w:val="center"/>
                    <w:rPr>
                      <w:rFonts w:cs="宋体"/>
                      <w:kern w:val="0"/>
                      <w:szCs w:val="20"/>
                    </w:rPr>
                  </w:pPr>
                  <w:r>
                    <w:rPr>
                      <w:rFonts w:cs="Calibri"/>
                      <w:kern w:val="0"/>
                      <w:szCs w:val="22"/>
                    </w:rPr>
                    <w:t>硫化氢</w:t>
                  </w:r>
                </w:p>
              </w:tc>
              <w:tc>
                <w:tcPr>
                  <w:tcW w:w="531" w:type="pct"/>
                  <w:vMerge w:val="continue"/>
                  <w:vAlign w:val="center"/>
                </w:tcPr>
                <w:p w14:paraId="4632B8A6">
                  <w:pPr>
                    <w:widowControl/>
                    <w:jc w:val="center"/>
                    <w:rPr>
                      <w:rFonts w:cs="宋体"/>
                      <w:kern w:val="0"/>
                      <w:szCs w:val="20"/>
                    </w:rPr>
                  </w:pPr>
                </w:p>
              </w:tc>
              <w:tc>
                <w:tcPr>
                  <w:tcW w:w="655" w:type="pct"/>
                  <w:noWrap/>
                  <w:vAlign w:val="center"/>
                </w:tcPr>
                <w:p w14:paraId="22E29764">
                  <w:pPr>
                    <w:widowControl/>
                    <w:jc w:val="center"/>
                    <w:rPr>
                      <w:rFonts w:cs="宋体"/>
                      <w:kern w:val="0"/>
                      <w:szCs w:val="20"/>
                    </w:rPr>
                  </w:pPr>
                  <w:r>
                    <w:rPr>
                      <w:rFonts w:cs="Calibri"/>
                      <w:kern w:val="0"/>
                      <w:szCs w:val="22"/>
                    </w:rPr>
                    <w:t>ND</w:t>
                  </w:r>
                </w:p>
              </w:tc>
              <w:tc>
                <w:tcPr>
                  <w:tcW w:w="655" w:type="pct"/>
                  <w:noWrap/>
                  <w:vAlign w:val="center"/>
                </w:tcPr>
                <w:p w14:paraId="69D69E0F">
                  <w:pPr>
                    <w:widowControl/>
                    <w:jc w:val="center"/>
                    <w:rPr>
                      <w:rFonts w:cs="宋体"/>
                      <w:kern w:val="0"/>
                      <w:szCs w:val="20"/>
                    </w:rPr>
                  </w:pPr>
                  <w:r>
                    <w:rPr>
                      <w:rFonts w:hint="eastAsia" w:cs="Calibri"/>
                      <w:kern w:val="0"/>
                      <w:szCs w:val="22"/>
                    </w:rPr>
                    <w:t>/</w:t>
                  </w:r>
                </w:p>
              </w:tc>
              <w:tc>
                <w:tcPr>
                  <w:tcW w:w="655" w:type="pct"/>
                  <w:noWrap/>
                  <w:vAlign w:val="center"/>
                </w:tcPr>
                <w:p w14:paraId="697A9145">
                  <w:pPr>
                    <w:widowControl/>
                    <w:jc w:val="center"/>
                    <w:rPr>
                      <w:rFonts w:cs="宋体"/>
                      <w:kern w:val="0"/>
                      <w:szCs w:val="20"/>
                    </w:rPr>
                  </w:pPr>
                  <w:r>
                    <w:rPr>
                      <w:rFonts w:hint="eastAsia" w:cs="宋体"/>
                      <w:kern w:val="0"/>
                      <w:szCs w:val="20"/>
                    </w:rPr>
                    <w:t>/</w:t>
                  </w:r>
                </w:p>
              </w:tc>
              <w:tc>
                <w:tcPr>
                  <w:tcW w:w="550" w:type="pct"/>
                  <w:vAlign w:val="center"/>
                </w:tcPr>
                <w:p w14:paraId="1E23EC85">
                  <w:pPr>
                    <w:widowControl/>
                    <w:jc w:val="center"/>
                    <w:rPr>
                      <w:kern w:val="0"/>
                      <w:szCs w:val="20"/>
                    </w:rPr>
                  </w:pPr>
                  <w:r>
                    <w:rPr>
                      <w:rFonts w:hint="eastAsia" w:cs="宋体"/>
                      <w:kern w:val="0"/>
                      <w:szCs w:val="20"/>
                    </w:rPr>
                    <w:t>/</w:t>
                  </w:r>
                </w:p>
              </w:tc>
              <w:tc>
                <w:tcPr>
                  <w:tcW w:w="654" w:type="pct"/>
                  <w:noWrap/>
                  <w:vAlign w:val="center"/>
                </w:tcPr>
                <w:p w14:paraId="633565BC">
                  <w:pPr>
                    <w:widowControl/>
                    <w:jc w:val="center"/>
                    <w:rPr>
                      <w:rFonts w:cs="宋体"/>
                      <w:kern w:val="0"/>
                      <w:szCs w:val="20"/>
                    </w:rPr>
                  </w:pPr>
                  <w:r>
                    <w:rPr>
                      <w:rFonts w:cs="Calibri"/>
                      <w:kern w:val="0"/>
                      <w:szCs w:val="22"/>
                    </w:rPr>
                    <w:t>0.33</w:t>
                  </w:r>
                </w:p>
              </w:tc>
            </w:tr>
            <w:tr w14:paraId="3E5C2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Merge w:val="continue"/>
                  <w:vAlign w:val="center"/>
                </w:tcPr>
                <w:p w14:paraId="3B96E8AC">
                  <w:pPr>
                    <w:widowControl/>
                    <w:jc w:val="center"/>
                    <w:rPr>
                      <w:rFonts w:cs="宋体"/>
                      <w:kern w:val="0"/>
                      <w:szCs w:val="20"/>
                    </w:rPr>
                  </w:pPr>
                </w:p>
              </w:tc>
              <w:tc>
                <w:tcPr>
                  <w:tcW w:w="710" w:type="pct"/>
                  <w:noWrap/>
                  <w:vAlign w:val="center"/>
                </w:tcPr>
                <w:p w14:paraId="2768DE0F">
                  <w:pPr>
                    <w:widowControl/>
                    <w:jc w:val="center"/>
                    <w:rPr>
                      <w:rFonts w:cs="宋体"/>
                      <w:kern w:val="0"/>
                      <w:szCs w:val="20"/>
                    </w:rPr>
                  </w:pPr>
                  <w:r>
                    <w:rPr>
                      <w:rFonts w:cs="Calibri"/>
                      <w:kern w:val="0"/>
                      <w:szCs w:val="22"/>
                    </w:rPr>
                    <w:t>VOCs</w:t>
                  </w:r>
                </w:p>
              </w:tc>
              <w:tc>
                <w:tcPr>
                  <w:tcW w:w="531" w:type="pct"/>
                  <w:vMerge w:val="continue"/>
                  <w:vAlign w:val="center"/>
                </w:tcPr>
                <w:p w14:paraId="7D1BBB8A">
                  <w:pPr>
                    <w:widowControl/>
                    <w:jc w:val="center"/>
                    <w:rPr>
                      <w:rFonts w:cs="宋体"/>
                      <w:kern w:val="0"/>
                      <w:szCs w:val="20"/>
                    </w:rPr>
                  </w:pPr>
                </w:p>
              </w:tc>
              <w:tc>
                <w:tcPr>
                  <w:tcW w:w="655" w:type="pct"/>
                  <w:noWrap/>
                  <w:vAlign w:val="center"/>
                </w:tcPr>
                <w:p w14:paraId="2BF69206">
                  <w:pPr>
                    <w:widowControl/>
                    <w:jc w:val="center"/>
                    <w:rPr>
                      <w:rFonts w:cs="宋体"/>
                      <w:kern w:val="0"/>
                      <w:szCs w:val="20"/>
                    </w:rPr>
                  </w:pPr>
                  <w:r>
                    <w:rPr>
                      <w:rFonts w:cs="Calibri"/>
                      <w:kern w:val="0"/>
                      <w:szCs w:val="22"/>
                    </w:rPr>
                    <w:t>1.07</w:t>
                  </w:r>
                </w:p>
              </w:tc>
              <w:tc>
                <w:tcPr>
                  <w:tcW w:w="655" w:type="pct"/>
                  <w:noWrap/>
                  <w:vAlign w:val="center"/>
                </w:tcPr>
                <w:p w14:paraId="2D4CB172">
                  <w:pPr>
                    <w:widowControl/>
                    <w:jc w:val="center"/>
                    <w:rPr>
                      <w:rFonts w:cs="宋体"/>
                      <w:kern w:val="0"/>
                      <w:szCs w:val="20"/>
                    </w:rPr>
                  </w:pPr>
                  <w:r>
                    <w:rPr>
                      <w:rFonts w:hint="eastAsia" w:cs="宋体"/>
                      <w:kern w:val="0"/>
                      <w:szCs w:val="20"/>
                    </w:rPr>
                    <w:t>/</w:t>
                  </w:r>
                </w:p>
              </w:tc>
              <w:tc>
                <w:tcPr>
                  <w:tcW w:w="655" w:type="pct"/>
                  <w:noWrap/>
                  <w:vAlign w:val="center"/>
                </w:tcPr>
                <w:p w14:paraId="72401DE8">
                  <w:pPr>
                    <w:widowControl/>
                    <w:jc w:val="center"/>
                    <w:rPr>
                      <w:rFonts w:cs="宋体"/>
                      <w:kern w:val="0"/>
                      <w:szCs w:val="20"/>
                    </w:rPr>
                  </w:pPr>
                  <w:r>
                    <w:rPr>
                      <w:rFonts w:cs="Calibri"/>
                      <w:kern w:val="0"/>
                      <w:szCs w:val="22"/>
                    </w:rPr>
                    <w:t>0.02</w:t>
                  </w:r>
                </w:p>
              </w:tc>
              <w:tc>
                <w:tcPr>
                  <w:tcW w:w="550" w:type="pct"/>
                  <w:vAlign w:val="center"/>
                </w:tcPr>
                <w:p w14:paraId="20C82FAA">
                  <w:pPr>
                    <w:widowControl/>
                    <w:jc w:val="center"/>
                    <w:rPr>
                      <w:rFonts w:cs="宋体"/>
                      <w:kern w:val="0"/>
                      <w:szCs w:val="20"/>
                    </w:rPr>
                  </w:pPr>
                  <w:r>
                    <w:rPr>
                      <w:rFonts w:cs="Calibri"/>
                      <w:kern w:val="0"/>
                      <w:szCs w:val="22"/>
                    </w:rPr>
                    <w:t>30</w:t>
                  </w:r>
                </w:p>
              </w:tc>
              <w:tc>
                <w:tcPr>
                  <w:tcW w:w="654" w:type="pct"/>
                  <w:noWrap/>
                  <w:vAlign w:val="center"/>
                </w:tcPr>
                <w:p w14:paraId="3AD95344">
                  <w:pPr>
                    <w:widowControl/>
                    <w:jc w:val="center"/>
                    <w:rPr>
                      <w:rFonts w:cs="宋体"/>
                      <w:kern w:val="0"/>
                      <w:szCs w:val="20"/>
                    </w:rPr>
                  </w:pPr>
                  <w:r>
                    <w:rPr>
                      <w:rFonts w:cs="Calibri"/>
                      <w:kern w:val="0"/>
                      <w:szCs w:val="22"/>
                    </w:rPr>
                    <w:t>2.9</w:t>
                  </w:r>
                </w:p>
              </w:tc>
            </w:tr>
            <w:tr w14:paraId="2E933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90" w:type="pct"/>
                  <w:vAlign w:val="center"/>
                </w:tcPr>
                <w:p w14:paraId="0D660D27">
                  <w:pPr>
                    <w:widowControl/>
                    <w:jc w:val="center"/>
                    <w:rPr>
                      <w:rFonts w:cs="宋体"/>
                      <w:kern w:val="0"/>
                      <w:szCs w:val="20"/>
                    </w:rPr>
                  </w:pPr>
                  <w:r>
                    <w:rPr>
                      <w:rFonts w:hint="eastAsia" w:cs="宋体"/>
                      <w:kern w:val="0"/>
                      <w:szCs w:val="20"/>
                    </w:rPr>
                    <w:t>备注</w:t>
                  </w:r>
                </w:p>
              </w:tc>
              <w:tc>
                <w:tcPr>
                  <w:tcW w:w="4410" w:type="pct"/>
                  <w:gridSpan w:val="7"/>
                  <w:noWrap/>
                  <w:vAlign w:val="center"/>
                </w:tcPr>
                <w:p w14:paraId="4FD22B03">
                  <w:pPr>
                    <w:widowControl/>
                    <w:rPr>
                      <w:rFonts w:cs="Calibri"/>
                      <w:kern w:val="0"/>
                      <w:szCs w:val="22"/>
                    </w:rPr>
                  </w:pPr>
                  <w:r>
                    <w:rPr>
                      <w:rFonts w:hint="eastAsia" w:cs="Calibri"/>
                      <w:kern w:val="0"/>
                      <w:szCs w:val="22"/>
                    </w:rPr>
                    <w:t>1.ND表示检测结果低于检出限；“/”表示无具体信息；</w:t>
                  </w:r>
                </w:p>
                <w:p w14:paraId="5687B0B7">
                  <w:pPr>
                    <w:widowControl/>
                    <w:rPr>
                      <w:rFonts w:cs="Calibri"/>
                      <w:kern w:val="0"/>
                      <w:szCs w:val="22"/>
                    </w:rPr>
                  </w:pPr>
                  <w:r>
                    <w:rPr>
                      <w:rFonts w:hint="eastAsia" w:cs="Calibri"/>
                      <w:kern w:val="0"/>
                      <w:szCs w:val="22"/>
                    </w:rPr>
                    <w:t>2.污染物检测结果低于检出限的，按检出限的50%核算污染物排放量。</w:t>
                  </w:r>
                </w:p>
              </w:tc>
            </w:tr>
          </w:tbl>
          <w:p w14:paraId="6D6BD78D">
            <w:pPr>
              <w:pStyle w:val="14"/>
              <w:spacing w:before="120" w:after="0" w:afterLines="0" w:line="360" w:lineRule="auto"/>
              <w:rPr>
                <w:rFonts w:eastAsia="宋体"/>
                <w:b/>
                <w:sz w:val="21"/>
              </w:rPr>
            </w:pPr>
            <w:r>
              <w:rPr>
                <w:rFonts w:hint="eastAsia" w:eastAsia="宋体"/>
                <w:b/>
                <w:sz w:val="21"/>
              </w:rPr>
              <w:t>表2-12 现有项目废气污染物无组织监测数据（2025年5月）</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791"/>
              <w:gridCol w:w="1792"/>
              <w:gridCol w:w="1792"/>
              <w:gridCol w:w="1792"/>
              <w:gridCol w:w="1792"/>
            </w:tblGrid>
            <w:tr w14:paraId="3F16E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noWrap/>
                  <w:vAlign w:val="center"/>
                </w:tcPr>
                <w:p w14:paraId="78A14C72">
                  <w:pPr>
                    <w:widowControl/>
                    <w:jc w:val="center"/>
                    <w:rPr>
                      <w:rFonts w:cs="宋体"/>
                      <w:kern w:val="0"/>
                      <w:szCs w:val="20"/>
                    </w:rPr>
                  </w:pPr>
                  <w:r>
                    <w:rPr>
                      <w:rFonts w:cs="Calibri"/>
                      <w:kern w:val="0"/>
                      <w:szCs w:val="22"/>
                    </w:rPr>
                    <w:t>采样点位</w:t>
                  </w:r>
                </w:p>
              </w:tc>
              <w:tc>
                <w:tcPr>
                  <w:tcW w:w="1000" w:type="pct"/>
                  <w:noWrap/>
                  <w:vAlign w:val="center"/>
                </w:tcPr>
                <w:p w14:paraId="5EFE9E0F">
                  <w:pPr>
                    <w:widowControl/>
                    <w:jc w:val="center"/>
                    <w:rPr>
                      <w:rFonts w:cs="宋体"/>
                      <w:kern w:val="0"/>
                      <w:szCs w:val="20"/>
                    </w:rPr>
                  </w:pPr>
                  <w:r>
                    <w:rPr>
                      <w:rFonts w:cs="Calibri"/>
                      <w:kern w:val="0"/>
                      <w:szCs w:val="22"/>
                    </w:rPr>
                    <w:t>检测项目</w:t>
                  </w:r>
                </w:p>
              </w:tc>
              <w:tc>
                <w:tcPr>
                  <w:tcW w:w="1000" w:type="pct"/>
                  <w:noWrap/>
                  <w:vAlign w:val="center"/>
                </w:tcPr>
                <w:p w14:paraId="69028DF9">
                  <w:pPr>
                    <w:widowControl/>
                    <w:jc w:val="center"/>
                    <w:rPr>
                      <w:rFonts w:cs="宋体"/>
                      <w:kern w:val="0"/>
                      <w:szCs w:val="20"/>
                    </w:rPr>
                  </w:pPr>
                  <w:r>
                    <w:rPr>
                      <w:rFonts w:cs="Calibri"/>
                      <w:kern w:val="0"/>
                      <w:szCs w:val="22"/>
                    </w:rPr>
                    <w:t>检测结果</w:t>
                  </w:r>
                </w:p>
              </w:tc>
              <w:tc>
                <w:tcPr>
                  <w:tcW w:w="1000" w:type="pct"/>
                  <w:noWrap/>
                  <w:vAlign w:val="center"/>
                </w:tcPr>
                <w:p w14:paraId="220D7235">
                  <w:pPr>
                    <w:widowControl/>
                    <w:jc w:val="center"/>
                    <w:rPr>
                      <w:rFonts w:cs="宋体"/>
                      <w:kern w:val="0"/>
                      <w:szCs w:val="20"/>
                    </w:rPr>
                  </w:pPr>
                  <w:r>
                    <w:rPr>
                      <w:rFonts w:cs="Calibri"/>
                      <w:kern w:val="0"/>
                      <w:szCs w:val="22"/>
                    </w:rPr>
                    <w:t>标准限值</w:t>
                  </w:r>
                </w:p>
              </w:tc>
              <w:tc>
                <w:tcPr>
                  <w:tcW w:w="1000" w:type="pct"/>
                  <w:noWrap/>
                  <w:vAlign w:val="center"/>
                </w:tcPr>
                <w:p w14:paraId="78E3328B">
                  <w:pPr>
                    <w:widowControl/>
                    <w:jc w:val="center"/>
                    <w:rPr>
                      <w:rFonts w:cs="宋体"/>
                      <w:kern w:val="0"/>
                      <w:szCs w:val="20"/>
                    </w:rPr>
                  </w:pPr>
                  <w:r>
                    <w:rPr>
                      <w:rFonts w:cs="Calibri"/>
                      <w:kern w:val="0"/>
                      <w:szCs w:val="22"/>
                    </w:rPr>
                    <w:t>单位</w:t>
                  </w:r>
                </w:p>
              </w:tc>
            </w:tr>
            <w:tr w14:paraId="54799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restart"/>
                  <w:noWrap/>
                  <w:vAlign w:val="center"/>
                </w:tcPr>
                <w:p w14:paraId="6DF9E46F">
                  <w:pPr>
                    <w:widowControl/>
                    <w:jc w:val="center"/>
                    <w:rPr>
                      <w:rFonts w:cs="宋体"/>
                      <w:kern w:val="0"/>
                      <w:szCs w:val="20"/>
                    </w:rPr>
                  </w:pPr>
                  <w:r>
                    <w:rPr>
                      <w:rFonts w:cs="Calibri"/>
                      <w:kern w:val="0"/>
                      <w:szCs w:val="22"/>
                    </w:rPr>
                    <w:t>上风向1#</w:t>
                  </w:r>
                </w:p>
              </w:tc>
              <w:tc>
                <w:tcPr>
                  <w:tcW w:w="1000" w:type="pct"/>
                  <w:noWrap/>
                  <w:vAlign w:val="center"/>
                </w:tcPr>
                <w:p w14:paraId="26BD5E2D">
                  <w:pPr>
                    <w:widowControl/>
                    <w:jc w:val="center"/>
                    <w:rPr>
                      <w:rFonts w:cs="宋体"/>
                      <w:kern w:val="0"/>
                      <w:szCs w:val="20"/>
                    </w:rPr>
                  </w:pPr>
                  <w:r>
                    <w:rPr>
                      <w:rFonts w:cs="Calibri"/>
                      <w:kern w:val="0"/>
                      <w:szCs w:val="22"/>
                    </w:rPr>
                    <w:t>总悬浮颗粒物</w:t>
                  </w:r>
                </w:p>
              </w:tc>
              <w:tc>
                <w:tcPr>
                  <w:tcW w:w="1000" w:type="pct"/>
                  <w:noWrap/>
                  <w:vAlign w:val="center"/>
                </w:tcPr>
                <w:p w14:paraId="49D2B4E5">
                  <w:pPr>
                    <w:widowControl/>
                    <w:jc w:val="center"/>
                    <w:rPr>
                      <w:rFonts w:cs="宋体"/>
                      <w:kern w:val="0"/>
                      <w:szCs w:val="20"/>
                    </w:rPr>
                  </w:pPr>
                  <w:r>
                    <w:rPr>
                      <w:rFonts w:cs="Calibri"/>
                      <w:kern w:val="0"/>
                      <w:szCs w:val="22"/>
                    </w:rPr>
                    <w:t>0.192</w:t>
                  </w:r>
                </w:p>
              </w:tc>
              <w:tc>
                <w:tcPr>
                  <w:tcW w:w="1000" w:type="pct"/>
                  <w:noWrap/>
                  <w:vAlign w:val="center"/>
                </w:tcPr>
                <w:p w14:paraId="33729926">
                  <w:pPr>
                    <w:widowControl/>
                    <w:jc w:val="center"/>
                    <w:rPr>
                      <w:rFonts w:cs="宋体"/>
                      <w:kern w:val="0"/>
                      <w:szCs w:val="20"/>
                    </w:rPr>
                  </w:pPr>
                  <w:r>
                    <w:rPr>
                      <w:rFonts w:cs="Calibri"/>
                      <w:kern w:val="0"/>
                      <w:szCs w:val="22"/>
                    </w:rPr>
                    <w:t>1.0</w:t>
                  </w:r>
                </w:p>
              </w:tc>
              <w:tc>
                <w:tcPr>
                  <w:tcW w:w="1000" w:type="pct"/>
                  <w:noWrap/>
                  <w:vAlign w:val="center"/>
                </w:tcPr>
                <w:p w14:paraId="4E6A061E">
                  <w:pPr>
                    <w:widowControl/>
                    <w:jc w:val="center"/>
                    <w:rPr>
                      <w:rFonts w:cs="宋体"/>
                      <w:kern w:val="0"/>
                      <w:szCs w:val="20"/>
                    </w:rPr>
                  </w:pPr>
                  <w:r>
                    <w:rPr>
                      <w:rFonts w:cs="Calibri"/>
                      <w:kern w:val="0"/>
                      <w:szCs w:val="22"/>
                    </w:rPr>
                    <w:t>mg/m</w:t>
                  </w:r>
                  <w:r>
                    <w:rPr>
                      <w:rFonts w:cs="Calibri"/>
                      <w:kern w:val="0"/>
                      <w:szCs w:val="22"/>
                      <w:vertAlign w:val="superscript"/>
                    </w:rPr>
                    <w:t>3</w:t>
                  </w:r>
                </w:p>
              </w:tc>
            </w:tr>
            <w:tr w14:paraId="7C8AA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57FE9221">
                  <w:pPr>
                    <w:widowControl/>
                    <w:jc w:val="center"/>
                    <w:rPr>
                      <w:rFonts w:cs="宋体"/>
                      <w:kern w:val="0"/>
                      <w:szCs w:val="20"/>
                    </w:rPr>
                  </w:pPr>
                </w:p>
              </w:tc>
              <w:tc>
                <w:tcPr>
                  <w:tcW w:w="1000" w:type="pct"/>
                  <w:noWrap/>
                  <w:vAlign w:val="center"/>
                </w:tcPr>
                <w:p w14:paraId="5C38DF0B">
                  <w:pPr>
                    <w:widowControl/>
                    <w:jc w:val="center"/>
                    <w:rPr>
                      <w:rFonts w:cs="宋体"/>
                      <w:kern w:val="0"/>
                      <w:szCs w:val="20"/>
                    </w:rPr>
                  </w:pPr>
                  <w:r>
                    <w:rPr>
                      <w:rFonts w:cs="Calibri"/>
                      <w:kern w:val="0"/>
                      <w:szCs w:val="22"/>
                    </w:rPr>
                    <w:t>VOCs</w:t>
                  </w:r>
                </w:p>
              </w:tc>
              <w:tc>
                <w:tcPr>
                  <w:tcW w:w="1000" w:type="pct"/>
                  <w:noWrap/>
                  <w:vAlign w:val="center"/>
                </w:tcPr>
                <w:p w14:paraId="0CD187C9">
                  <w:pPr>
                    <w:widowControl/>
                    <w:jc w:val="center"/>
                    <w:rPr>
                      <w:rFonts w:cs="宋体"/>
                      <w:kern w:val="0"/>
                      <w:szCs w:val="20"/>
                    </w:rPr>
                  </w:pPr>
                  <w:r>
                    <w:rPr>
                      <w:rFonts w:cs="Calibri"/>
                      <w:kern w:val="0"/>
                      <w:szCs w:val="22"/>
                    </w:rPr>
                    <w:t>0.047</w:t>
                  </w:r>
                </w:p>
              </w:tc>
              <w:tc>
                <w:tcPr>
                  <w:tcW w:w="1000" w:type="pct"/>
                  <w:noWrap/>
                  <w:vAlign w:val="center"/>
                </w:tcPr>
                <w:p w14:paraId="5D52D4E1">
                  <w:pPr>
                    <w:widowControl/>
                    <w:jc w:val="center"/>
                    <w:rPr>
                      <w:rFonts w:cs="宋体"/>
                      <w:kern w:val="0"/>
                      <w:szCs w:val="20"/>
                    </w:rPr>
                  </w:pPr>
                  <w:r>
                    <w:rPr>
                      <w:rFonts w:cs="Calibri"/>
                      <w:kern w:val="0"/>
                      <w:szCs w:val="22"/>
                    </w:rPr>
                    <w:t>2.0</w:t>
                  </w:r>
                </w:p>
              </w:tc>
              <w:tc>
                <w:tcPr>
                  <w:tcW w:w="1000" w:type="pct"/>
                  <w:noWrap/>
                  <w:vAlign w:val="center"/>
                </w:tcPr>
                <w:p w14:paraId="4DBD91AE">
                  <w:pPr>
                    <w:widowControl/>
                    <w:jc w:val="center"/>
                    <w:rPr>
                      <w:rFonts w:cs="宋体"/>
                      <w:kern w:val="0"/>
                      <w:szCs w:val="20"/>
                    </w:rPr>
                  </w:pPr>
                  <w:r>
                    <w:rPr>
                      <w:rFonts w:cs="Calibri"/>
                      <w:kern w:val="0"/>
                      <w:szCs w:val="22"/>
                    </w:rPr>
                    <w:t>mg/m</w:t>
                  </w:r>
                  <w:r>
                    <w:rPr>
                      <w:rFonts w:cs="Calibri"/>
                      <w:kern w:val="0"/>
                      <w:szCs w:val="22"/>
                      <w:vertAlign w:val="superscript"/>
                    </w:rPr>
                    <w:t>3</w:t>
                  </w:r>
                </w:p>
              </w:tc>
            </w:tr>
            <w:tr w14:paraId="04642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6E3BBFC3">
                  <w:pPr>
                    <w:widowControl/>
                    <w:jc w:val="center"/>
                    <w:rPr>
                      <w:rFonts w:cs="宋体"/>
                      <w:kern w:val="0"/>
                      <w:szCs w:val="20"/>
                    </w:rPr>
                  </w:pPr>
                </w:p>
              </w:tc>
              <w:tc>
                <w:tcPr>
                  <w:tcW w:w="1000" w:type="pct"/>
                  <w:noWrap/>
                  <w:vAlign w:val="center"/>
                </w:tcPr>
                <w:p w14:paraId="05387D07">
                  <w:pPr>
                    <w:widowControl/>
                    <w:jc w:val="center"/>
                    <w:rPr>
                      <w:rFonts w:cs="宋体"/>
                      <w:kern w:val="0"/>
                      <w:szCs w:val="20"/>
                    </w:rPr>
                  </w:pPr>
                  <w:r>
                    <w:rPr>
                      <w:rFonts w:cs="Calibri"/>
                      <w:kern w:val="0"/>
                      <w:szCs w:val="22"/>
                    </w:rPr>
                    <w:t>氨</w:t>
                  </w:r>
                </w:p>
              </w:tc>
              <w:tc>
                <w:tcPr>
                  <w:tcW w:w="1000" w:type="pct"/>
                  <w:noWrap/>
                  <w:vAlign w:val="center"/>
                </w:tcPr>
                <w:p w14:paraId="63211948">
                  <w:pPr>
                    <w:widowControl/>
                    <w:jc w:val="center"/>
                    <w:rPr>
                      <w:rFonts w:cs="宋体"/>
                      <w:kern w:val="0"/>
                      <w:szCs w:val="20"/>
                    </w:rPr>
                  </w:pPr>
                  <w:r>
                    <w:rPr>
                      <w:rFonts w:cs="Calibri"/>
                      <w:kern w:val="0"/>
                      <w:szCs w:val="22"/>
                    </w:rPr>
                    <w:t>0.10</w:t>
                  </w:r>
                </w:p>
              </w:tc>
              <w:tc>
                <w:tcPr>
                  <w:tcW w:w="1000" w:type="pct"/>
                  <w:noWrap/>
                  <w:vAlign w:val="center"/>
                </w:tcPr>
                <w:p w14:paraId="07D3D1A7">
                  <w:pPr>
                    <w:widowControl/>
                    <w:jc w:val="center"/>
                    <w:rPr>
                      <w:rFonts w:cs="宋体"/>
                      <w:kern w:val="0"/>
                      <w:szCs w:val="20"/>
                    </w:rPr>
                  </w:pPr>
                  <w:r>
                    <w:rPr>
                      <w:rFonts w:cs="Calibri"/>
                      <w:kern w:val="0"/>
                      <w:szCs w:val="22"/>
                    </w:rPr>
                    <w:t>1.5</w:t>
                  </w:r>
                </w:p>
              </w:tc>
              <w:tc>
                <w:tcPr>
                  <w:tcW w:w="1000" w:type="pct"/>
                  <w:noWrap/>
                  <w:vAlign w:val="center"/>
                </w:tcPr>
                <w:p w14:paraId="641E95C2">
                  <w:pPr>
                    <w:widowControl/>
                    <w:jc w:val="center"/>
                    <w:rPr>
                      <w:rFonts w:cs="宋体"/>
                      <w:kern w:val="0"/>
                      <w:szCs w:val="20"/>
                    </w:rPr>
                  </w:pPr>
                  <w:r>
                    <w:rPr>
                      <w:rFonts w:cs="Calibri"/>
                      <w:kern w:val="0"/>
                      <w:szCs w:val="22"/>
                    </w:rPr>
                    <w:t>mg/m</w:t>
                  </w:r>
                  <w:r>
                    <w:rPr>
                      <w:rFonts w:cs="Calibri"/>
                      <w:kern w:val="0"/>
                      <w:szCs w:val="22"/>
                      <w:vertAlign w:val="superscript"/>
                    </w:rPr>
                    <w:t>3</w:t>
                  </w:r>
                </w:p>
              </w:tc>
            </w:tr>
            <w:tr w14:paraId="7F53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1117234B">
                  <w:pPr>
                    <w:widowControl/>
                    <w:jc w:val="center"/>
                    <w:rPr>
                      <w:rFonts w:cs="宋体"/>
                      <w:kern w:val="0"/>
                      <w:szCs w:val="20"/>
                    </w:rPr>
                  </w:pPr>
                </w:p>
              </w:tc>
              <w:tc>
                <w:tcPr>
                  <w:tcW w:w="1000" w:type="pct"/>
                  <w:noWrap/>
                  <w:vAlign w:val="center"/>
                </w:tcPr>
                <w:p w14:paraId="3FB1B848">
                  <w:pPr>
                    <w:widowControl/>
                    <w:jc w:val="center"/>
                    <w:rPr>
                      <w:rFonts w:cs="宋体"/>
                      <w:kern w:val="0"/>
                      <w:szCs w:val="20"/>
                    </w:rPr>
                  </w:pPr>
                  <w:r>
                    <w:rPr>
                      <w:rFonts w:cs="Calibri"/>
                      <w:kern w:val="0"/>
                      <w:szCs w:val="22"/>
                    </w:rPr>
                    <w:t>硫化氢</w:t>
                  </w:r>
                </w:p>
              </w:tc>
              <w:tc>
                <w:tcPr>
                  <w:tcW w:w="1000" w:type="pct"/>
                  <w:noWrap/>
                  <w:vAlign w:val="center"/>
                </w:tcPr>
                <w:p w14:paraId="1FF7794D">
                  <w:pPr>
                    <w:widowControl/>
                    <w:jc w:val="center"/>
                    <w:rPr>
                      <w:rFonts w:cs="宋体"/>
                      <w:kern w:val="0"/>
                      <w:szCs w:val="20"/>
                    </w:rPr>
                  </w:pPr>
                  <w:r>
                    <w:rPr>
                      <w:rFonts w:cs="Calibri"/>
                      <w:kern w:val="0"/>
                      <w:szCs w:val="22"/>
                    </w:rPr>
                    <w:t>ND</w:t>
                  </w:r>
                </w:p>
              </w:tc>
              <w:tc>
                <w:tcPr>
                  <w:tcW w:w="1000" w:type="pct"/>
                  <w:noWrap/>
                  <w:vAlign w:val="center"/>
                </w:tcPr>
                <w:p w14:paraId="73F53BF6">
                  <w:pPr>
                    <w:widowControl/>
                    <w:jc w:val="center"/>
                    <w:rPr>
                      <w:rFonts w:cs="宋体"/>
                      <w:kern w:val="0"/>
                      <w:szCs w:val="20"/>
                    </w:rPr>
                  </w:pPr>
                  <w:r>
                    <w:rPr>
                      <w:rFonts w:cs="Calibri"/>
                      <w:kern w:val="0"/>
                      <w:szCs w:val="22"/>
                    </w:rPr>
                    <w:t>0.06</w:t>
                  </w:r>
                </w:p>
              </w:tc>
              <w:tc>
                <w:tcPr>
                  <w:tcW w:w="1000" w:type="pct"/>
                  <w:noWrap/>
                  <w:vAlign w:val="center"/>
                </w:tcPr>
                <w:p w14:paraId="220A4707">
                  <w:pPr>
                    <w:widowControl/>
                    <w:jc w:val="center"/>
                    <w:rPr>
                      <w:rFonts w:cs="宋体"/>
                      <w:kern w:val="0"/>
                      <w:szCs w:val="20"/>
                    </w:rPr>
                  </w:pPr>
                  <w:r>
                    <w:rPr>
                      <w:rFonts w:cs="Calibri"/>
                      <w:kern w:val="0"/>
                      <w:szCs w:val="22"/>
                    </w:rPr>
                    <w:t>mg/m</w:t>
                  </w:r>
                  <w:r>
                    <w:rPr>
                      <w:rFonts w:cs="Calibri"/>
                      <w:kern w:val="0"/>
                      <w:szCs w:val="22"/>
                      <w:vertAlign w:val="superscript"/>
                    </w:rPr>
                    <w:t>3</w:t>
                  </w:r>
                </w:p>
              </w:tc>
            </w:tr>
            <w:tr w14:paraId="22831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4508B978">
                  <w:pPr>
                    <w:widowControl/>
                    <w:jc w:val="center"/>
                    <w:rPr>
                      <w:rFonts w:cs="宋体"/>
                      <w:kern w:val="0"/>
                      <w:szCs w:val="20"/>
                    </w:rPr>
                  </w:pPr>
                </w:p>
              </w:tc>
              <w:tc>
                <w:tcPr>
                  <w:tcW w:w="1000" w:type="pct"/>
                  <w:noWrap/>
                  <w:vAlign w:val="center"/>
                </w:tcPr>
                <w:p w14:paraId="7AC00556">
                  <w:pPr>
                    <w:widowControl/>
                    <w:jc w:val="center"/>
                    <w:rPr>
                      <w:rFonts w:cs="宋体"/>
                      <w:kern w:val="0"/>
                      <w:szCs w:val="20"/>
                    </w:rPr>
                  </w:pPr>
                  <w:r>
                    <w:rPr>
                      <w:rFonts w:cs="Calibri"/>
                      <w:kern w:val="0"/>
                      <w:szCs w:val="22"/>
                    </w:rPr>
                    <w:t>臭气浓度</w:t>
                  </w:r>
                </w:p>
              </w:tc>
              <w:tc>
                <w:tcPr>
                  <w:tcW w:w="1000" w:type="pct"/>
                  <w:noWrap/>
                  <w:vAlign w:val="center"/>
                </w:tcPr>
                <w:p w14:paraId="33999ECB">
                  <w:pPr>
                    <w:widowControl/>
                    <w:jc w:val="center"/>
                    <w:rPr>
                      <w:rFonts w:cs="宋体"/>
                      <w:kern w:val="0"/>
                      <w:szCs w:val="20"/>
                    </w:rPr>
                  </w:pPr>
                  <w:r>
                    <w:rPr>
                      <w:rFonts w:cs="Calibri"/>
                      <w:kern w:val="0"/>
                      <w:szCs w:val="22"/>
                    </w:rPr>
                    <w:t>&lt;10(最大值)</w:t>
                  </w:r>
                </w:p>
              </w:tc>
              <w:tc>
                <w:tcPr>
                  <w:tcW w:w="1000" w:type="pct"/>
                  <w:noWrap/>
                  <w:vAlign w:val="center"/>
                </w:tcPr>
                <w:p w14:paraId="276D909D">
                  <w:pPr>
                    <w:widowControl/>
                    <w:jc w:val="center"/>
                    <w:rPr>
                      <w:rFonts w:cs="宋体"/>
                      <w:kern w:val="0"/>
                      <w:szCs w:val="20"/>
                    </w:rPr>
                  </w:pPr>
                  <w:r>
                    <w:rPr>
                      <w:rFonts w:cs="Calibri"/>
                      <w:kern w:val="0"/>
                      <w:szCs w:val="22"/>
                    </w:rPr>
                    <w:t>20</w:t>
                  </w:r>
                </w:p>
              </w:tc>
              <w:tc>
                <w:tcPr>
                  <w:tcW w:w="1000" w:type="pct"/>
                  <w:noWrap/>
                  <w:vAlign w:val="center"/>
                </w:tcPr>
                <w:p w14:paraId="315199B9">
                  <w:pPr>
                    <w:widowControl/>
                    <w:jc w:val="center"/>
                    <w:rPr>
                      <w:rFonts w:cs="宋体"/>
                      <w:kern w:val="0"/>
                      <w:szCs w:val="20"/>
                    </w:rPr>
                  </w:pPr>
                  <w:r>
                    <w:rPr>
                      <w:rFonts w:cs="Calibri"/>
                      <w:kern w:val="0"/>
                      <w:szCs w:val="22"/>
                    </w:rPr>
                    <w:t>无量纲</w:t>
                  </w:r>
                </w:p>
              </w:tc>
            </w:tr>
            <w:tr w14:paraId="2DD9E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restart"/>
                  <w:noWrap/>
                  <w:vAlign w:val="center"/>
                </w:tcPr>
                <w:p w14:paraId="1AAFFC89">
                  <w:pPr>
                    <w:widowControl/>
                    <w:jc w:val="center"/>
                    <w:rPr>
                      <w:rFonts w:cs="宋体"/>
                      <w:kern w:val="0"/>
                      <w:szCs w:val="20"/>
                    </w:rPr>
                  </w:pPr>
                  <w:r>
                    <w:rPr>
                      <w:rFonts w:cs="Calibri"/>
                      <w:kern w:val="0"/>
                      <w:szCs w:val="22"/>
                    </w:rPr>
                    <w:t>下风向2#</w:t>
                  </w:r>
                </w:p>
              </w:tc>
              <w:tc>
                <w:tcPr>
                  <w:tcW w:w="1000" w:type="pct"/>
                  <w:noWrap/>
                  <w:vAlign w:val="center"/>
                </w:tcPr>
                <w:p w14:paraId="6C77E151">
                  <w:pPr>
                    <w:widowControl/>
                    <w:jc w:val="center"/>
                    <w:rPr>
                      <w:rFonts w:cs="宋体"/>
                      <w:kern w:val="0"/>
                      <w:szCs w:val="20"/>
                    </w:rPr>
                  </w:pPr>
                  <w:r>
                    <w:rPr>
                      <w:rFonts w:cs="Calibri"/>
                      <w:kern w:val="0"/>
                      <w:szCs w:val="22"/>
                    </w:rPr>
                    <w:t>总悬浮颗粒物</w:t>
                  </w:r>
                </w:p>
              </w:tc>
              <w:tc>
                <w:tcPr>
                  <w:tcW w:w="1000" w:type="pct"/>
                  <w:noWrap/>
                  <w:vAlign w:val="center"/>
                </w:tcPr>
                <w:p w14:paraId="4E0BE08D">
                  <w:pPr>
                    <w:widowControl/>
                    <w:jc w:val="center"/>
                    <w:rPr>
                      <w:rFonts w:cs="宋体"/>
                      <w:kern w:val="0"/>
                      <w:szCs w:val="20"/>
                    </w:rPr>
                  </w:pPr>
                  <w:r>
                    <w:rPr>
                      <w:rFonts w:cs="Calibri"/>
                      <w:kern w:val="0"/>
                      <w:szCs w:val="22"/>
                    </w:rPr>
                    <w:t>0.273</w:t>
                  </w:r>
                </w:p>
              </w:tc>
              <w:tc>
                <w:tcPr>
                  <w:tcW w:w="1000" w:type="pct"/>
                  <w:noWrap/>
                  <w:vAlign w:val="center"/>
                </w:tcPr>
                <w:p w14:paraId="38B27271">
                  <w:pPr>
                    <w:widowControl/>
                    <w:jc w:val="center"/>
                    <w:rPr>
                      <w:rFonts w:cs="宋体"/>
                      <w:kern w:val="0"/>
                      <w:szCs w:val="20"/>
                    </w:rPr>
                  </w:pPr>
                  <w:r>
                    <w:rPr>
                      <w:rFonts w:cs="Calibri"/>
                      <w:kern w:val="0"/>
                      <w:szCs w:val="22"/>
                    </w:rPr>
                    <w:t>1.0</w:t>
                  </w:r>
                </w:p>
              </w:tc>
              <w:tc>
                <w:tcPr>
                  <w:tcW w:w="1000" w:type="pct"/>
                  <w:noWrap/>
                  <w:vAlign w:val="center"/>
                </w:tcPr>
                <w:p w14:paraId="30DD1E23">
                  <w:pPr>
                    <w:widowControl/>
                    <w:jc w:val="center"/>
                    <w:rPr>
                      <w:rFonts w:cs="宋体"/>
                      <w:kern w:val="0"/>
                      <w:szCs w:val="20"/>
                    </w:rPr>
                  </w:pPr>
                  <w:r>
                    <w:rPr>
                      <w:rFonts w:cs="Calibri"/>
                      <w:kern w:val="0"/>
                      <w:szCs w:val="22"/>
                    </w:rPr>
                    <w:t>mg/m</w:t>
                  </w:r>
                  <w:r>
                    <w:rPr>
                      <w:rFonts w:cs="Calibri"/>
                      <w:kern w:val="0"/>
                      <w:szCs w:val="22"/>
                      <w:vertAlign w:val="superscript"/>
                    </w:rPr>
                    <w:t>3</w:t>
                  </w:r>
                </w:p>
              </w:tc>
            </w:tr>
            <w:tr w14:paraId="5CD39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1BFF422E">
                  <w:pPr>
                    <w:widowControl/>
                    <w:jc w:val="center"/>
                    <w:rPr>
                      <w:rFonts w:cs="宋体"/>
                      <w:kern w:val="0"/>
                      <w:szCs w:val="20"/>
                    </w:rPr>
                  </w:pPr>
                </w:p>
              </w:tc>
              <w:tc>
                <w:tcPr>
                  <w:tcW w:w="1000" w:type="pct"/>
                  <w:noWrap/>
                  <w:vAlign w:val="center"/>
                </w:tcPr>
                <w:p w14:paraId="2A9A91E3">
                  <w:pPr>
                    <w:widowControl/>
                    <w:jc w:val="center"/>
                    <w:rPr>
                      <w:rFonts w:cs="宋体"/>
                      <w:kern w:val="0"/>
                      <w:szCs w:val="20"/>
                    </w:rPr>
                  </w:pPr>
                  <w:r>
                    <w:rPr>
                      <w:rFonts w:cs="Calibri"/>
                      <w:kern w:val="0"/>
                      <w:szCs w:val="22"/>
                    </w:rPr>
                    <w:t>VOCs</w:t>
                  </w:r>
                </w:p>
              </w:tc>
              <w:tc>
                <w:tcPr>
                  <w:tcW w:w="1000" w:type="pct"/>
                  <w:noWrap/>
                  <w:vAlign w:val="center"/>
                </w:tcPr>
                <w:p w14:paraId="06DB8DA1">
                  <w:pPr>
                    <w:widowControl/>
                    <w:jc w:val="center"/>
                    <w:rPr>
                      <w:rFonts w:cs="宋体"/>
                      <w:kern w:val="0"/>
                      <w:szCs w:val="20"/>
                    </w:rPr>
                  </w:pPr>
                  <w:r>
                    <w:rPr>
                      <w:rFonts w:cs="Calibri"/>
                      <w:kern w:val="0"/>
                      <w:szCs w:val="22"/>
                    </w:rPr>
                    <w:t>0.310</w:t>
                  </w:r>
                </w:p>
              </w:tc>
              <w:tc>
                <w:tcPr>
                  <w:tcW w:w="1000" w:type="pct"/>
                  <w:noWrap/>
                  <w:vAlign w:val="center"/>
                </w:tcPr>
                <w:p w14:paraId="2FD51D00">
                  <w:pPr>
                    <w:widowControl/>
                    <w:jc w:val="center"/>
                    <w:rPr>
                      <w:rFonts w:cs="宋体"/>
                      <w:kern w:val="0"/>
                      <w:szCs w:val="20"/>
                    </w:rPr>
                  </w:pPr>
                  <w:r>
                    <w:rPr>
                      <w:rFonts w:cs="Calibri"/>
                      <w:kern w:val="0"/>
                      <w:szCs w:val="22"/>
                    </w:rPr>
                    <w:t>2.0</w:t>
                  </w:r>
                </w:p>
              </w:tc>
              <w:tc>
                <w:tcPr>
                  <w:tcW w:w="1000" w:type="pct"/>
                  <w:noWrap/>
                  <w:vAlign w:val="center"/>
                </w:tcPr>
                <w:p w14:paraId="1DC655BB">
                  <w:pPr>
                    <w:widowControl/>
                    <w:jc w:val="center"/>
                    <w:rPr>
                      <w:rFonts w:cs="宋体"/>
                      <w:kern w:val="0"/>
                      <w:szCs w:val="20"/>
                    </w:rPr>
                  </w:pPr>
                  <w:r>
                    <w:rPr>
                      <w:rFonts w:cs="Calibri"/>
                      <w:kern w:val="0"/>
                      <w:szCs w:val="22"/>
                    </w:rPr>
                    <w:t>mg/m</w:t>
                  </w:r>
                  <w:r>
                    <w:rPr>
                      <w:rFonts w:cs="Calibri"/>
                      <w:kern w:val="0"/>
                      <w:szCs w:val="22"/>
                      <w:vertAlign w:val="superscript"/>
                    </w:rPr>
                    <w:t>3</w:t>
                  </w:r>
                </w:p>
              </w:tc>
            </w:tr>
            <w:tr w14:paraId="0E7F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3CD77FD1">
                  <w:pPr>
                    <w:widowControl/>
                    <w:jc w:val="center"/>
                    <w:rPr>
                      <w:rFonts w:cs="宋体"/>
                      <w:kern w:val="0"/>
                      <w:szCs w:val="20"/>
                    </w:rPr>
                  </w:pPr>
                </w:p>
              </w:tc>
              <w:tc>
                <w:tcPr>
                  <w:tcW w:w="1000" w:type="pct"/>
                  <w:noWrap/>
                  <w:vAlign w:val="center"/>
                </w:tcPr>
                <w:p w14:paraId="324F4E51">
                  <w:pPr>
                    <w:widowControl/>
                    <w:jc w:val="center"/>
                    <w:rPr>
                      <w:rFonts w:cs="宋体"/>
                      <w:kern w:val="0"/>
                      <w:szCs w:val="20"/>
                    </w:rPr>
                  </w:pPr>
                  <w:r>
                    <w:rPr>
                      <w:rFonts w:cs="Calibri"/>
                      <w:kern w:val="0"/>
                      <w:szCs w:val="22"/>
                    </w:rPr>
                    <w:t>氨</w:t>
                  </w:r>
                </w:p>
              </w:tc>
              <w:tc>
                <w:tcPr>
                  <w:tcW w:w="1000" w:type="pct"/>
                  <w:noWrap/>
                  <w:vAlign w:val="center"/>
                </w:tcPr>
                <w:p w14:paraId="277C47A7">
                  <w:pPr>
                    <w:widowControl/>
                    <w:jc w:val="center"/>
                    <w:rPr>
                      <w:rFonts w:cs="宋体"/>
                      <w:kern w:val="0"/>
                      <w:szCs w:val="20"/>
                    </w:rPr>
                  </w:pPr>
                  <w:r>
                    <w:rPr>
                      <w:rFonts w:cs="Calibri"/>
                      <w:kern w:val="0"/>
                      <w:szCs w:val="22"/>
                    </w:rPr>
                    <w:t>0.13</w:t>
                  </w:r>
                </w:p>
              </w:tc>
              <w:tc>
                <w:tcPr>
                  <w:tcW w:w="1000" w:type="pct"/>
                  <w:noWrap/>
                  <w:vAlign w:val="center"/>
                </w:tcPr>
                <w:p w14:paraId="65D59D6B">
                  <w:pPr>
                    <w:widowControl/>
                    <w:jc w:val="center"/>
                    <w:rPr>
                      <w:rFonts w:cs="宋体"/>
                      <w:kern w:val="0"/>
                      <w:szCs w:val="20"/>
                    </w:rPr>
                  </w:pPr>
                  <w:r>
                    <w:rPr>
                      <w:rFonts w:cs="Calibri"/>
                      <w:kern w:val="0"/>
                      <w:szCs w:val="22"/>
                    </w:rPr>
                    <w:t>1.5</w:t>
                  </w:r>
                </w:p>
              </w:tc>
              <w:tc>
                <w:tcPr>
                  <w:tcW w:w="1000" w:type="pct"/>
                  <w:noWrap/>
                  <w:vAlign w:val="center"/>
                </w:tcPr>
                <w:p w14:paraId="4F050436">
                  <w:pPr>
                    <w:widowControl/>
                    <w:jc w:val="center"/>
                    <w:rPr>
                      <w:rFonts w:cs="宋体"/>
                      <w:kern w:val="0"/>
                      <w:szCs w:val="20"/>
                    </w:rPr>
                  </w:pPr>
                  <w:r>
                    <w:rPr>
                      <w:rFonts w:cs="Calibri"/>
                      <w:kern w:val="0"/>
                      <w:szCs w:val="22"/>
                    </w:rPr>
                    <w:t>mg/m</w:t>
                  </w:r>
                  <w:r>
                    <w:rPr>
                      <w:rFonts w:cs="Calibri"/>
                      <w:kern w:val="0"/>
                      <w:szCs w:val="22"/>
                      <w:vertAlign w:val="superscript"/>
                    </w:rPr>
                    <w:t>3</w:t>
                  </w:r>
                </w:p>
              </w:tc>
            </w:tr>
            <w:tr w14:paraId="3C1D6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49723F05">
                  <w:pPr>
                    <w:widowControl/>
                    <w:jc w:val="center"/>
                    <w:rPr>
                      <w:rFonts w:cs="宋体"/>
                      <w:kern w:val="0"/>
                      <w:szCs w:val="20"/>
                    </w:rPr>
                  </w:pPr>
                </w:p>
              </w:tc>
              <w:tc>
                <w:tcPr>
                  <w:tcW w:w="1000" w:type="pct"/>
                  <w:noWrap/>
                  <w:vAlign w:val="center"/>
                </w:tcPr>
                <w:p w14:paraId="3EE87876">
                  <w:pPr>
                    <w:widowControl/>
                    <w:jc w:val="center"/>
                    <w:rPr>
                      <w:rFonts w:cs="宋体"/>
                      <w:kern w:val="0"/>
                      <w:szCs w:val="20"/>
                    </w:rPr>
                  </w:pPr>
                  <w:r>
                    <w:rPr>
                      <w:rFonts w:cs="Calibri"/>
                      <w:kern w:val="0"/>
                      <w:szCs w:val="22"/>
                    </w:rPr>
                    <w:t>硫化氢</w:t>
                  </w:r>
                </w:p>
              </w:tc>
              <w:tc>
                <w:tcPr>
                  <w:tcW w:w="1000" w:type="pct"/>
                  <w:noWrap/>
                  <w:vAlign w:val="center"/>
                </w:tcPr>
                <w:p w14:paraId="776211F1">
                  <w:pPr>
                    <w:widowControl/>
                    <w:jc w:val="center"/>
                    <w:rPr>
                      <w:rFonts w:cs="宋体"/>
                      <w:kern w:val="0"/>
                      <w:szCs w:val="20"/>
                    </w:rPr>
                  </w:pPr>
                  <w:r>
                    <w:rPr>
                      <w:rFonts w:cs="Calibri"/>
                      <w:kern w:val="0"/>
                      <w:szCs w:val="22"/>
                    </w:rPr>
                    <w:t>ND</w:t>
                  </w:r>
                </w:p>
              </w:tc>
              <w:tc>
                <w:tcPr>
                  <w:tcW w:w="1000" w:type="pct"/>
                  <w:noWrap/>
                  <w:vAlign w:val="center"/>
                </w:tcPr>
                <w:p w14:paraId="08574AE8">
                  <w:pPr>
                    <w:widowControl/>
                    <w:jc w:val="center"/>
                    <w:rPr>
                      <w:rFonts w:cs="宋体"/>
                      <w:kern w:val="0"/>
                      <w:szCs w:val="20"/>
                    </w:rPr>
                  </w:pPr>
                  <w:r>
                    <w:rPr>
                      <w:rFonts w:cs="Calibri"/>
                      <w:kern w:val="0"/>
                      <w:szCs w:val="22"/>
                    </w:rPr>
                    <w:t>0.06</w:t>
                  </w:r>
                </w:p>
              </w:tc>
              <w:tc>
                <w:tcPr>
                  <w:tcW w:w="1000" w:type="pct"/>
                  <w:noWrap/>
                  <w:vAlign w:val="center"/>
                </w:tcPr>
                <w:p w14:paraId="17E15F9B">
                  <w:pPr>
                    <w:widowControl/>
                    <w:jc w:val="center"/>
                    <w:rPr>
                      <w:rFonts w:cs="宋体"/>
                      <w:kern w:val="0"/>
                      <w:szCs w:val="20"/>
                    </w:rPr>
                  </w:pPr>
                  <w:r>
                    <w:rPr>
                      <w:rFonts w:cs="Calibri"/>
                      <w:kern w:val="0"/>
                      <w:szCs w:val="22"/>
                    </w:rPr>
                    <w:t>mg/m</w:t>
                  </w:r>
                  <w:r>
                    <w:rPr>
                      <w:rFonts w:cs="Calibri"/>
                      <w:kern w:val="0"/>
                      <w:szCs w:val="22"/>
                      <w:vertAlign w:val="superscript"/>
                    </w:rPr>
                    <w:t>3</w:t>
                  </w:r>
                </w:p>
              </w:tc>
            </w:tr>
            <w:tr w14:paraId="1A2C8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503A83AA">
                  <w:pPr>
                    <w:widowControl/>
                    <w:jc w:val="center"/>
                    <w:rPr>
                      <w:rFonts w:cs="宋体"/>
                      <w:kern w:val="0"/>
                      <w:szCs w:val="20"/>
                    </w:rPr>
                  </w:pPr>
                </w:p>
              </w:tc>
              <w:tc>
                <w:tcPr>
                  <w:tcW w:w="1000" w:type="pct"/>
                  <w:noWrap/>
                  <w:vAlign w:val="center"/>
                </w:tcPr>
                <w:p w14:paraId="6FD9FC34">
                  <w:pPr>
                    <w:widowControl/>
                    <w:jc w:val="center"/>
                    <w:rPr>
                      <w:rFonts w:cs="宋体"/>
                      <w:kern w:val="0"/>
                      <w:szCs w:val="20"/>
                    </w:rPr>
                  </w:pPr>
                  <w:r>
                    <w:rPr>
                      <w:rFonts w:cs="Calibri"/>
                      <w:kern w:val="0"/>
                      <w:szCs w:val="22"/>
                    </w:rPr>
                    <w:t>臭气浓度</w:t>
                  </w:r>
                </w:p>
              </w:tc>
              <w:tc>
                <w:tcPr>
                  <w:tcW w:w="1000" w:type="pct"/>
                  <w:noWrap/>
                  <w:vAlign w:val="center"/>
                </w:tcPr>
                <w:p w14:paraId="18AD42DD">
                  <w:pPr>
                    <w:widowControl/>
                    <w:jc w:val="center"/>
                    <w:rPr>
                      <w:rFonts w:cs="宋体"/>
                      <w:kern w:val="0"/>
                      <w:szCs w:val="20"/>
                    </w:rPr>
                  </w:pPr>
                  <w:r>
                    <w:rPr>
                      <w:rFonts w:cs="Calibri"/>
                      <w:kern w:val="0"/>
                      <w:szCs w:val="22"/>
                    </w:rPr>
                    <w:t>&lt;10(最大值)</w:t>
                  </w:r>
                </w:p>
              </w:tc>
              <w:tc>
                <w:tcPr>
                  <w:tcW w:w="1000" w:type="pct"/>
                  <w:noWrap/>
                  <w:vAlign w:val="center"/>
                </w:tcPr>
                <w:p w14:paraId="49EAE862">
                  <w:pPr>
                    <w:widowControl/>
                    <w:jc w:val="center"/>
                    <w:rPr>
                      <w:rFonts w:cs="宋体"/>
                      <w:kern w:val="0"/>
                      <w:szCs w:val="20"/>
                    </w:rPr>
                  </w:pPr>
                  <w:r>
                    <w:rPr>
                      <w:rFonts w:cs="Calibri"/>
                      <w:kern w:val="0"/>
                      <w:szCs w:val="22"/>
                    </w:rPr>
                    <w:t>20</w:t>
                  </w:r>
                </w:p>
              </w:tc>
              <w:tc>
                <w:tcPr>
                  <w:tcW w:w="1000" w:type="pct"/>
                  <w:noWrap/>
                  <w:vAlign w:val="center"/>
                </w:tcPr>
                <w:p w14:paraId="53E1D81C">
                  <w:pPr>
                    <w:widowControl/>
                    <w:jc w:val="center"/>
                    <w:rPr>
                      <w:rFonts w:cs="宋体"/>
                      <w:kern w:val="0"/>
                      <w:szCs w:val="20"/>
                    </w:rPr>
                  </w:pPr>
                  <w:r>
                    <w:rPr>
                      <w:rFonts w:cs="Calibri"/>
                      <w:kern w:val="0"/>
                      <w:szCs w:val="22"/>
                    </w:rPr>
                    <w:t>无量纲</w:t>
                  </w:r>
                </w:p>
              </w:tc>
            </w:tr>
            <w:tr w14:paraId="550B5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restart"/>
                  <w:noWrap/>
                  <w:vAlign w:val="center"/>
                </w:tcPr>
                <w:p w14:paraId="388C3BDE">
                  <w:pPr>
                    <w:widowControl/>
                    <w:jc w:val="center"/>
                    <w:rPr>
                      <w:rFonts w:cs="宋体"/>
                      <w:kern w:val="0"/>
                      <w:szCs w:val="20"/>
                    </w:rPr>
                  </w:pPr>
                  <w:r>
                    <w:rPr>
                      <w:rFonts w:cs="Calibri"/>
                      <w:kern w:val="0"/>
                      <w:szCs w:val="22"/>
                    </w:rPr>
                    <w:t>下风向3#</w:t>
                  </w:r>
                </w:p>
              </w:tc>
              <w:tc>
                <w:tcPr>
                  <w:tcW w:w="1000" w:type="pct"/>
                  <w:noWrap/>
                  <w:vAlign w:val="center"/>
                </w:tcPr>
                <w:p w14:paraId="76E17CDA">
                  <w:pPr>
                    <w:widowControl/>
                    <w:jc w:val="center"/>
                    <w:rPr>
                      <w:rFonts w:cs="宋体"/>
                      <w:kern w:val="0"/>
                      <w:szCs w:val="20"/>
                    </w:rPr>
                  </w:pPr>
                  <w:r>
                    <w:rPr>
                      <w:rFonts w:cs="Calibri"/>
                      <w:kern w:val="0"/>
                      <w:szCs w:val="22"/>
                    </w:rPr>
                    <w:t>总悬浮颗粒物</w:t>
                  </w:r>
                </w:p>
              </w:tc>
              <w:tc>
                <w:tcPr>
                  <w:tcW w:w="1000" w:type="pct"/>
                  <w:noWrap/>
                  <w:vAlign w:val="center"/>
                </w:tcPr>
                <w:p w14:paraId="437FA2CB">
                  <w:pPr>
                    <w:widowControl/>
                    <w:jc w:val="center"/>
                    <w:rPr>
                      <w:rFonts w:cs="宋体"/>
                      <w:kern w:val="0"/>
                      <w:szCs w:val="20"/>
                    </w:rPr>
                  </w:pPr>
                  <w:r>
                    <w:rPr>
                      <w:rFonts w:cs="Calibri"/>
                      <w:kern w:val="0"/>
                      <w:szCs w:val="22"/>
                    </w:rPr>
                    <w:t>0.271</w:t>
                  </w:r>
                </w:p>
              </w:tc>
              <w:tc>
                <w:tcPr>
                  <w:tcW w:w="1000" w:type="pct"/>
                  <w:noWrap/>
                  <w:vAlign w:val="center"/>
                </w:tcPr>
                <w:p w14:paraId="1295194B">
                  <w:pPr>
                    <w:widowControl/>
                    <w:jc w:val="center"/>
                    <w:rPr>
                      <w:rFonts w:cs="宋体"/>
                      <w:kern w:val="0"/>
                      <w:szCs w:val="20"/>
                    </w:rPr>
                  </w:pPr>
                  <w:r>
                    <w:rPr>
                      <w:rFonts w:cs="Calibri"/>
                      <w:kern w:val="0"/>
                      <w:szCs w:val="22"/>
                    </w:rPr>
                    <w:t>1.0</w:t>
                  </w:r>
                </w:p>
              </w:tc>
              <w:tc>
                <w:tcPr>
                  <w:tcW w:w="1000" w:type="pct"/>
                  <w:noWrap/>
                  <w:vAlign w:val="center"/>
                </w:tcPr>
                <w:p w14:paraId="7CF81A06">
                  <w:pPr>
                    <w:widowControl/>
                    <w:jc w:val="center"/>
                    <w:rPr>
                      <w:rFonts w:cs="宋体"/>
                      <w:kern w:val="0"/>
                      <w:szCs w:val="20"/>
                    </w:rPr>
                  </w:pPr>
                  <w:r>
                    <w:rPr>
                      <w:rFonts w:cs="Calibri"/>
                      <w:kern w:val="0"/>
                      <w:szCs w:val="22"/>
                    </w:rPr>
                    <w:t>mg/m</w:t>
                  </w:r>
                  <w:r>
                    <w:rPr>
                      <w:rFonts w:cs="Calibri"/>
                      <w:kern w:val="0"/>
                      <w:szCs w:val="22"/>
                      <w:vertAlign w:val="superscript"/>
                    </w:rPr>
                    <w:t>3</w:t>
                  </w:r>
                </w:p>
              </w:tc>
            </w:tr>
            <w:tr w14:paraId="4DD17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2F5BB893">
                  <w:pPr>
                    <w:widowControl/>
                    <w:jc w:val="center"/>
                    <w:rPr>
                      <w:rFonts w:cs="宋体"/>
                      <w:kern w:val="0"/>
                      <w:szCs w:val="20"/>
                    </w:rPr>
                  </w:pPr>
                </w:p>
              </w:tc>
              <w:tc>
                <w:tcPr>
                  <w:tcW w:w="1000" w:type="pct"/>
                  <w:noWrap/>
                  <w:vAlign w:val="center"/>
                </w:tcPr>
                <w:p w14:paraId="6CC4A708">
                  <w:pPr>
                    <w:widowControl/>
                    <w:jc w:val="center"/>
                    <w:rPr>
                      <w:rFonts w:cs="宋体"/>
                      <w:kern w:val="0"/>
                      <w:szCs w:val="20"/>
                    </w:rPr>
                  </w:pPr>
                  <w:r>
                    <w:rPr>
                      <w:rFonts w:cs="Calibri"/>
                      <w:kern w:val="0"/>
                      <w:szCs w:val="22"/>
                    </w:rPr>
                    <w:t>VOCs</w:t>
                  </w:r>
                </w:p>
              </w:tc>
              <w:tc>
                <w:tcPr>
                  <w:tcW w:w="1000" w:type="pct"/>
                  <w:noWrap/>
                  <w:vAlign w:val="center"/>
                </w:tcPr>
                <w:p w14:paraId="4F48D09F">
                  <w:pPr>
                    <w:widowControl/>
                    <w:jc w:val="center"/>
                    <w:rPr>
                      <w:rFonts w:cs="宋体"/>
                      <w:kern w:val="0"/>
                      <w:szCs w:val="20"/>
                    </w:rPr>
                  </w:pPr>
                  <w:r>
                    <w:rPr>
                      <w:rFonts w:cs="Calibri"/>
                      <w:kern w:val="0"/>
                      <w:szCs w:val="22"/>
                    </w:rPr>
                    <w:t>0.055</w:t>
                  </w:r>
                </w:p>
              </w:tc>
              <w:tc>
                <w:tcPr>
                  <w:tcW w:w="1000" w:type="pct"/>
                  <w:noWrap/>
                  <w:vAlign w:val="center"/>
                </w:tcPr>
                <w:p w14:paraId="37784133">
                  <w:pPr>
                    <w:widowControl/>
                    <w:jc w:val="center"/>
                    <w:rPr>
                      <w:rFonts w:cs="宋体"/>
                      <w:kern w:val="0"/>
                      <w:szCs w:val="20"/>
                    </w:rPr>
                  </w:pPr>
                  <w:r>
                    <w:rPr>
                      <w:rFonts w:cs="Calibri"/>
                      <w:kern w:val="0"/>
                      <w:szCs w:val="22"/>
                    </w:rPr>
                    <w:t>2.0</w:t>
                  </w:r>
                </w:p>
              </w:tc>
              <w:tc>
                <w:tcPr>
                  <w:tcW w:w="1000" w:type="pct"/>
                  <w:noWrap/>
                  <w:vAlign w:val="center"/>
                </w:tcPr>
                <w:p w14:paraId="1B6A0869">
                  <w:pPr>
                    <w:widowControl/>
                    <w:jc w:val="center"/>
                    <w:rPr>
                      <w:rFonts w:cs="宋体"/>
                      <w:kern w:val="0"/>
                      <w:szCs w:val="20"/>
                    </w:rPr>
                  </w:pPr>
                  <w:r>
                    <w:rPr>
                      <w:rFonts w:cs="Calibri"/>
                      <w:kern w:val="0"/>
                      <w:szCs w:val="22"/>
                    </w:rPr>
                    <w:t>mg/m</w:t>
                  </w:r>
                  <w:r>
                    <w:rPr>
                      <w:rFonts w:cs="Calibri"/>
                      <w:kern w:val="0"/>
                      <w:szCs w:val="22"/>
                      <w:vertAlign w:val="superscript"/>
                    </w:rPr>
                    <w:t>3</w:t>
                  </w:r>
                </w:p>
              </w:tc>
            </w:tr>
            <w:tr w14:paraId="582B4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77E3C956">
                  <w:pPr>
                    <w:widowControl/>
                    <w:jc w:val="center"/>
                    <w:rPr>
                      <w:rFonts w:cs="宋体"/>
                      <w:kern w:val="0"/>
                      <w:szCs w:val="20"/>
                    </w:rPr>
                  </w:pPr>
                </w:p>
              </w:tc>
              <w:tc>
                <w:tcPr>
                  <w:tcW w:w="1000" w:type="pct"/>
                  <w:noWrap/>
                  <w:vAlign w:val="center"/>
                </w:tcPr>
                <w:p w14:paraId="78AFF122">
                  <w:pPr>
                    <w:widowControl/>
                    <w:jc w:val="center"/>
                    <w:rPr>
                      <w:rFonts w:cs="宋体"/>
                      <w:kern w:val="0"/>
                      <w:szCs w:val="20"/>
                    </w:rPr>
                  </w:pPr>
                  <w:r>
                    <w:rPr>
                      <w:rFonts w:cs="Calibri"/>
                      <w:kern w:val="0"/>
                      <w:szCs w:val="22"/>
                    </w:rPr>
                    <w:t>氨</w:t>
                  </w:r>
                </w:p>
              </w:tc>
              <w:tc>
                <w:tcPr>
                  <w:tcW w:w="1000" w:type="pct"/>
                  <w:noWrap/>
                  <w:vAlign w:val="center"/>
                </w:tcPr>
                <w:p w14:paraId="10C2A02A">
                  <w:pPr>
                    <w:widowControl/>
                    <w:jc w:val="center"/>
                    <w:rPr>
                      <w:rFonts w:cs="宋体"/>
                      <w:kern w:val="0"/>
                      <w:szCs w:val="20"/>
                    </w:rPr>
                  </w:pPr>
                  <w:r>
                    <w:rPr>
                      <w:rFonts w:cs="Calibri"/>
                      <w:kern w:val="0"/>
                      <w:szCs w:val="22"/>
                    </w:rPr>
                    <w:t>0.15</w:t>
                  </w:r>
                </w:p>
              </w:tc>
              <w:tc>
                <w:tcPr>
                  <w:tcW w:w="1000" w:type="pct"/>
                  <w:noWrap/>
                  <w:vAlign w:val="center"/>
                </w:tcPr>
                <w:p w14:paraId="158713A6">
                  <w:pPr>
                    <w:widowControl/>
                    <w:jc w:val="center"/>
                    <w:rPr>
                      <w:rFonts w:cs="宋体"/>
                      <w:kern w:val="0"/>
                      <w:szCs w:val="20"/>
                    </w:rPr>
                  </w:pPr>
                  <w:r>
                    <w:rPr>
                      <w:rFonts w:cs="Calibri"/>
                      <w:kern w:val="0"/>
                      <w:szCs w:val="22"/>
                    </w:rPr>
                    <w:t>1.5</w:t>
                  </w:r>
                </w:p>
              </w:tc>
              <w:tc>
                <w:tcPr>
                  <w:tcW w:w="1000" w:type="pct"/>
                  <w:noWrap/>
                  <w:vAlign w:val="center"/>
                </w:tcPr>
                <w:p w14:paraId="7A09771B">
                  <w:pPr>
                    <w:widowControl/>
                    <w:jc w:val="center"/>
                    <w:rPr>
                      <w:rFonts w:cs="宋体"/>
                      <w:kern w:val="0"/>
                      <w:szCs w:val="20"/>
                    </w:rPr>
                  </w:pPr>
                  <w:r>
                    <w:rPr>
                      <w:rFonts w:cs="Calibri"/>
                      <w:kern w:val="0"/>
                      <w:szCs w:val="22"/>
                    </w:rPr>
                    <w:t>mg/m</w:t>
                  </w:r>
                  <w:r>
                    <w:rPr>
                      <w:rFonts w:cs="Calibri"/>
                      <w:kern w:val="0"/>
                      <w:szCs w:val="22"/>
                      <w:vertAlign w:val="superscript"/>
                    </w:rPr>
                    <w:t>3</w:t>
                  </w:r>
                </w:p>
              </w:tc>
            </w:tr>
            <w:tr w14:paraId="2001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0EA95757">
                  <w:pPr>
                    <w:widowControl/>
                    <w:jc w:val="center"/>
                    <w:rPr>
                      <w:rFonts w:cs="宋体"/>
                      <w:kern w:val="0"/>
                      <w:szCs w:val="20"/>
                    </w:rPr>
                  </w:pPr>
                </w:p>
              </w:tc>
              <w:tc>
                <w:tcPr>
                  <w:tcW w:w="1000" w:type="pct"/>
                  <w:noWrap/>
                  <w:vAlign w:val="center"/>
                </w:tcPr>
                <w:p w14:paraId="11886772">
                  <w:pPr>
                    <w:widowControl/>
                    <w:jc w:val="center"/>
                    <w:rPr>
                      <w:rFonts w:cs="宋体"/>
                      <w:kern w:val="0"/>
                      <w:szCs w:val="20"/>
                    </w:rPr>
                  </w:pPr>
                  <w:r>
                    <w:rPr>
                      <w:rFonts w:cs="Calibri"/>
                      <w:kern w:val="0"/>
                      <w:szCs w:val="22"/>
                    </w:rPr>
                    <w:t>硫化氢</w:t>
                  </w:r>
                </w:p>
              </w:tc>
              <w:tc>
                <w:tcPr>
                  <w:tcW w:w="1000" w:type="pct"/>
                  <w:noWrap/>
                  <w:vAlign w:val="center"/>
                </w:tcPr>
                <w:p w14:paraId="38F534CA">
                  <w:pPr>
                    <w:widowControl/>
                    <w:jc w:val="center"/>
                    <w:rPr>
                      <w:rFonts w:cs="宋体"/>
                      <w:kern w:val="0"/>
                      <w:szCs w:val="20"/>
                    </w:rPr>
                  </w:pPr>
                  <w:r>
                    <w:rPr>
                      <w:rFonts w:cs="Calibri"/>
                      <w:kern w:val="0"/>
                      <w:szCs w:val="22"/>
                    </w:rPr>
                    <w:t>ND</w:t>
                  </w:r>
                </w:p>
              </w:tc>
              <w:tc>
                <w:tcPr>
                  <w:tcW w:w="1000" w:type="pct"/>
                  <w:noWrap/>
                  <w:vAlign w:val="center"/>
                </w:tcPr>
                <w:p w14:paraId="31F701F3">
                  <w:pPr>
                    <w:widowControl/>
                    <w:jc w:val="center"/>
                    <w:rPr>
                      <w:rFonts w:cs="宋体"/>
                      <w:kern w:val="0"/>
                      <w:szCs w:val="20"/>
                    </w:rPr>
                  </w:pPr>
                  <w:r>
                    <w:rPr>
                      <w:rFonts w:cs="Calibri"/>
                      <w:kern w:val="0"/>
                      <w:szCs w:val="22"/>
                    </w:rPr>
                    <w:t>0.06</w:t>
                  </w:r>
                </w:p>
              </w:tc>
              <w:tc>
                <w:tcPr>
                  <w:tcW w:w="1000" w:type="pct"/>
                  <w:noWrap/>
                  <w:vAlign w:val="center"/>
                </w:tcPr>
                <w:p w14:paraId="6C129593">
                  <w:pPr>
                    <w:widowControl/>
                    <w:jc w:val="center"/>
                    <w:rPr>
                      <w:rFonts w:cs="宋体"/>
                      <w:kern w:val="0"/>
                      <w:szCs w:val="20"/>
                    </w:rPr>
                  </w:pPr>
                  <w:r>
                    <w:rPr>
                      <w:rFonts w:cs="Calibri"/>
                      <w:kern w:val="0"/>
                      <w:szCs w:val="22"/>
                    </w:rPr>
                    <w:t>mg/m</w:t>
                  </w:r>
                  <w:r>
                    <w:rPr>
                      <w:rFonts w:cs="Calibri"/>
                      <w:kern w:val="0"/>
                      <w:szCs w:val="22"/>
                      <w:vertAlign w:val="superscript"/>
                    </w:rPr>
                    <w:t>3</w:t>
                  </w:r>
                </w:p>
              </w:tc>
            </w:tr>
            <w:tr w14:paraId="2CC1A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666E8044">
                  <w:pPr>
                    <w:widowControl/>
                    <w:jc w:val="center"/>
                    <w:rPr>
                      <w:rFonts w:cs="宋体"/>
                      <w:kern w:val="0"/>
                      <w:szCs w:val="20"/>
                    </w:rPr>
                  </w:pPr>
                </w:p>
              </w:tc>
              <w:tc>
                <w:tcPr>
                  <w:tcW w:w="1000" w:type="pct"/>
                  <w:noWrap/>
                  <w:vAlign w:val="center"/>
                </w:tcPr>
                <w:p w14:paraId="383B91F6">
                  <w:pPr>
                    <w:widowControl/>
                    <w:jc w:val="center"/>
                    <w:rPr>
                      <w:rFonts w:cs="宋体"/>
                      <w:kern w:val="0"/>
                      <w:szCs w:val="20"/>
                    </w:rPr>
                  </w:pPr>
                  <w:r>
                    <w:rPr>
                      <w:rFonts w:cs="Calibri"/>
                      <w:kern w:val="0"/>
                      <w:szCs w:val="22"/>
                    </w:rPr>
                    <w:t>臭气浓度</w:t>
                  </w:r>
                </w:p>
              </w:tc>
              <w:tc>
                <w:tcPr>
                  <w:tcW w:w="1000" w:type="pct"/>
                  <w:noWrap/>
                  <w:vAlign w:val="center"/>
                </w:tcPr>
                <w:p w14:paraId="605B5B5D">
                  <w:pPr>
                    <w:widowControl/>
                    <w:jc w:val="center"/>
                    <w:rPr>
                      <w:rFonts w:cs="宋体"/>
                      <w:kern w:val="0"/>
                      <w:szCs w:val="20"/>
                    </w:rPr>
                  </w:pPr>
                  <w:r>
                    <w:rPr>
                      <w:rFonts w:cs="Calibri"/>
                      <w:kern w:val="0"/>
                      <w:szCs w:val="22"/>
                    </w:rPr>
                    <w:t>&lt;10(最大值)</w:t>
                  </w:r>
                </w:p>
              </w:tc>
              <w:tc>
                <w:tcPr>
                  <w:tcW w:w="1000" w:type="pct"/>
                  <w:noWrap/>
                  <w:vAlign w:val="center"/>
                </w:tcPr>
                <w:p w14:paraId="2BCCE630">
                  <w:pPr>
                    <w:widowControl/>
                    <w:jc w:val="center"/>
                    <w:rPr>
                      <w:rFonts w:cs="宋体"/>
                      <w:kern w:val="0"/>
                      <w:szCs w:val="20"/>
                    </w:rPr>
                  </w:pPr>
                  <w:r>
                    <w:rPr>
                      <w:rFonts w:cs="Calibri"/>
                      <w:kern w:val="0"/>
                      <w:szCs w:val="22"/>
                    </w:rPr>
                    <w:t>20</w:t>
                  </w:r>
                </w:p>
              </w:tc>
              <w:tc>
                <w:tcPr>
                  <w:tcW w:w="1000" w:type="pct"/>
                  <w:noWrap/>
                  <w:vAlign w:val="center"/>
                </w:tcPr>
                <w:p w14:paraId="6EA78C63">
                  <w:pPr>
                    <w:widowControl/>
                    <w:jc w:val="center"/>
                    <w:rPr>
                      <w:rFonts w:cs="宋体"/>
                      <w:kern w:val="0"/>
                      <w:szCs w:val="20"/>
                    </w:rPr>
                  </w:pPr>
                  <w:r>
                    <w:rPr>
                      <w:rFonts w:cs="Calibri"/>
                      <w:kern w:val="0"/>
                      <w:szCs w:val="22"/>
                    </w:rPr>
                    <w:t>无量纲</w:t>
                  </w:r>
                </w:p>
              </w:tc>
            </w:tr>
            <w:tr w14:paraId="54B0F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restart"/>
                  <w:noWrap/>
                  <w:vAlign w:val="center"/>
                </w:tcPr>
                <w:p w14:paraId="43039919">
                  <w:pPr>
                    <w:widowControl/>
                    <w:jc w:val="center"/>
                    <w:rPr>
                      <w:rFonts w:cs="宋体"/>
                      <w:kern w:val="0"/>
                      <w:szCs w:val="20"/>
                    </w:rPr>
                  </w:pPr>
                  <w:r>
                    <w:rPr>
                      <w:rFonts w:cs="Calibri"/>
                      <w:kern w:val="0"/>
                      <w:szCs w:val="22"/>
                    </w:rPr>
                    <w:t>下风向4#</w:t>
                  </w:r>
                </w:p>
              </w:tc>
              <w:tc>
                <w:tcPr>
                  <w:tcW w:w="1000" w:type="pct"/>
                  <w:noWrap/>
                  <w:vAlign w:val="center"/>
                </w:tcPr>
                <w:p w14:paraId="7C152141">
                  <w:pPr>
                    <w:widowControl/>
                    <w:jc w:val="center"/>
                    <w:rPr>
                      <w:rFonts w:cs="宋体"/>
                      <w:kern w:val="0"/>
                      <w:szCs w:val="20"/>
                    </w:rPr>
                  </w:pPr>
                  <w:r>
                    <w:rPr>
                      <w:rFonts w:cs="Calibri"/>
                      <w:kern w:val="0"/>
                      <w:szCs w:val="22"/>
                    </w:rPr>
                    <w:t>总悬浮颗粒物</w:t>
                  </w:r>
                </w:p>
              </w:tc>
              <w:tc>
                <w:tcPr>
                  <w:tcW w:w="1000" w:type="pct"/>
                  <w:noWrap/>
                  <w:vAlign w:val="center"/>
                </w:tcPr>
                <w:p w14:paraId="51A9BE43">
                  <w:pPr>
                    <w:widowControl/>
                    <w:jc w:val="center"/>
                    <w:rPr>
                      <w:rFonts w:cs="宋体"/>
                      <w:kern w:val="0"/>
                      <w:szCs w:val="20"/>
                    </w:rPr>
                  </w:pPr>
                  <w:r>
                    <w:rPr>
                      <w:rFonts w:cs="Calibri"/>
                      <w:kern w:val="0"/>
                      <w:szCs w:val="22"/>
                    </w:rPr>
                    <w:t>0.277</w:t>
                  </w:r>
                </w:p>
              </w:tc>
              <w:tc>
                <w:tcPr>
                  <w:tcW w:w="1000" w:type="pct"/>
                  <w:noWrap/>
                  <w:vAlign w:val="center"/>
                </w:tcPr>
                <w:p w14:paraId="77F4EFB8">
                  <w:pPr>
                    <w:widowControl/>
                    <w:jc w:val="center"/>
                    <w:rPr>
                      <w:rFonts w:cs="宋体"/>
                      <w:kern w:val="0"/>
                      <w:szCs w:val="20"/>
                    </w:rPr>
                  </w:pPr>
                  <w:r>
                    <w:rPr>
                      <w:rFonts w:cs="Calibri"/>
                      <w:kern w:val="0"/>
                      <w:szCs w:val="22"/>
                    </w:rPr>
                    <w:t>1.0</w:t>
                  </w:r>
                </w:p>
              </w:tc>
              <w:tc>
                <w:tcPr>
                  <w:tcW w:w="1000" w:type="pct"/>
                  <w:noWrap/>
                  <w:vAlign w:val="center"/>
                </w:tcPr>
                <w:p w14:paraId="0A9D6ED1">
                  <w:pPr>
                    <w:widowControl/>
                    <w:jc w:val="center"/>
                    <w:rPr>
                      <w:rFonts w:cs="宋体"/>
                      <w:kern w:val="0"/>
                      <w:szCs w:val="20"/>
                    </w:rPr>
                  </w:pPr>
                  <w:r>
                    <w:rPr>
                      <w:rFonts w:cs="Calibri"/>
                      <w:kern w:val="0"/>
                      <w:szCs w:val="22"/>
                    </w:rPr>
                    <w:t>mg/m</w:t>
                  </w:r>
                  <w:r>
                    <w:rPr>
                      <w:rFonts w:cs="Calibri"/>
                      <w:kern w:val="0"/>
                      <w:szCs w:val="22"/>
                      <w:vertAlign w:val="superscript"/>
                    </w:rPr>
                    <w:t>3</w:t>
                  </w:r>
                </w:p>
              </w:tc>
            </w:tr>
            <w:tr w14:paraId="0B814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24E2ED81">
                  <w:pPr>
                    <w:widowControl/>
                    <w:jc w:val="center"/>
                    <w:rPr>
                      <w:rFonts w:cs="宋体"/>
                      <w:kern w:val="0"/>
                      <w:szCs w:val="20"/>
                    </w:rPr>
                  </w:pPr>
                </w:p>
              </w:tc>
              <w:tc>
                <w:tcPr>
                  <w:tcW w:w="1000" w:type="pct"/>
                  <w:noWrap/>
                  <w:vAlign w:val="center"/>
                </w:tcPr>
                <w:p w14:paraId="30BE418F">
                  <w:pPr>
                    <w:widowControl/>
                    <w:jc w:val="center"/>
                    <w:rPr>
                      <w:rFonts w:cs="宋体"/>
                      <w:kern w:val="0"/>
                      <w:szCs w:val="20"/>
                    </w:rPr>
                  </w:pPr>
                  <w:r>
                    <w:rPr>
                      <w:rFonts w:cs="Calibri"/>
                      <w:kern w:val="0"/>
                      <w:szCs w:val="22"/>
                    </w:rPr>
                    <w:t>VOCs</w:t>
                  </w:r>
                </w:p>
              </w:tc>
              <w:tc>
                <w:tcPr>
                  <w:tcW w:w="1000" w:type="pct"/>
                  <w:noWrap/>
                  <w:vAlign w:val="center"/>
                </w:tcPr>
                <w:p w14:paraId="0DE5E0AC">
                  <w:pPr>
                    <w:widowControl/>
                    <w:jc w:val="center"/>
                    <w:rPr>
                      <w:rFonts w:cs="宋体"/>
                      <w:kern w:val="0"/>
                      <w:szCs w:val="20"/>
                    </w:rPr>
                  </w:pPr>
                  <w:r>
                    <w:rPr>
                      <w:rFonts w:cs="Calibri"/>
                      <w:kern w:val="0"/>
                      <w:szCs w:val="22"/>
                    </w:rPr>
                    <w:t>0.202</w:t>
                  </w:r>
                </w:p>
              </w:tc>
              <w:tc>
                <w:tcPr>
                  <w:tcW w:w="1000" w:type="pct"/>
                  <w:noWrap/>
                  <w:vAlign w:val="center"/>
                </w:tcPr>
                <w:p w14:paraId="46E8D22B">
                  <w:pPr>
                    <w:widowControl/>
                    <w:jc w:val="center"/>
                    <w:rPr>
                      <w:rFonts w:cs="宋体"/>
                      <w:kern w:val="0"/>
                      <w:szCs w:val="20"/>
                    </w:rPr>
                  </w:pPr>
                  <w:r>
                    <w:rPr>
                      <w:rFonts w:cs="Calibri"/>
                      <w:kern w:val="0"/>
                      <w:szCs w:val="22"/>
                    </w:rPr>
                    <w:t>2.0</w:t>
                  </w:r>
                </w:p>
              </w:tc>
              <w:tc>
                <w:tcPr>
                  <w:tcW w:w="1000" w:type="pct"/>
                  <w:noWrap/>
                  <w:vAlign w:val="center"/>
                </w:tcPr>
                <w:p w14:paraId="6CD3917D">
                  <w:pPr>
                    <w:widowControl/>
                    <w:jc w:val="center"/>
                    <w:rPr>
                      <w:rFonts w:cs="宋体"/>
                      <w:kern w:val="0"/>
                      <w:szCs w:val="20"/>
                    </w:rPr>
                  </w:pPr>
                  <w:r>
                    <w:rPr>
                      <w:rFonts w:cs="Calibri"/>
                      <w:kern w:val="0"/>
                      <w:szCs w:val="22"/>
                    </w:rPr>
                    <w:t>mg/m</w:t>
                  </w:r>
                  <w:r>
                    <w:rPr>
                      <w:rFonts w:cs="Calibri"/>
                      <w:kern w:val="0"/>
                      <w:szCs w:val="22"/>
                      <w:vertAlign w:val="superscript"/>
                    </w:rPr>
                    <w:t>3</w:t>
                  </w:r>
                </w:p>
              </w:tc>
            </w:tr>
            <w:tr w14:paraId="71925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79C31864">
                  <w:pPr>
                    <w:widowControl/>
                    <w:jc w:val="center"/>
                    <w:rPr>
                      <w:rFonts w:cs="宋体"/>
                      <w:kern w:val="0"/>
                      <w:szCs w:val="20"/>
                    </w:rPr>
                  </w:pPr>
                </w:p>
              </w:tc>
              <w:tc>
                <w:tcPr>
                  <w:tcW w:w="1000" w:type="pct"/>
                  <w:noWrap/>
                  <w:vAlign w:val="center"/>
                </w:tcPr>
                <w:p w14:paraId="4C8B9C07">
                  <w:pPr>
                    <w:widowControl/>
                    <w:jc w:val="center"/>
                    <w:rPr>
                      <w:rFonts w:cs="宋体"/>
                      <w:kern w:val="0"/>
                      <w:szCs w:val="20"/>
                    </w:rPr>
                  </w:pPr>
                  <w:r>
                    <w:rPr>
                      <w:rFonts w:cs="Calibri"/>
                      <w:kern w:val="0"/>
                      <w:szCs w:val="22"/>
                    </w:rPr>
                    <w:t>氨</w:t>
                  </w:r>
                </w:p>
              </w:tc>
              <w:tc>
                <w:tcPr>
                  <w:tcW w:w="1000" w:type="pct"/>
                  <w:noWrap/>
                  <w:vAlign w:val="center"/>
                </w:tcPr>
                <w:p w14:paraId="22EDA15F">
                  <w:pPr>
                    <w:widowControl/>
                    <w:jc w:val="center"/>
                    <w:rPr>
                      <w:rFonts w:cs="宋体"/>
                      <w:kern w:val="0"/>
                      <w:szCs w:val="20"/>
                    </w:rPr>
                  </w:pPr>
                  <w:r>
                    <w:rPr>
                      <w:rFonts w:cs="Calibri"/>
                      <w:kern w:val="0"/>
                      <w:szCs w:val="22"/>
                    </w:rPr>
                    <w:t>0.14</w:t>
                  </w:r>
                </w:p>
              </w:tc>
              <w:tc>
                <w:tcPr>
                  <w:tcW w:w="1000" w:type="pct"/>
                  <w:noWrap/>
                  <w:vAlign w:val="center"/>
                </w:tcPr>
                <w:p w14:paraId="11547169">
                  <w:pPr>
                    <w:widowControl/>
                    <w:jc w:val="center"/>
                    <w:rPr>
                      <w:rFonts w:cs="宋体"/>
                      <w:kern w:val="0"/>
                      <w:szCs w:val="20"/>
                    </w:rPr>
                  </w:pPr>
                  <w:r>
                    <w:rPr>
                      <w:rFonts w:cs="Calibri"/>
                      <w:kern w:val="0"/>
                      <w:szCs w:val="22"/>
                    </w:rPr>
                    <w:t>1.5</w:t>
                  </w:r>
                </w:p>
              </w:tc>
              <w:tc>
                <w:tcPr>
                  <w:tcW w:w="1000" w:type="pct"/>
                  <w:noWrap/>
                  <w:vAlign w:val="center"/>
                </w:tcPr>
                <w:p w14:paraId="6F8F8FF3">
                  <w:pPr>
                    <w:widowControl/>
                    <w:jc w:val="center"/>
                    <w:rPr>
                      <w:rFonts w:cs="宋体"/>
                      <w:kern w:val="0"/>
                      <w:szCs w:val="20"/>
                    </w:rPr>
                  </w:pPr>
                  <w:r>
                    <w:rPr>
                      <w:rFonts w:cs="Calibri"/>
                      <w:kern w:val="0"/>
                      <w:szCs w:val="22"/>
                    </w:rPr>
                    <w:t>mg/m</w:t>
                  </w:r>
                  <w:r>
                    <w:rPr>
                      <w:rFonts w:cs="Calibri"/>
                      <w:kern w:val="0"/>
                      <w:szCs w:val="22"/>
                      <w:vertAlign w:val="superscript"/>
                    </w:rPr>
                    <w:t>3</w:t>
                  </w:r>
                </w:p>
              </w:tc>
            </w:tr>
            <w:tr w14:paraId="3B179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15168082">
                  <w:pPr>
                    <w:widowControl/>
                    <w:jc w:val="center"/>
                    <w:rPr>
                      <w:rFonts w:cs="宋体"/>
                      <w:kern w:val="0"/>
                      <w:szCs w:val="20"/>
                    </w:rPr>
                  </w:pPr>
                </w:p>
              </w:tc>
              <w:tc>
                <w:tcPr>
                  <w:tcW w:w="1000" w:type="pct"/>
                  <w:noWrap/>
                  <w:vAlign w:val="center"/>
                </w:tcPr>
                <w:p w14:paraId="1B4CB719">
                  <w:pPr>
                    <w:widowControl/>
                    <w:jc w:val="center"/>
                    <w:rPr>
                      <w:rFonts w:cs="宋体"/>
                      <w:kern w:val="0"/>
                      <w:szCs w:val="20"/>
                    </w:rPr>
                  </w:pPr>
                  <w:r>
                    <w:rPr>
                      <w:rFonts w:cs="Calibri"/>
                      <w:kern w:val="0"/>
                      <w:szCs w:val="22"/>
                    </w:rPr>
                    <w:t>硫化氢</w:t>
                  </w:r>
                </w:p>
              </w:tc>
              <w:tc>
                <w:tcPr>
                  <w:tcW w:w="1000" w:type="pct"/>
                  <w:noWrap/>
                  <w:vAlign w:val="center"/>
                </w:tcPr>
                <w:p w14:paraId="6918F293">
                  <w:pPr>
                    <w:widowControl/>
                    <w:jc w:val="center"/>
                    <w:rPr>
                      <w:rFonts w:cs="宋体"/>
                      <w:kern w:val="0"/>
                      <w:szCs w:val="20"/>
                    </w:rPr>
                  </w:pPr>
                  <w:r>
                    <w:rPr>
                      <w:rFonts w:cs="Calibri"/>
                      <w:kern w:val="0"/>
                      <w:szCs w:val="22"/>
                    </w:rPr>
                    <w:t>ND</w:t>
                  </w:r>
                </w:p>
              </w:tc>
              <w:tc>
                <w:tcPr>
                  <w:tcW w:w="1000" w:type="pct"/>
                  <w:noWrap/>
                  <w:vAlign w:val="center"/>
                </w:tcPr>
                <w:p w14:paraId="7D1EEFF4">
                  <w:pPr>
                    <w:widowControl/>
                    <w:jc w:val="center"/>
                    <w:rPr>
                      <w:rFonts w:cs="宋体"/>
                      <w:kern w:val="0"/>
                      <w:szCs w:val="20"/>
                    </w:rPr>
                  </w:pPr>
                  <w:r>
                    <w:rPr>
                      <w:rFonts w:cs="Calibri"/>
                      <w:kern w:val="0"/>
                      <w:szCs w:val="22"/>
                    </w:rPr>
                    <w:t>0.06</w:t>
                  </w:r>
                </w:p>
              </w:tc>
              <w:tc>
                <w:tcPr>
                  <w:tcW w:w="1000" w:type="pct"/>
                  <w:noWrap/>
                  <w:vAlign w:val="center"/>
                </w:tcPr>
                <w:p w14:paraId="26E85BD4">
                  <w:pPr>
                    <w:widowControl/>
                    <w:jc w:val="center"/>
                    <w:rPr>
                      <w:rFonts w:cs="宋体"/>
                      <w:kern w:val="0"/>
                      <w:szCs w:val="20"/>
                    </w:rPr>
                  </w:pPr>
                  <w:r>
                    <w:rPr>
                      <w:rFonts w:cs="Calibri"/>
                      <w:kern w:val="0"/>
                      <w:szCs w:val="22"/>
                    </w:rPr>
                    <w:t>mg/m</w:t>
                  </w:r>
                  <w:r>
                    <w:rPr>
                      <w:rFonts w:cs="Calibri"/>
                      <w:kern w:val="0"/>
                      <w:szCs w:val="22"/>
                      <w:vertAlign w:val="superscript"/>
                    </w:rPr>
                    <w:t>3</w:t>
                  </w:r>
                </w:p>
              </w:tc>
            </w:tr>
            <w:tr w14:paraId="6642B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000" w:type="pct"/>
                  <w:vMerge w:val="continue"/>
                  <w:vAlign w:val="center"/>
                </w:tcPr>
                <w:p w14:paraId="12BB272B">
                  <w:pPr>
                    <w:widowControl/>
                    <w:jc w:val="center"/>
                    <w:rPr>
                      <w:rFonts w:cs="宋体"/>
                      <w:kern w:val="0"/>
                      <w:szCs w:val="20"/>
                    </w:rPr>
                  </w:pPr>
                </w:p>
              </w:tc>
              <w:tc>
                <w:tcPr>
                  <w:tcW w:w="1000" w:type="pct"/>
                  <w:noWrap/>
                  <w:vAlign w:val="center"/>
                </w:tcPr>
                <w:p w14:paraId="30DA6920">
                  <w:pPr>
                    <w:widowControl/>
                    <w:jc w:val="center"/>
                    <w:rPr>
                      <w:rFonts w:cs="宋体"/>
                      <w:kern w:val="0"/>
                      <w:szCs w:val="20"/>
                    </w:rPr>
                  </w:pPr>
                  <w:r>
                    <w:rPr>
                      <w:rFonts w:cs="Calibri"/>
                      <w:kern w:val="0"/>
                      <w:szCs w:val="22"/>
                    </w:rPr>
                    <w:t>臭气浓度</w:t>
                  </w:r>
                </w:p>
              </w:tc>
              <w:tc>
                <w:tcPr>
                  <w:tcW w:w="1000" w:type="pct"/>
                  <w:noWrap/>
                  <w:vAlign w:val="center"/>
                </w:tcPr>
                <w:p w14:paraId="45FFB58F">
                  <w:pPr>
                    <w:widowControl/>
                    <w:jc w:val="center"/>
                    <w:rPr>
                      <w:rFonts w:cs="宋体"/>
                      <w:kern w:val="0"/>
                      <w:szCs w:val="20"/>
                    </w:rPr>
                  </w:pPr>
                  <w:r>
                    <w:rPr>
                      <w:rFonts w:cs="Calibri"/>
                      <w:kern w:val="0"/>
                      <w:szCs w:val="22"/>
                    </w:rPr>
                    <w:t>&lt;10(最大值)</w:t>
                  </w:r>
                </w:p>
              </w:tc>
              <w:tc>
                <w:tcPr>
                  <w:tcW w:w="1000" w:type="pct"/>
                  <w:noWrap/>
                  <w:vAlign w:val="center"/>
                </w:tcPr>
                <w:p w14:paraId="7DE50CFB">
                  <w:pPr>
                    <w:widowControl/>
                    <w:jc w:val="center"/>
                    <w:rPr>
                      <w:rFonts w:cs="宋体"/>
                      <w:kern w:val="0"/>
                      <w:szCs w:val="20"/>
                    </w:rPr>
                  </w:pPr>
                  <w:r>
                    <w:rPr>
                      <w:rFonts w:cs="Calibri"/>
                      <w:kern w:val="0"/>
                      <w:szCs w:val="22"/>
                    </w:rPr>
                    <w:t>20</w:t>
                  </w:r>
                </w:p>
              </w:tc>
              <w:tc>
                <w:tcPr>
                  <w:tcW w:w="1000" w:type="pct"/>
                  <w:noWrap/>
                  <w:vAlign w:val="center"/>
                </w:tcPr>
                <w:p w14:paraId="572FF7D0">
                  <w:pPr>
                    <w:widowControl/>
                    <w:jc w:val="center"/>
                    <w:rPr>
                      <w:rFonts w:cs="宋体"/>
                      <w:kern w:val="0"/>
                      <w:szCs w:val="20"/>
                    </w:rPr>
                  </w:pPr>
                  <w:r>
                    <w:rPr>
                      <w:rFonts w:cs="Calibri"/>
                      <w:kern w:val="0"/>
                      <w:szCs w:val="22"/>
                    </w:rPr>
                    <w:t>无量纲</w:t>
                  </w:r>
                </w:p>
              </w:tc>
            </w:tr>
          </w:tbl>
          <w:p w14:paraId="24C5A917">
            <w:pPr>
              <w:spacing w:before="120" w:beforeLines="50" w:line="360" w:lineRule="auto"/>
              <w:ind w:firstLine="480" w:firstLineChars="200"/>
              <w:rPr>
                <w:sz w:val="24"/>
              </w:rPr>
            </w:pPr>
            <w:r>
              <w:rPr>
                <w:rFonts w:hint="eastAsia"/>
                <w:bCs/>
                <w:sz w:val="24"/>
                <w:szCs w:val="24"/>
              </w:rPr>
              <w:t>现有项目废白土堆场废气和废白土炒锅废气采用活性炭吸附装置处理，</w:t>
            </w:r>
            <w:r>
              <w:rPr>
                <w:rFonts w:hint="eastAsia"/>
                <w:bCs/>
                <w:sz w:val="24"/>
              </w:rPr>
              <w:t>根据《</w:t>
            </w:r>
            <w:r>
              <w:rPr>
                <w:rFonts w:hint="eastAsia"/>
                <w:sz w:val="24"/>
              </w:rPr>
              <w:t>惠州市耀坤环保科技有限公司年加工</w:t>
            </w:r>
            <w:r>
              <w:rPr>
                <w:sz w:val="24"/>
              </w:rPr>
              <w:t>6</w:t>
            </w:r>
            <w:r>
              <w:rPr>
                <w:rFonts w:hint="eastAsia"/>
                <w:sz w:val="24"/>
              </w:rPr>
              <w:t>万吨废白土及</w:t>
            </w:r>
            <w:r>
              <w:rPr>
                <w:sz w:val="24"/>
              </w:rPr>
              <w:t>2</w:t>
            </w:r>
            <w:r>
              <w:rPr>
                <w:rFonts w:hint="eastAsia"/>
                <w:sz w:val="24"/>
              </w:rPr>
              <w:t>万吨废皂脚项目（一期）竣工环境保护验收监测报告》，对</w:t>
            </w:r>
            <w:r>
              <w:rPr>
                <w:sz w:val="24"/>
              </w:rPr>
              <w:t>氨</w:t>
            </w:r>
            <w:r>
              <w:rPr>
                <w:rFonts w:hint="eastAsia"/>
                <w:sz w:val="24"/>
              </w:rPr>
              <w:t>、</w:t>
            </w:r>
            <w:r>
              <w:rPr>
                <w:sz w:val="24"/>
              </w:rPr>
              <w:t>硫化氢</w:t>
            </w:r>
            <w:r>
              <w:rPr>
                <w:rFonts w:hint="eastAsia"/>
                <w:sz w:val="24"/>
              </w:rPr>
              <w:t>、VOCs的处理效率分别约为95%、90%、85%，考虑废气处理设备已运行多年，保守按处理效率分别为85%、80%、75%估算VOCs无组织排放量。</w:t>
            </w:r>
            <w:r>
              <w:rPr>
                <w:rFonts w:hint="eastAsia"/>
                <w:sz w:val="24"/>
                <w:szCs w:val="24"/>
              </w:rPr>
              <w:t>废气收集效率</w:t>
            </w:r>
            <w:r>
              <w:rPr>
                <w:sz w:val="24"/>
                <w:szCs w:val="24"/>
              </w:rPr>
              <w:t>参照《</w:t>
            </w:r>
            <w:r>
              <w:rPr>
                <w:rFonts w:hint="eastAsia"/>
                <w:sz w:val="24"/>
                <w:szCs w:val="24"/>
              </w:rPr>
              <w:t>广东省生态环境厅关于印发工业源挥发性有机物和氮氧化物减排量核算方法的通知</w:t>
            </w:r>
            <w:r>
              <w:rPr>
                <w:sz w:val="24"/>
                <w:szCs w:val="24"/>
              </w:rPr>
              <w:t>》</w:t>
            </w:r>
            <w:r>
              <w:rPr>
                <w:rFonts w:hint="eastAsia"/>
                <w:sz w:val="24"/>
                <w:szCs w:val="24"/>
              </w:rPr>
              <w:t>（粤环</w:t>
            </w:r>
            <w:r>
              <w:rPr>
                <w:sz w:val="24"/>
                <w:szCs w:val="24"/>
              </w:rPr>
              <w:t>〔</w:t>
            </w:r>
            <w:r>
              <w:rPr>
                <w:rFonts w:hint="eastAsia"/>
                <w:sz w:val="24"/>
                <w:szCs w:val="24"/>
              </w:rPr>
              <w:t>2023</w:t>
            </w:r>
            <w:r>
              <w:rPr>
                <w:sz w:val="24"/>
                <w:szCs w:val="24"/>
              </w:rPr>
              <w:t>〕</w:t>
            </w:r>
            <w:r>
              <w:rPr>
                <w:rFonts w:hint="eastAsia"/>
                <w:sz w:val="24"/>
                <w:szCs w:val="24"/>
              </w:rPr>
              <w:t>538号）附件《广东省工业源挥发性有机物减排量核算方法（2023年修订版）》中表</w:t>
            </w:r>
            <w:r>
              <w:rPr>
                <w:sz w:val="24"/>
                <w:szCs w:val="24"/>
              </w:rPr>
              <w:t>3.3-2 废气收集集气效率参考值</w:t>
            </w:r>
            <w:r>
              <w:rPr>
                <w:rFonts w:hint="eastAsia"/>
                <w:sz w:val="24"/>
                <w:szCs w:val="24"/>
              </w:rPr>
              <w:t>，采用外部集气罩（</w:t>
            </w:r>
            <w:r>
              <w:rPr>
                <w:sz w:val="24"/>
                <w:szCs w:val="24"/>
              </w:rPr>
              <w:t>相应工位所有VOCs 逸散点控制风速不小于0.3m/s</w:t>
            </w:r>
            <w:r>
              <w:rPr>
                <w:rFonts w:hint="eastAsia"/>
                <w:sz w:val="24"/>
                <w:szCs w:val="24"/>
              </w:rPr>
              <w:t>）的废气集气效率为30%。</w:t>
            </w:r>
          </w:p>
          <w:p w14:paraId="4DF49792">
            <w:pPr>
              <w:spacing w:line="360" w:lineRule="auto"/>
              <w:ind w:firstLine="480" w:firstLineChars="200"/>
              <w:rPr>
                <w:bCs/>
                <w:sz w:val="24"/>
              </w:rPr>
            </w:pPr>
            <w:r>
              <w:rPr>
                <w:rFonts w:hint="eastAsia"/>
                <w:sz w:val="24"/>
              </w:rPr>
              <w:t>经核算，现有项目颗粒物、二氧化硫、氮氧化物、VOCs排放量见表2-13，均未超评现有项目环评报告中的污染物排放总量。</w:t>
            </w:r>
          </w:p>
          <w:p w14:paraId="0DA666A7">
            <w:pPr>
              <w:pStyle w:val="14"/>
              <w:spacing w:before="0" w:beforeLines="0" w:after="0" w:afterLines="0" w:line="360" w:lineRule="auto"/>
              <w:rPr>
                <w:rFonts w:eastAsia="宋体"/>
                <w:b/>
                <w:sz w:val="21"/>
              </w:rPr>
            </w:pPr>
            <w:r>
              <w:rPr>
                <w:rFonts w:hint="eastAsia" w:eastAsia="宋体"/>
                <w:b/>
                <w:sz w:val="21"/>
              </w:rPr>
              <w:t>表2-13 现有项目废气污染物排放量核算</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4"/>
              <w:gridCol w:w="1312"/>
              <w:gridCol w:w="1528"/>
              <w:gridCol w:w="1582"/>
              <w:gridCol w:w="1299"/>
              <w:gridCol w:w="1364"/>
            </w:tblGrid>
            <w:tr w14:paraId="0EE3F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6" w:type="pct"/>
                  <w:vMerge w:val="restart"/>
                  <w:vAlign w:val="center"/>
                </w:tcPr>
                <w:p w14:paraId="42284309">
                  <w:pPr>
                    <w:widowControl/>
                    <w:jc w:val="center"/>
                    <w:rPr>
                      <w:rFonts w:cs="宋体"/>
                      <w:kern w:val="0"/>
                      <w:szCs w:val="22"/>
                    </w:rPr>
                  </w:pPr>
                  <w:r>
                    <w:rPr>
                      <w:rFonts w:hint="eastAsia" w:cs="宋体"/>
                      <w:kern w:val="0"/>
                      <w:szCs w:val="22"/>
                    </w:rPr>
                    <w:t>排放位置</w:t>
                  </w:r>
                </w:p>
              </w:tc>
              <w:tc>
                <w:tcPr>
                  <w:tcW w:w="732" w:type="pct"/>
                  <w:vMerge w:val="restart"/>
                  <w:noWrap/>
                  <w:vAlign w:val="center"/>
                </w:tcPr>
                <w:p w14:paraId="6E79CC2B">
                  <w:pPr>
                    <w:widowControl/>
                    <w:jc w:val="center"/>
                    <w:rPr>
                      <w:rFonts w:cs="宋体"/>
                      <w:kern w:val="0"/>
                      <w:szCs w:val="22"/>
                    </w:rPr>
                  </w:pPr>
                  <w:r>
                    <w:rPr>
                      <w:rFonts w:hint="eastAsia" w:cs="宋体"/>
                      <w:kern w:val="0"/>
                      <w:szCs w:val="22"/>
                    </w:rPr>
                    <w:t>污染物名称</w:t>
                  </w:r>
                </w:p>
              </w:tc>
              <w:tc>
                <w:tcPr>
                  <w:tcW w:w="2461" w:type="pct"/>
                  <w:gridSpan w:val="3"/>
                  <w:noWrap/>
                  <w:vAlign w:val="center"/>
                </w:tcPr>
                <w:p w14:paraId="4D912FCB">
                  <w:pPr>
                    <w:widowControl/>
                    <w:jc w:val="center"/>
                    <w:rPr>
                      <w:rFonts w:cs="宋体"/>
                      <w:kern w:val="0"/>
                      <w:szCs w:val="22"/>
                    </w:rPr>
                  </w:pPr>
                  <w:r>
                    <w:rPr>
                      <w:rFonts w:hint="eastAsia" w:cs="宋体"/>
                      <w:kern w:val="0"/>
                      <w:szCs w:val="22"/>
                    </w:rPr>
                    <w:t>排放量t/a</w:t>
                  </w:r>
                </w:p>
              </w:tc>
              <w:tc>
                <w:tcPr>
                  <w:tcW w:w="761" w:type="pct"/>
                  <w:vMerge w:val="restart"/>
                  <w:noWrap/>
                  <w:vAlign w:val="center"/>
                </w:tcPr>
                <w:p w14:paraId="6EAAD37A">
                  <w:pPr>
                    <w:widowControl/>
                    <w:jc w:val="center"/>
                    <w:rPr>
                      <w:rFonts w:cs="宋体"/>
                      <w:kern w:val="0"/>
                      <w:szCs w:val="22"/>
                    </w:rPr>
                  </w:pPr>
                  <w:r>
                    <w:rPr>
                      <w:rFonts w:hint="eastAsia" w:cs="宋体"/>
                      <w:kern w:val="0"/>
                      <w:szCs w:val="22"/>
                    </w:rPr>
                    <w:t>环评许可</w:t>
                  </w:r>
                </w:p>
                <w:p w14:paraId="55E35FED">
                  <w:pPr>
                    <w:widowControl/>
                    <w:jc w:val="center"/>
                    <w:rPr>
                      <w:rFonts w:cs="宋体"/>
                      <w:kern w:val="0"/>
                      <w:szCs w:val="22"/>
                    </w:rPr>
                  </w:pPr>
                  <w:r>
                    <w:rPr>
                      <w:rFonts w:hint="eastAsia" w:cs="宋体"/>
                      <w:kern w:val="0"/>
                      <w:szCs w:val="22"/>
                    </w:rPr>
                    <w:t>排放总量t/a</w:t>
                  </w:r>
                </w:p>
              </w:tc>
            </w:tr>
            <w:tr w14:paraId="0933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6" w:type="pct"/>
                  <w:vMerge w:val="continue"/>
                  <w:vAlign w:val="center"/>
                </w:tcPr>
                <w:p w14:paraId="313B78BA">
                  <w:pPr>
                    <w:widowControl/>
                    <w:jc w:val="center"/>
                    <w:rPr>
                      <w:rFonts w:cs="宋体"/>
                      <w:kern w:val="0"/>
                      <w:szCs w:val="22"/>
                    </w:rPr>
                  </w:pPr>
                </w:p>
              </w:tc>
              <w:tc>
                <w:tcPr>
                  <w:tcW w:w="732" w:type="pct"/>
                  <w:vMerge w:val="continue"/>
                  <w:vAlign w:val="center"/>
                </w:tcPr>
                <w:p w14:paraId="5A9A61EE">
                  <w:pPr>
                    <w:widowControl/>
                    <w:jc w:val="center"/>
                    <w:rPr>
                      <w:rFonts w:cs="宋体"/>
                      <w:kern w:val="0"/>
                      <w:szCs w:val="22"/>
                    </w:rPr>
                  </w:pPr>
                </w:p>
              </w:tc>
              <w:tc>
                <w:tcPr>
                  <w:tcW w:w="853" w:type="pct"/>
                  <w:noWrap/>
                  <w:vAlign w:val="center"/>
                </w:tcPr>
                <w:p w14:paraId="6FABDA66">
                  <w:pPr>
                    <w:widowControl/>
                    <w:jc w:val="center"/>
                    <w:rPr>
                      <w:rFonts w:cs="宋体"/>
                      <w:kern w:val="0"/>
                      <w:szCs w:val="22"/>
                    </w:rPr>
                  </w:pPr>
                  <w:r>
                    <w:rPr>
                      <w:rFonts w:hint="eastAsia" w:cs="宋体"/>
                      <w:kern w:val="0"/>
                      <w:szCs w:val="22"/>
                    </w:rPr>
                    <w:t>有组织排放量</w:t>
                  </w:r>
                </w:p>
              </w:tc>
              <w:tc>
                <w:tcPr>
                  <w:tcW w:w="883" w:type="pct"/>
                  <w:noWrap/>
                  <w:vAlign w:val="center"/>
                </w:tcPr>
                <w:p w14:paraId="2EE66D52">
                  <w:pPr>
                    <w:widowControl/>
                    <w:jc w:val="center"/>
                    <w:rPr>
                      <w:rFonts w:cs="宋体"/>
                      <w:kern w:val="0"/>
                      <w:szCs w:val="22"/>
                    </w:rPr>
                  </w:pPr>
                  <w:r>
                    <w:rPr>
                      <w:rFonts w:hint="eastAsia" w:cs="宋体"/>
                      <w:kern w:val="0"/>
                      <w:szCs w:val="22"/>
                    </w:rPr>
                    <w:t>无组织排放量</w:t>
                  </w:r>
                </w:p>
              </w:tc>
              <w:tc>
                <w:tcPr>
                  <w:tcW w:w="725" w:type="pct"/>
                  <w:noWrap/>
                  <w:vAlign w:val="center"/>
                </w:tcPr>
                <w:p w14:paraId="58FCBCC7">
                  <w:pPr>
                    <w:widowControl/>
                    <w:jc w:val="center"/>
                    <w:rPr>
                      <w:rFonts w:cs="宋体"/>
                      <w:kern w:val="0"/>
                      <w:szCs w:val="22"/>
                    </w:rPr>
                  </w:pPr>
                  <w:r>
                    <w:rPr>
                      <w:rFonts w:hint="eastAsia" w:cs="宋体"/>
                      <w:kern w:val="0"/>
                      <w:szCs w:val="22"/>
                    </w:rPr>
                    <w:t>小计</w:t>
                  </w:r>
                </w:p>
              </w:tc>
              <w:tc>
                <w:tcPr>
                  <w:tcW w:w="761" w:type="pct"/>
                  <w:vMerge w:val="continue"/>
                  <w:noWrap/>
                  <w:vAlign w:val="center"/>
                </w:tcPr>
                <w:p w14:paraId="72E2FDE6">
                  <w:pPr>
                    <w:widowControl/>
                    <w:jc w:val="center"/>
                    <w:rPr>
                      <w:rFonts w:cs="宋体"/>
                      <w:kern w:val="0"/>
                      <w:szCs w:val="22"/>
                    </w:rPr>
                  </w:pPr>
                </w:p>
              </w:tc>
            </w:tr>
            <w:tr w14:paraId="31F8F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6" w:type="pct"/>
                  <w:vMerge w:val="restart"/>
                  <w:vAlign w:val="center"/>
                </w:tcPr>
                <w:p w14:paraId="19C4108C">
                  <w:pPr>
                    <w:widowControl/>
                    <w:jc w:val="center"/>
                    <w:rPr>
                      <w:rFonts w:cs="宋体"/>
                      <w:kern w:val="0"/>
                    </w:rPr>
                  </w:pPr>
                  <w:r>
                    <w:rPr>
                      <w:rFonts w:hint="eastAsia" w:cs="宋体"/>
                      <w:kern w:val="0"/>
                    </w:rPr>
                    <w:t>DA001</w:t>
                  </w:r>
                </w:p>
              </w:tc>
              <w:tc>
                <w:tcPr>
                  <w:tcW w:w="732" w:type="pct"/>
                  <w:noWrap/>
                  <w:vAlign w:val="center"/>
                </w:tcPr>
                <w:p w14:paraId="11C6533A">
                  <w:pPr>
                    <w:widowControl/>
                    <w:jc w:val="center"/>
                    <w:rPr>
                      <w:rFonts w:cs="宋体"/>
                      <w:kern w:val="0"/>
                    </w:rPr>
                  </w:pPr>
                  <w:r>
                    <w:rPr>
                      <w:rFonts w:hint="eastAsia" w:cs="宋体"/>
                      <w:kern w:val="0"/>
                    </w:rPr>
                    <w:t>颗粒物</w:t>
                  </w:r>
                </w:p>
              </w:tc>
              <w:tc>
                <w:tcPr>
                  <w:tcW w:w="853" w:type="pct"/>
                  <w:noWrap/>
                  <w:vAlign w:val="center"/>
                </w:tcPr>
                <w:p w14:paraId="0073A3C1">
                  <w:pPr>
                    <w:widowControl/>
                    <w:jc w:val="center"/>
                    <w:rPr>
                      <w:rFonts w:cs="宋体"/>
                      <w:kern w:val="0"/>
                      <w:szCs w:val="22"/>
                    </w:rPr>
                  </w:pPr>
                  <w:r>
                    <w:rPr>
                      <w:rFonts w:hint="eastAsia" w:cs="宋体"/>
                      <w:kern w:val="0"/>
                      <w:szCs w:val="22"/>
                    </w:rPr>
                    <w:t xml:space="preserve">0.17 </w:t>
                  </w:r>
                </w:p>
              </w:tc>
              <w:tc>
                <w:tcPr>
                  <w:tcW w:w="883" w:type="pct"/>
                  <w:noWrap/>
                  <w:vAlign w:val="center"/>
                </w:tcPr>
                <w:p w14:paraId="6F5DC1C2">
                  <w:pPr>
                    <w:widowControl/>
                    <w:jc w:val="center"/>
                    <w:rPr>
                      <w:rFonts w:cs="宋体"/>
                      <w:kern w:val="0"/>
                      <w:szCs w:val="22"/>
                    </w:rPr>
                  </w:pPr>
                  <w:r>
                    <w:rPr>
                      <w:rFonts w:hint="eastAsia" w:cs="宋体"/>
                      <w:kern w:val="0"/>
                      <w:szCs w:val="22"/>
                    </w:rPr>
                    <w:t>/</w:t>
                  </w:r>
                </w:p>
              </w:tc>
              <w:tc>
                <w:tcPr>
                  <w:tcW w:w="725" w:type="pct"/>
                  <w:noWrap/>
                  <w:vAlign w:val="center"/>
                </w:tcPr>
                <w:p w14:paraId="7ADF147A">
                  <w:pPr>
                    <w:widowControl/>
                    <w:jc w:val="center"/>
                    <w:rPr>
                      <w:rFonts w:cs="宋体"/>
                      <w:kern w:val="0"/>
                      <w:szCs w:val="22"/>
                    </w:rPr>
                  </w:pPr>
                  <w:r>
                    <w:rPr>
                      <w:rFonts w:hint="eastAsia" w:cs="宋体"/>
                      <w:kern w:val="0"/>
                      <w:szCs w:val="22"/>
                    </w:rPr>
                    <w:t xml:space="preserve">0.17 </w:t>
                  </w:r>
                </w:p>
              </w:tc>
              <w:tc>
                <w:tcPr>
                  <w:tcW w:w="761" w:type="pct"/>
                  <w:noWrap/>
                  <w:vAlign w:val="center"/>
                </w:tcPr>
                <w:p w14:paraId="5B21925E">
                  <w:pPr>
                    <w:widowControl/>
                    <w:jc w:val="center"/>
                    <w:rPr>
                      <w:rFonts w:cs="宋体"/>
                      <w:kern w:val="0"/>
                      <w:szCs w:val="22"/>
                    </w:rPr>
                  </w:pPr>
                  <w:r>
                    <w:rPr>
                      <w:rFonts w:hint="eastAsia" w:cs="宋体"/>
                      <w:kern w:val="0"/>
                      <w:szCs w:val="22"/>
                    </w:rPr>
                    <w:t>/</w:t>
                  </w:r>
                </w:p>
              </w:tc>
            </w:tr>
            <w:tr w14:paraId="40EC5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6" w:type="pct"/>
                  <w:vMerge w:val="continue"/>
                  <w:vAlign w:val="center"/>
                </w:tcPr>
                <w:p w14:paraId="611E3896">
                  <w:pPr>
                    <w:widowControl/>
                    <w:jc w:val="center"/>
                    <w:rPr>
                      <w:rFonts w:cs="宋体"/>
                      <w:kern w:val="0"/>
                    </w:rPr>
                  </w:pPr>
                </w:p>
              </w:tc>
              <w:tc>
                <w:tcPr>
                  <w:tcW w:w="732" w:type="pct"/>
                  <w:noWrap/>
                  <w:vAlign w:val="center"/>
                </w:tcPr>
                <w:p w14:paraId="375BF36E">
                  <w:pPr>
                    <w:widowControl/>
                    <w:jc w:val="center"/>
                    <w:rPr>
                      <w:rFonts w:cs="宋体"/>
                      <w:kern w:val="0"/>
                    </w:rPr>
                  </w:pPr>
                  <w:r>
                    <w:rPr>
                      <w:rFonts w:hint="eastAsia" w:cs="宋体"/>
                      <w:kern w:val="0"/>
                    </w:rPr>
                    <w:t>氮氧化物</w:t>
                  </w:r>
                </w:p>
              </w:tc>
              <w:tc>
                <w:tcPr>
                  <w:tcW w:w="853" w:type="pct"/>
                  <w:noWrap/>
                  <w:vAlign w:val="center"/>
                </w:tcPr>
                <w:p w14:paraId="5D9683EC">
                  <w:pPr>
                    <w:widowControl/>
                    <w:jc w:val="center"/>
                    <w:rPr>
                      <w:rFonts w:cs="宋体"/>
                      <w:kern w:val="0"/>
                      <w:szCs w:val="22"/>
                    </w:rPr>
                  </w:pPr>
                  <w:r>
                    <w:rPr>
                      <w:rFonts w:hint="eastAsia" w:cs="宋体"/>
                      <w:kern w:val="0"/>
                      <w:szCs w:val="22"/>
                    </w:rPr>
                    <w:t xml:space="preserve">0.90 </w:t>
                  </w:r>
                </w:p>
              </w:tc>
              <w:tc>
                <w:tcPr>
                  <w:tcW w:w="883" w:type="pct"/>
                  <w:noWrap/>
                  <w:vAlign w:val="center"/>
                </w:tcPr>
                <w:p w14:paraId="724FE114">
                  <w:pPr>
                    <w:widowControl/>
                    <w:jc w:val="center"/>
                    <w:rPr>
                      <w:rFonts w:cs="宋体"/>
                      <w:kern w:val="0"/>
                      <w:szCs w:val="22"/>
                    </w:rPr>
                  </w:pPr>
                  <w:r>
                    <w:rPr>
                      <w:rFonts w:hint="eastAsia" w:cs="宋体"/>
                      <w:kern w:val="0"/>
                      <w:szCs w:val="22"/>
                    </w:rPr>
                    <w:t>/</w:t>
                  </w:r>
                </w:p>
              </w:tc>
              <w:tc>
                <w:tcPr>
                  <w:tcW w:w="725" w:type="pct"/>
                  <w:noWrap/>
                  <w:vAlign w:val="center"/>
                </w:tcPr>
                <w:p w14:paraId="7D7AAF21">
                  <w:pPr>
                    <w:widowControl/>
                    <w:jc w:val="center"/>
                    <w:rPr>
                      <w:rFonts w:cs="宋体"/>
                      <w:kern w:val="0"/>
                      <w:szCs w:val="22"/>
                    </w:rPr>
                  </w:pPr>
                  <w:r>
                    <w:rPr>
                      <w:rFonts w:hint="eastAsia" w:cs="宋体"/>
                      <w:kern w:val="0"/>
                      <w:szCs w:val="22"/>
                    </w:rPr>
                    <w:t xml:space="preserve">0.90 </w:t>
                  </w:r>
                </w:p>
              </w:tc>
              <w:tc>
                <w:tcPr>
                  <w:tcW w:w="761" w:type="pct"/>
                  <w:noWrap/>
                  <w:vAlign w:val="center"/>
                </w:tcPr>
                <w:p w14:paraId="669D705C">
                  <w:pPr>
                    <w:widowControl/>
                    <w:jc w:val="center"/>
                    <w:rPr>
                      <w:rFonts w:cs="宋体"/>
                      <w:kern w:val="0"/>
                      <w:szCs w:val="22"/>
                    </w:rPr>
                  </w:pPr>
                  <w:r>
                    <w:rPr>
                      <w:rFonts w:hint="eastAsia" w:cs="宋体"/>
                      <w:kern w:val="0"/>
                      <w:szCs w:val="22"/>
                    </w:rPr>
                    <w:t>1.26</w:t>
                  </w:r>
                </w:p>
              </w:tc>
            </w:tr>
            <w:tr w14:paraId="4A881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6" w:type="pct"/>
                  <w:vMerge w:val="continue"/>
                  <w:vAlign w:val="center"/>
                </w:tcPr>
                <w:p w14:paraId="0DC986EF">
                  <w:pPr>
                    <w:widowControl/>
                    <w:jc w:val="center"/>
                    <w:rPr>
                      <w:rFonts w:cs="宋体"/>
                      <w:kern w:val="0"/>
                    </w:rPr>
                  </w:pPr>
                </w:p>
              </w:tc>
              <w:tc>
                <w:tcPr>
                  <w:tcW w:w="732" w:type="pct"/>
                  <w:noWrap/>
                  <w:vAlign w:val="center"/>
                </w:tcPr>
                <w:p w14:paraId="46F22F9D">
                  <w:pPr>
                    <w:widowControl/>
                    <w:jc w:val="center"/>
                    <w:rPr>
                      <w:rFonts w:cs="宋体"/>
                      <w:kern w:val="0"/>
                    </w:rPr>
                  </w:pPr>
                  <w:r>
                    <w:rPr>
                      <w:rFonts w:hint="eastAsia" w:cs="宋体"/>
                      <w:kern w:val="0"/>
                    </w:rPr>
                    <w:t>二氧化硫</w:t>
                  </w:r>
                </w:p>
              </w:tc>
              <w:tc>
                <w:tcPr>
                  <w:tcW w:w="853" w:type="pct"/>
                  <w:noWrap/>
                  <w:vAlign w:val="center"/>
                </w:tcPr>
                <w:p w14:paraId="54196F14">
                  <w:pPr>
                    <w:widowControl/>
                    <w:jc w:val="center"/>
                    <w:rPr>
                      <w:rFonts w:cs="宋体"/>
                      <w:kern w:val="0"/>
                      <w:szCs w:val="22"/>
                    </w:rPr>
                  </w:pPr>
                  <w:r>
                    <w:rPr>
                      <w:rFonts w:hint="eastAsia" w:cs="宋体"/>
                      <w:kern w:val="0"/>
                      <w:szCs w:val="22"/>
                    </w:rPr>
                    <w:t xml:space="preserve">0.026 </w:t>
                  </w:r>
                </w:p>
              </w:tc>
              <w:tc>
                <w:tcPr>
                  <w:tcW w:w="883" w:type="pct"/>
                  <w:noWrap/>
                  <w:vAlign w:val="center"/>
                </w:tcPr>
                <w:p w14:paraId="6EC73252">
                  <w:pPr>
                    <w:widowControl/>
                    <w:jc w:val="center"/>
                    <w:rPr>
                      <w:rFonts w:cs="宋体"/>
                      <w:kern w:val="0"/>
                      <w:szCs w:val="22"/>
                    </w:rPr>
                  </w:pPr>
                  <w:r>
                    <w:rPr>
                      <w:rFonts w:hint="eastAsia" w:cs="宋体"/>
                      <w:kern w:val="0"/>
                      <w:szCs w:val="22"/>
                    </w:rPr>
                    <w:t>/</w:t>
                  </w:r>
                </w:p>
              </w:tc>
              <w:tc>
                <w:tcPr>
                  <w:tcW w:w="725" w:type="pct"/>
                  <w:noWrap/>
                  <w:vAlign w:val="center"/>
                </w:tcPr>
                <w:p w14:paraId="6AE26EBE">
                  <w:pPr>
                    <w:widowControl/>
                    <w:jc w:val="center"/>
                    <w:rPr>
                      <w:rFonts w:cs="宋体"/>
                      <w:kern w:val="0"/>
                      <w:szCs w:val="22"/>
                    </w:rPr>
                  </w:pPr>
                  <w:r>
                    <w:rPr>
                      <w:rFonts w:hint="eastAsia" w:cs="宋体"/>
                      <w:kern w:val="0"/>
                      <w:szCs w:val="22"/>
                    </w:rPr>
                    <w:t xml:space="preserve">0.026 </w:t>
                  </w:r>
                </w:p>
              </w:tc>
              <w:tc>
                <w:tcPr>
                  <w:tcW w:w="761" w:type="pct"/>
                  <w:noWrap/>
                  <w:vAlign w:val="center"/>
                </w:tcPr>
                <w:p w14:paraId="0BBF7214">
                  <w:pPr>
                    <w:widowControl/>
                    <w:jc w:val="center"/>
                    <w:rPr>
                      <w:rFonts w:cs="宋体"/>
                      <w:kern w:val="0"/>
                      <w:szCs w:val="22"/>
                    </w:rPr>
                  </w:pPr>
                  <w:r>
                    <w:rPr>
                      <w:rFonts w:hint="eastAsia" w:cs="宋体"/>
                      <w:kern w:val="0"/>
                      <w:szCs w:val="22"/>
                    </w:rPr>
                    <w:t>0.5</w:t>
                  </w:r>
                </w:p>
              </w:tc>
            </w:tr>
            <w:tr w14:paraId="46EC7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6" w:type="pct"/>
                  <w:vMerge w:val="restart"/>
                  <w:vAlign w:val="center"/>
                </w:tcPr>
                <w:p w14:paraId="445BC6F0">
                  <w:pPr>
                    <w:widowControl/>
                    <w:jc w:val="center"/>
                    <w:rPr>
                      <w:kern w:val="0"/>
                    </w:rPr>
                  </w:pPr>
                  <w:r>
                    <w:rPr>
                      <w:rFonts w:hint="eastAsia"/>
                      <w:kern w:val="0"/>
                    </w:rPr>
                    <w:t>DA002</w:t>
                  </w:r>
                </w:p>
              </w:tc>
              <w:tc>
                <w:tcPr>
                  <w:tcW w:w="732" w:type="pct"/>
                  <w:noWrap/>
                  <w:vAlign w:val="center"/>
                </w:tcPr>
                <w:p w14:paraId="60FD4B21">
                  <w:pPr>
                    <w:widowControl/>
                    <w:jc w:val="center"/>
                    <w:rPr>
                      <w:kern w:val="0"/>
                    </w:rPr>
                  </w:pPr>
                  <w:r>
                    <w:rPr>
                      <w:rFonts w:cs="Calibri"/>
                      <w:kern w:val="0"/>
                      <w:szCs w:val="22"/>
                    </w:rPr>
                    <w:t>氨</w:t>
                  </w:r>
                </w:p>
              </w:tc>
              <w:tc>
                <w:tcPr>
                  <w:tcW w:w="853" w:type="pct"/>
                  <w:noWrap/>
                  <w:vAlign w:val="center"/>
                </w:tcPr>
                <w:p w14:paraId="70380953">
                  <w:pPr>
                    <w:widowControl/>
                    <w:jc w:val="center"/>
                    <w:rPr>
                      <w:rFonts w:cs="宋体"/>
                      <w:kern w:val="0"/>
                      <w:szCs w:val="22"/>
                    </w:rPr>
                  </w:pPr>
                  <w:r>
                    <w:rPr>
                      <w:rFonts w:hint="eastAsia"/>
                      <w:szCs w:val="22"/>
                    </w:rPr>
                    <w:t xml:space="preserve">0.0049 </w:t>
                  </w:r>
                </w:p>
              </w:tc>
              <w:tc>
                <w:tcPr>
                  <w:tcW w:w="883" w:type="pct"/>
                  <w:noWrap/>
                  <w:vAlign w:val="center"/>
                </w:tcPr>
                <w:p w14:paraId="30CABB46">
                  <w:pPr>
                    <w:widowControl/>
                    <w:jc w:val="center"/>
                    <w:rPr>
                      <w:rFonts w:cs="宋体"/>
                      <w:kern w:val="0"/>
                      <w:szCs w:val="22"/>
                    </w:rPr>
                  </w:pPr>
                  <w:r>
                    <w:rPr>
                      <w:rFonts w:hint="eastAsia" w:cs="宋体"/>
                      <w:kern w:val="0"/>
                      <w:szCs w:val="22"/>
                    </w:rPr>
                    <w:t xml:space="preserve">0.077 </w:t>
                  </w:r>
                </w:p>
              </w:tc>
              <w:tc>
                <w:tcPr>
                  <w:tcW w:w="725" w:type="pct"/>
                  <w:noWrap/>
                  <w:vAlign w:val="center"/>
                </w:tcPr>
                <w:p w14:paraId="6C7F4BA9">
                  <w:pPr>
                    <w:widowControl/>
                    <w:jc w:val="center"/>
                    <w:rPr>
                      <w:rFonts w:cs="宋体"/>
                      <w:kern w:val="0"/>
                      <w:szCs w:val="22"/>
                    </w:rPr>
                  </w:pPr>
                  <w:r>
                    <w:rPr>
                      <w:rFonts w:hint="eastAsia" w:cs="宋体"/>
                      <w:kern w:val="0"/>
                      <w:szCs w:val="22"/>
                    </w:rPr>
                    <w:t xml:space="preserve">0.082 </w:t>
                  </w:r>
                </w:p>
              </w:tc>
              <w:tc>
                <w:tcPr>
                  <w:tcW w:w="761" w:type="pct"/>
                  <w:noWrap/>
                  <w:vAlign w:val="center"/>
                </w:tcPr>
                <w:p w14:paraId="6A868D6D">
                  <w:pPr>
                    <w:widowControl/>
                    <w:jc w:val="center"/>
                    <w:rPr>
                      <w:rFonts w:cs="宋体"/>
                      <w:kern w:val="0"/>
                      <w:szCs w:val="22"/>
                    </w:rPr>
                  </w:pPr>
                  <w:r>
                    <w:rPr>
                      <w:rFonts w:hint="eastAsia"/>
                      <w:szCs w:val="22"/>
                    </w:rPr>
                    <w:t>/</w:t>
                  </w:r>
                </w:p>
              </w:tc>
            </w:tr>
            <w:tr w14:paraId="28001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6" w:type="pct"/>
                  <w:vMerge w:val="continue"/>
                  <w:vAlign w:val="center"/>
                </w:tcPr>
                <w:p w14:paraId="0DC1F5E8">
                  <w:pPr>
                    <w:widowControl/>
                    <w:jc w:val="center"/>
                    <w:rPr>
                      <w:kern w:val="0"/>
                    </w:rPr>
                  </w:pPr>
                </w:p>
              </w:tc>
              <w:tc>
                <w:tcPr>
                  <w:tcW w:w="732" w:type="pct"/>
                  <w:noWrap/>
                  <w:vAlign w:val="center"/>
                </w:tcPr>
                <w:p w14:paraId="6503887D">
                  <w:pPr>
                    <w:widowControl/>
                    <w:jc w:val="center"/>
                    <w:rPr>
                      <w:kern w:val="0"/>
                    </w:rPr>
                  </w:pPr>
                  <w:r>
                    <w:rPr>
                      <w:rFonts w:cs="Calibri"/>
                      <w:kern w:val="0"/>
                      <w:szCs w:val="22"/>
                    </w:rPr>
                    <w:t>硫化氢</w:t>
                  </w:r>
                </w:p>
              </w:tc>
              <w:tc>
                <w:tcPr>
                  <w:tcW w:w="853" w:type="pct"/>
                  <w:noWrap/>
                  <w:vAlign w:val="center"/>
                </w:tcPr>
                <w:p w14:paraId="539820FD">
                  <w:pPr>
                    <w:widowControl/>
                    <w:jc w:val="center"/>
                    <w:rPr>
                      <w:rFonts w:cs="宋体"/>
                      <w:kern w:val="0"/>
                      <w:szCs w:val="22"/>
                    </w:rPr>
                  </w:pPr>
                  <w:r>
                    <w:rPr>
                      <w:rFonts w:hint="eastAsia"/>
                      <w:szCs w:val="22"/>
                    </w:rPr>
                    <w:t xml:space="preserve">0.00065 </w:t>
                  </w:r>
                </w:p>
              </w:tc>
              <w:tc>
                <w:tcPr>
                  <w:tcW w:w="883" w:type="pct"/>
                  <w:noWrap/>
                  <w:vAlign w:val="center"/>
                </w:tcPr>
                <w:p w14:paraId="0E36743D">
                  <w:pPr>
                    <w:widowControl/>
                    <w:jc w:val="center"/>
                    <w:rPr>
                      <w:rFonts w:cs="宋体"/>
                      <w:kern w:val="0"/>
                      <w:szCs w:val="22"/>
                    </w:rPr>
                  </w:pPr>
                  <w:r>
                    <w:rPr>
                      <w:rFonts w:hint="eastAsia" w:cs="宋体"/>
                      <w:kern w:val="0"/>
                      <w:szCs w:val="22"/>
                    </w:rPr>
                    <w:t xml:space="preserve">0.0076 </w:t>
                  </w:r>
                </w:p>
              </w:tc>
              <w:tc>
                <w:tcPr>
                  <w:tcW w:w="725" w:type="pct"/>
                  <w:noWrap/>
                  <w:vAlign w:val="center"/>
                </w:tcPr>
                <w:p w14:paraId="5A15F1F8">
                  <w:pPr>
                    <w:widowControl/>
                    <w:jc w:val="center"/>
                    <w:rPr>
                      <w:rFonts w:cs="宋体"/>
                      <w:kern w:val="0"/>
                      <w:szCs w:val="22"/>
                    </w:rPr>
                  </w:pPr>
                  <w:r>
                    <w:rPr>
                      <w:rFonts w:hint="eastAsia" w:cs="宋体"/>
                      <w:kern w:val="0"/>
                      <w:szCs w:val="22"/>
                    </w:rPr>
                    <w:t xml:space="preserve">0.0082 </w:t>
                  </w:r>
                </w:p>
              </w:tc>
              <w:tc>
                <w:tcPr>
                  <w:tcW w:w="761" w:type="pct"/>
                  <w:noWrap/>
                  <w:vAlign w:val="center"/>
                </w:tcPr>
                <w:p w14:paraId="16F09E93">
                  <w:pPr>
                    <w:widowControl/>
                    <w:jc w:val="center"/>
                    <w:rPr>
                      <w:rFonts w:cs="宋体"/>
                      <w:kern w:val="0"/>
                      <w:szCs w:val="22"/>
                    </w:rPr>
                  </w:pPr>
                  <w:r>
                    <w:rPr>
                      <w:rFonts w:hint="eastAsia"/>
                      <w:szCs w:val="22"/>
                    </w:rPr>
                    <w:t>/</w:t>
                  </w:r>
                </w:p>
              </w:tc>
            </w:tr>
            <w:tr w14:paraId="7F3E3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046" w:type="pct"/>
                  <w:vMerge w:val="continue"/>
                  <w:vAlign w:val="center"/>
                </w:tcPr>
                <w:p w14:paraId="7BC4D1CE">
                  <w:pPr>
                    <w:widowControl/>
                    <w:jc w:val="center"/>
                    <w:rPr>
                      <w:kern w:val="0"/>
                    </w:rPr>
                  </w:pPr>
                </w:p>
              </w:tc>
              <w:tc>
                <w:tcPr>
                  <w:tcW w:w="732" w:type="pct"/>
                  <w:noWrap/>
                  <w:vAlign w:val="center"/>
                </w:tcPr>
                <w:p w14:paraId="48B1C9CA">
                  <w:pPr>
                    <w:widowControl/>
                    <w:jc w:val="center"/>
                    <w:rPr>
                      <w:kern w:val="0"/>
                    </w:rPr>
                  </w:pPr>
                  <w:r>
                    <w:rPr>
                      <w:rFonts w:cs="Calibri"/>
                      <w:kern w:val="0"/>
                      <w:szCs w:val="22"/>
                    </w:rPr>
                    <w:t>VOCs</w:t>
                  </w:r>
                </w:p>
              </w:tc>
              <w:tc>
                <w:tcPr>
                  <w:tcW w:w="853" w:type="pct"/>
                  <w:noWrap/>
                  <w:vAlign w:val="center"/>
                </w:tcPr>
                <w:p w14:paraId="67973142">
                  <w:pPr>
                    <w:widowControl/>
                    <w:jc w:val="center"/>
                    <w:rPr>
                      <w:rFonts w:cs="宋体"/>
                      <w:kern w:val="0"/>
                      <w:szCs w:val="22"/>
                    </w:rPr>
                  </w:pPr>
                  <w:r>
                    <w:rPr>
                      <w:rFonts w:hint="eastAsia"/>
                      <w:szCs w:val="22"/>
                    </w:rPr>
                    <w:t xml:space="preserve">0.14 </w:t>
                  </w:r>
                </w:p>
              </w:tc>
              <w:tc>
                <w:tcPr>
                  <w:tcW w:w="883" w:type="pct"/>
                  <w:noWrap/>
                  <w:vAlign w:val="center"/>
                </w:tcPr>
                <w:p w14:paraId="2E4999E1">
                  <w:pPr>
                    <w:widowControl/>
                    <w:jc w:val="center"/>
                    <w:rPr>
                      <w:rFonts w:cs="宋体"/>
                      <w:kern w:val="0"/>
                      <w:szCs w:val="22"/>
                    </w:rPr>
                  </w:pPr>
                  <w:r>
                    <w:rPr>
                      <w:rFonts w:hint="eastAsia" w:cs="宋体"/>
                      <w:kern w:val="0"/>
                      <w:szCs w:val="22"/>
                    </w:rPr>
                    <w:t xml:space="preserve">1.34 </w:t>
                  </w:r>
                </w:p>
              </w:tc>
              <w:tc>
                <w:tcPr>
                  <w:tcW w:w="725" w:type="pct"/>
                  <w:noWrap/>
                  <w:vAlign w:val="center"/>
                </w:tcPr>
                <w:p w14:paraId="58A10B9A">
                  <w:pPr>
                    <w:widowControl/>
                    <w:jc w:val="center"/>
                    <w:rPr>
                      <w:rFonts w:cs="宋体"/>
                      <w:kern w:val="0"/>
                      <w:szCs w:val="22"/>
                    </w:rPr>
                  </w:pPr>
                  <w:r>
                    <w:rPr>
                      <w:rFonts w:hint="eastAsia" w:cs="宋体"/>
                      <w:kern w:val="0"/>
                      <w:szCs w:val="22"/>
                    </w:rPr>
                    <w:t xml:space="preserve">1.49 </w:t>
                  </w:r>
                </w:p>
              </w:tc>
              <w:tc>
                <w:tcPr>
                  <w:tcW w:w="761" w:type="pct"/>
                  <w:noWrap/>
                  <w:vAlign w:val="center"/>
                </w:tcPr>
                <w:p w14:paraId="3546FBFF">
                  <w:pPr>
                    <w:widowControl/>
                    <w:jc w:val="center"/>
                    <w:rPr>
                      <w:rFonts w:cs="宋体"/>
                      <w:kern w:val="0"/>
                      <w:szCs w:val="22"/>
                    </w:rPr>
                  </w:pPr>
                  <w:r>
                    <w:rPr>
                      <w:rFonts w:hint="eastAsia"/>
                      <w:szCs w:val="22"/>
                    </w:rPr>
                    <w:t>/</w:t>
                  </w:r>
                </w:p>
              </w:tc>
            </w:tr>
          </w:tbl>
          <w:p w14:paraId="78600223">
            <w:pPr>
              <w:spacing w:before="120" w:beforeLines="50" w:line="360" w:lineRule="auto"/>
              <w:ind w:firstLine="480" w:firstLineChars="200"/>
              <w:rPr>
                <w:bCs/>
                <w:sz w:val="24"/>
                <w:szCs w:val="24"/>
              </w:rPr>
            </w:pPr>
            <w:r>
              <w:rPr>
                <w:rFonts w:hint="eastAsia"/>
                <w:bCs/>
                <w:sz w:val="24"/>
                <w:szCs w:val="24"/>
              </w:rPr>
              <w:t>（2）废水</w:t>
            </w:r>
          </w:p>
          <w:p w14:paraId="163EEB82">
            <w:pPr>
              <w:spacing w:line="360" w:lineRule="auto"/>
              <w:ind w:firstLine="480" w:firstLineChars="200"/>
              <w:rPr>
                <w:bCs/>
                <w:sz w:val="24"/>
                <w:szCs w:val="24"/>
              </w:rPr>
            </w:pPr>
            <w:r>
              <w:rPr>
                <w:rFonts w:hint="eastAsia"/>
                <w:bCs/>
                <w:sz w:val="24"/>
                <w:szCs w:val="24"/>
              </w:rPr>
              <w:t>①工艺废水</w:t>
            </w:r>
          </w:p>
          <w:p w14:paraId="184D7C95">
            <w:pPr>
              <w:spacing w:line="360" w:lineRule="auto"/>
              <w:ind w:firstLine="480" w:firstLineChars="200"/>
              <w:rPr>
                <w:bCs/>
                <w:sz w:val="24"/>
                <w:szCs w:val="24"/>
              </w:rPr>
            </w:pPr>
            <w:r>
              <w:rPr>
                <w:rFonts w:hint="eastAsia"/>
                <w:bCs/>
                <w:sz w:val="24"/>
                <w:szCs w:val="24"/>
              </w:rPr>
              <w:t>现有项目废白土加工过程中，压榨工序同时会将废白土中的水分压榨出来。根据水平衡核算，废白土加工产生的废水量为7387.5m</w:t>
            </w:r>
            <w:r>
              <w:rPr>
                <w:rFonts w:hint="eastAsia"/>
                <w:bCs/>
                <w:sz w:val="24"/>
                <w:szCs w:val="24"/>
                <w:vertAlign w:val="superscript"/>
              </w:rPr>
              <w:t>3</w:t>
            </w:r>
            <w:r>
              <w:rPr>
                <w:rFonts w:hint="eastAsia"/>
                <w:bCs/>
                <w:sz w:val="24"/>
                <w:szCs w:val="24"/>
              </w:rPr>
              <w:t>/a（24.63m</w:t>
            </w:r>
            <w:r>
              <w:rPr>
                <w:rFonts w:hint="eastAsia"/>
                <w:bCs/>
                <w:sz w:val="24"/>
                <w:szCs w:val="24"/>
                <w:vertAlign w:val="superscript"/>
              </w:rPr>
              <w:t>3</w:t>
            </w:r>
            <w:r>
              <w:rPr>
                <w:rFonts w:hint="eastAsia"/>
                <w:bCs/>
                <w:sz w:val="24"/>
                <w:szCs w:val="24"/>
              </w:rPr>
              <w:t>/d），工艺废水全部回用于废白土炒锅工序不外排。</w:t>
            </w:r>
          </w:p>
          <w:p w14:paraId="6FB1122E">
            <w:pPr>
              <w:spacing w:line="360" w:lineRule="auto"/>
              <w:ind w:firstLine="480" w:firstLineChars="200"/>
              <w:rPr>
                <w:bCs/>
                <w:sz w:val="24"/>
                <w:szCs w:val="24"/>
              </w:rPr>
            </w:pPr>
            <w:r>
              <w:rPr>
                <w:rFonts w:hint="eastAsia"/>
                <w:bCs/>
                <w:sz w:val="24"/>
                <w:szCs w:val="24"/>
              </w:rPr>
              <w:t>②锅炉排污水</w:t>
            </w:r>
          </w:p>
          <w:p w14:paraId="4801FAFE">
            <w:pPr>
              <w:spacing w:line="360" w:lineRule="auto"/>
              <w:ind w:firstLine="480" w:firstLineChars="200"/>
              <w:rPr>
                <w:bCs/>
                <w:sz w:val="24"/>
                <w:szCs w:val="24"/>
              </w:rPr>
            </w:pPr>
            <w:r>
              <w:rPr>
                <w:rFonts w:hint="eastAsia"/>
                <w:bCs/>
                <w:sz w:val="24"/>
                <w:szCs w:val="24"/>
              </w:rPr>
              <w:t>现有项目配套有</w:t>
            </w:r>
            <w:r>
              <w:rPr>
                <w:bCs/>
                <w:sz w:val="24"/>
                <w:szCs w:val="24"/>
              </w:rPr>
              <w:t>1</w:t>
            </w:r>
            <w:r>
              <w:rPr>
                <w:rFonts w:hint="eastAsia"/>
                <w:bCs/>
                <w:sz w:val="24"/>
                <w:szCs w:val="24"/>
              </w:rPr>
              <w:t>台2t/h燃生物质成型燃料锅炉，根据水平衡核算，</w:t>
            </w:r>
            <w:r>
              <w:rPr>
                <w:rFonts w:cs="Cambria Math"/>
                <w:sz w:val="24"/>
                <w:szCs w:val="24"/>
              </w:rPr>
              <w:t>锅炉排污水</w:t>
            </w:r>
            <w:r>
              <w:rPr>
                <w:rFonts w:hint="eastAsia" w:cs="Cambria Math"/>
                <w:sz w:val="24"/>
                <w:szCs w:val="24"/>
              </w:rPr>
              <w:t>与</w:t>
            </w:r>
            <w:r>
              <w:rPr>
                <w:rFonts w:cs="Cambria Math"/>
                <w:sz w:val="24"/>
                <w:szCs w:val="24"/>
              </w:rPr>
              <w:t>软化处理废水</w:t>
            </w:r>
            <w:r>
              <w:rPr>
                <w:rFonts w:hint="eastAsia"/>
                <w:bCs/>
                <w:sz w:val="24"/>
                <w:szCs w:val="24"/>
              </w:rPr>
              <w:t>量约为</w:t>
            </w:r>
            <w:r>
              <w:rPr>
                <w:rFonts w:hint="eastAsia"/>
                <w:sz w:val="24"/>
                <w:szCs w:val="24"/>
              </w:rPr>
              <w:t>8.6</w:t>
            </w:r>
            <w:r>
              <w:rPr>
                <w:sz w:val="24"/>
                <w:szCs w:val="24"/>
              </w:rPr>
              <w:t>m</w:t>
            </w:r>
            <w:r>
              <w:rPr>
                <w:sz w:val="24"/>
                <w:szCs w:val="24"/>
                <w:vertAlign w:val="superscript"/>
              </w:rPr>
              <w:t>3</w:t>
            </w:r>
            <w:r>
              <w:rPr>
                <w:sz w:val="24"/>
                <w:szCs w:val="24"/>
              </w:rPr>
              <w:t>/d（</w:t>
            </w:r>
            <w:r>
              <w:rPr>
                <w:rFonts w:hint="eastAsia"/>
                <w:sz w:val="24"/>
                <w:szCs w:val="24"/>
              </w:rPr>
              <w:t>2580</w:t>
            </w:r>
            <w:r>
              <w:rPr>
                <w:kern w:val="18"/>
                <w:sz w:val="24"/>
                <w:szCs w:val="24"/>
              </w:rPr>
              <w:t>m</w:t>
            </w:r>
            <w:r>
              <w:rPr>
                <w:kern w:val="18"/>
                <w:sz w:val="24"/>
                <w:szCs w:val="24"/>
                <w:vertAlign w:val="superscript"/>
              </w:rPr>
              <w:t>3</w:t>
            </w:r>
            <w:r>
              <w:rPr>
                <w:sz w:val="24"/>
                <w:szCs w:val="24"/>
              </w:rPr>
              <w:t>/a）</w:t>
            </w:r>
            <w:r>
              <w:rPr>
                <w:rFonts w:hint="eastAsia"/>
                <w:bCs/>
                <w:sz w:val="24"/>
                <w:szCs w:val="24"/>
              </w:rPr>
              <w:t>，全部回用于废白土炒锅工序不外排。。</w:t>
            </w:r>
          </w:p>
          <w:p w14:paraId="0F06B260">
            <w:pPr>
              <w:spacing w:line="360" w:lineRule="auto"/>
              <w:ind w:firstLine="480" w:firstLineChars="200"/>
              <w:rPr>
                <w:bCs/>
                <w:sz w:val="24"/>
                <w:szCs w:val="24"/>
              </w:rPr>
            </w:pPr>
            <w:r>
              <w:rPr>
                <w:rFonts w:hint="eastAsia"/>
                <w:bCs/>
                <w:sz w:val="24"/>
                <w:szCs w:val="24"/>
              </w:rPr>
              <w:t>③生活污水</w:t>
            </w:r>
          </w:p>
          <w:p w14:paraId="2D856E04">
            <w:pPr>
              <w:spacing w:line="360" w:lineRule="auto"/>
              <w:ind w:firstLine="480" w:firstLineChars="200"/>
              <w:rPr>
                <w:bCs/>
                <w:sz w:val="24"/>
                <w:szCs w:val="24"/>
              </w:rPr>
            </w:pPr>
            <w:r>
              <w:rPr>
                <w:rFonts w:hint="eastAsia"/>
                <w:bCs/>
                <w:sz w:val="24"/>
                <w:szCs w:val="24"/>
              </w:rPr>
              <w:t>现有项目员工总人数为</w:t>
            </w:r>
            <w:r>
              <w:rPr>
                <w:bCs/>
                <w:sz w:val="24"/>
                <w:szCs w:val="24"/>
              </w:rPr>
              <w:t>25</w:t>
            </w:r>
            <w:r>
              <w:rPr>
                <w:rFonts w:hint="eastAsia"/>
                <w:bCs/>
                <w:sz w:val="24"/>
                <w:szCs w:val="24"/>
              </w:rPr>
              <w:t>人，均在厂区内食宿，生活污水产生量约为</w:t>
            </w:r>
            <w:r>
              <w:rPr>
                <w:bCs/>
                <w:sz w:val="24"/>
                <w:szCs w:val="24"/>
              </w:rPr>
              <w:t>3</w:t>
            </w:r>
            <w:r>
              <w:rPr>
                <w:rFonts w:hint="eastAsia"/>
                <w:bCs/>
                <w:sz w:val="24"/>
                <w:szCs w:val="24"/>
              </w:rPr>
              <w:t>m</w:t>
            </w:r>
            <w:r>
              <w:rPr>
                <w:rFonts w:hint="eastAsia"/>
                <w:bCs/>
                <w:sz w:val="24"/>
                <w:szCs w:val="24"/>
                <w:vertAlign w:val="superscript"/>
              </w:rPr>
              <w:t>3</w:t>
            </w:r>
            <w:r>
              <w:rPr>
                <w:rFonts w:hint="eastAsia"/>
                <w:bCs/>
                <w:sz w:val="24"/>
                <w:szCs w:val="24"/>
              </w:rPr>
              <w:t>/</w:t>
            </w:r>
            <w:r>
              <w:rPr>
                <w:bCs/>
                <w:sz w:val="24"/>
                <w:szCs w:val="24"/>
              </w:rPr>
              <w:t>d</w:t>
            </w:r>
            <w:r>
              <w:rPr>
                <w:rFonts w:hint="eastAsia"/>
                <w:bCs/>
                <w:sz w:val="24"/>
                <w:szCs w:val="24"/>
              </w:rPr>
              <w:t>（900m</w:t>
            </w:r>
            <w:r>
              <w:rPr>
                <w:rFonts w:hint="eastAsia"/>
                <w:bCs/>
                <w:sz w:val="24"/>
                <w:szCs w:val="24"/>
                <w:vertAlign w:val="superscript"/>
              </w:rPr>
              <w:t>3</w:t>
            </w:r>
            <w:r>
              <w:rPr>
                <w:bCs/>
                <w:sz w:val="24"/>
                <w:szCs w:val="24"/>
              </w:rPr>
              <w:t>/a</w:t>
            </w:r>
            <w:r>
              <w:rPr>
                <w:rFonts w:hint="eastAsia"/>
                <w:bCs/>
                <w:sz w:val="24"/>
                <w:szCs w:val="24"/>
              </w:rPr>
              <w:t>），主要污染物为</w:t>
            </w:r>
            <w:r>
              <w:rPr>
                <w:bCs/>
                <w:sz w:val="24"/>
                <w:szCs w:val="24"/>
              </w:rPr>
              <w:t>COD</w:t>
            </w:r>
            <w:r>
              <w:rPr>
                <w:bCs/>
                <w:sz w:val="24"/>
                <w:szCs w:val="24"/>
                <w:vertAlign w:val="subscript"/>
              </w:rPr>
              <w:t>cr</w:t>
            </w:r>
            <w:r>
              <w:rPr>
                <w:rFonts w:hint="eastAsia"/>
                <w:bCs/>
                <w:sz w:val="24"/>
                <w:szCs w:val="24"/>
              </w:rPr>
              <w:t>、</w:t>
            </w:r>
            <w:r>
              <w:rPr>
                <w:bCs/>
                <w:sz w:val="24"/>
                <w:szCs w:val="24"/>
              </w:rPr>
              <w:t>BOD</w:t>
            </w:r>
            <w:r>
              <w:rPr>
                <w:bCs/>
                <w:sz w:val="24"/>
                <w:szCs w:val="24"/>
                <w:vertAlign w:val="subscript"/>
              </w:rPr>
              <w:t>5</w:t>
            </w:r>
            <w:r>
              <w:rPr>
                <w:rFonts w:hint="eastAsia"/>
                <w:bCs/>
                <w:sz w:val="24"/>
                <w:szCs w:val="24"/>
              </w:rPr>
              <w:t>、氨氮、总磷、动植物油等，生活污水经自建污水处理设施（“微生物处理</w:t>
            </w:r>
            <w:r>
              <w:rPr>
                <w:bCs/>
                <w:sz w:val="24"/>
                <w:szCs w:val="24"/>
              </w:rPr>
              <w:t>+</w:t>
            </w:r>
            <w:r>
              <w:rPr>
                <w:rFonts w:hint="eastAsia"/>
                <w:bCs/>
                <w:sz w:val="24"/>
                <w:szCs w:val="24"/>
              </w:rPr>
              <w:t>人工湿地”）处理后达到《城镇污水处理厂污染物排放标准》</w:t>
            </w:r>
            <w:r>
              <w:rPr>
                <w:bCs/>
                <w:sz w:val="24"/>
                <w:szCs w:val="24"/>
              </w:rPr>
              <w:t>(GB18918-2002)</w:t>
            </w:r>
            <w:r>
              <w:rPr>
                <w:rFonts w:hint="eastAsia"/>
                <w:bCs/>
                <w:sz w:val="24"/>
                <w:szCs w:val="24"/>
              </w:rPr>
              <w:t>二级标准及广东省《水污染物排放限值》</w:t>
            </w:r>
            <w:r>
              <w:rPr>
                <w:bCs/>
                <w:sz w:val="24"/>
                <w:szCs w:val="24"/>
              </w:rPr>
              <w:t>(DB44/26-2001)</w:t>
            </w:r>
            <w:r>
              <w:rPr>
                <w:rFonts w:hint="eastAsia"/>
                <w:bCs/>
                <w:sz w:val="24"/>
                <w:szCs w:val="24"/>
              </w:rPr>
              <w:t>第二时段二级标准较严者后，用于山林灌溉。</w:t>
            </w:r>
          </w:p>
          <w:p w14:paraId="77608D3F">
            <w:pPr>
              <w:spacing w:line="360" w:lineRule="auto"/>
              <w:ind w:firstLine="480" w:firstLineChars="200"/>
              <w:rPr>
                <w:bCs/>
                <w:sz w:val="24"/>
                <w:szCs w:val="24"/>
              </w:rPr>
            </w:pPr>
            <w:r>
              <w:rPr>
                <w:rFonts w:hint="eastAsia"/>
                <w:bCs/>
                <w:sz w:val="24"/>
                <w:szCs w:val="24"/>
              </w:rPr>
              <w:t>（3）噪声</w:t>
            </w:r>
          </w:p>
          <w:p w14:paraId="0553CA3B">
            <w:pPr>
              <w:spacing w:line="360" w:lineRule="auto"/>
              <w:ind w:firstLine="480" w:firstLineChars="200"/>
              <w:rPr>
                <w:bCs/>
                <w:sz w:val="24"/>
                <w:szCs w:val="24"/>
              </w:rPr>
            </w:pPr>
            <w:r>
              <w:rPr>
                <w:rFonts w:hint="eastAsia"/>
                <w:bCs/>
                <w:sz w:val="24"/>
                <w:szCs w:val="24"/>
              </w:rPr>
              <w:t>现有项目主要噪声源来自锅炉、炒锅、引风机等，噪声控制主要通过</w:t>
            </w:r>
            <w:r>
              <w:rPr>
                <w:bCs/>
                <w:sz w:val="24"/>
                <w:szCs w:val="24"/>
              </w:rPr>
              <w:t>合理布局生产设备、选用低噪声设备并对设备进行隔音和减振等措施</w:t>
            </w:r>
            <w:r>
              <w:rPr>
                <w:rFonts w:hint="eastAsia"/>
                <w:bCs/>
                <w:sz w:val="24"/>
                <w:szCs w:val="24"/>
              </w:rPr>
              <w:t>。</w:t>
            </w:r>
          </w:p>
          <w:p w14:paraId="7EB30B94">
            <w:pPr>
              <w:spacing w:line="360" w:lineRule="auto"/>
              <w:ind w:firstLine="480" w:firstLineChars="200"/>
              <w:rPr>
                <w:bCs/>
                <w:sz w:val="24"/>
              </w:rPr>
            </w:pPr>
            <w:r>
              <w:rPr>
                <w:rFonts w:hint="eastAsia"/>
                <w:bCs/>
                <w:sz w:val="24"/>
              </w:rPr>
              <w:t>根据建设单位委托广东骥祥检测技术有限公司于2024年11月的噪声监测数据，见表2-14（监测报告见附件</w:t>
            </w:r>
            <w:r>
              <w:rPr>
                <w:rFonts w:hint="eastAsia"/>
                <w:bCs/>
                <w:sz w:val="24"/>
                <w:lang w:val="en-US" w:eastAsia="zh-CN"/>
              </w:rPr>
              <w:t>11</w:t>
            </w:r>
            <w:r>
              <w:rPr>
                <w:rFonts w:hint="eastAsia"/>
                <w:bCs/>
                <w:sz w:val="24"/>
              </w:rPr>
              <w:t>），现有项目各厂界噪声均</w:t>
            </w:r>
            <w:r>
              <w:rPr>
                <w:bCs/>
                <w:sz w:val="24"/>
              </w:rPr>
              <w:t>满足《工业企业厂界环境噪声排放标准》（GB12348-2008)2类标准。</w:t>
            </w:r>
          </w:p>
          <w:p w14:paraId="4BF437A6">
            <w:pPr>
              <w:pStyle w:val="14"/>
              <w:spacing w:before="0" w:beforeLines="0" w:after="0" w:afterLines="0" w:line="360" w:lineRule="auto"/>
              <w:rPr>
                <w:rFonts w:eastAsia="宋体"/>
                <w:b/>
                <w:sz w:val="21"/>
              </w:rPr>
            </w:pPr>
            <w:r>
              <w:rPr>
                <w:rFonts w:hint="eastAsia" w:eastAsia="宋体"/>
                <w:b/>
                <w:sz w:val="21"/>
              </w:rPr>
              <w:t>表2-14 现有项目厂界噪声监测数据（</w:t>
            </w:r>
            <w:r>
              <w:rPr>
                <w:rFonts w:hint="eastAsia" w:eastAsia="宋体"/>
                <w:b/>
                <w:bCs/>
                <w:sz w:val="21"/>
                <w:lang w:val="en-US"/>
              </w:rPr>
              <w:t>2024年11月</w:t>
            </w:r>
            <w:r>
              <w:rPr>
                <w:rFonts w:hint="eastAsia" w:eastAsia="宋体"/>
                <w:b/>
                <w:sz w:val="21"/>
              </w:rPr>
              <w:t>）</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2108"/>
              <w:gridCol w:w="1475"/>
              <w:gridCol w:w="1792"/>
              <w:gridCol w:w="1792"/>
              <w:gridCol w:w="1792"/>
            </w:tblGrid>
            <w:tr w14:paraId="24CE9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noWrap/>
                  <w:vAlign w:val="center"/>
                </w:tcPr>
                <w:p w14:paraId="116BD0FE">
                  <w:pPr>
                    <w:widowControl/>
                    <w:jc w:val="center"/>
                    <w:rPr>
                      <w:rFonts w:cs="宋体"/>
                      <w:kern w:val="0"/>
                      <w:szCs w:val="20"/>
                    </w:rPr>
                  </w:pPr>
                  <w:r>
                    <w:rPr>
                      <w:rFonts w:cs="Calibri"/>
                      <w:kern w:val="0"/>
                      <w:szCs w:val="22"/>
                    </w:rPr>
                    <w:t>检测点位</w:t>
                  </w:r>
                </w:p>
              </w:tc>
              <w:tc>
                <w:tcPr>
                  <w:tcW w:w="823" w:type="pct"/>
                  <w:noWrap/>
                  <w:vAlign w:val="center"/>
                </w:tcPr>
                <w:p w14:paraId="703D5D7D">
                  <w:pPr>
                    <w:widowControl/>
                    <w:jc w:val="center"/>
                    <w:rPr>
                      <w:rFonts w:cs="宋体"/>
                      <w:kern w:val="0"/>
                      <w:szCs w:val="20"/>
                    </w:rPr>
                  </w:pPr>
                  <w:r>
                    <w:rPr>
                      <w:rFonts w:cs="Calibri"/>
                      <w:kern w:val="0"/>
                      <w:szCs w:val="22"/>
                    </w:rPr>
                    <w:t>主要声源</w:t>
                  </w:r>
                </w:p>
              </w:tc>
              <w:tc>
                <w:tcPr>
                  <w:tcW w:w="1000" w:type="pct"/>
                  <w:noWrap/>
                  <w:vAlign w:val="center"/>
                </w:tcPr>
                <w:p w14:paraId="7D386D9B">
                  <w:pPr>
                    <w:widowControl/>
                    <w:jc w:val="center"/>
                    <w:rPr>
                      <w:rFonts w:cs="宋体"/>
                      <w:kern w:val="0"/>
                      <w:szCs w:val="20"/>
                    </w:rPr>
                  </w:pPr>
                  <w:r>
                    <w:rPr>
                      <w:rFonts w:cs="Calibri"/>
                      <w:kern w:val="0"/>
                      <w:szCs w:val="22"/>
                    </w:rPr>
                    <w:t>时段</w:t>
                  </w:r>
                </w:p>
              </w:tc>
              <w:tc>
                <w:tcPr>
                  <w:tcW w:w="1000" w:type="pct"/>
                  <w:noWrap/>
                  <w:vAlign w:val="center"/>
                </w:tcPr>
                <w:p w14:paraId="78D1D468">
                  <w:pPr>
                    <w:widowControl/>
                    <w:jc w:val="center"/>
                    <w:rPr>
                      <w:rFonts w:cs="宋体"/>
                      <w:kern w:val="0"/>
                      <w:szCs w:val="20"/>
                    </w:rPr>
                  </w:pPr>
                  <w:r>
                    <w:rPr>
                      <w:rFonts w:cs="Calibri"/>
                      <w:kern w:val="0"/>
                      <w:szCs w:val="22"/>
                    </w:rPr>
                    <w:t>测量值[dB(A)]</w:t>
                  </w:r>
                </w:p>
              </w:tc>
              <w:tc>
                <w:tcPr>
                  <w:tcW w:w="1000" w:type="pct"/>
                  <w:vAlign w:val="center"/>
                </w:tcPr>
                <w:p w14:paraId="7D43E67A">
                  <w:pPr>
                    <w:widowControl/>
                    <w:jc w:val="center"/>
                    <w:rPr>
                      <w:rFonts w:cs="Calibri"/>
                      <w:kern w:val="0"/>
                      <w:szCs w:val="22"/>
                    </w:rPr>
                  </w:pPr>
                  <w:r>
                    <w:rPr>
                      <w:rFonts w:hint="eastAsia" w:cs="Calibri"/>
                      <w:kern w:val="0"/>
                      <w:szCs w:val="22"/>
                    </w:rPr>
                    <w:t>标准限值</w:t>
                  </w:r>
                </w:p>
                <w:p w14:paraId="09667566">
                  <w:pPr>
                    <w:widowControl/>
                    <w:jc w:val="center"/>
                    <w:rPr>
                      <w:rFonts w:cs="Calibri"/>
                      <w:kern w:val="0"/>
                      <w:szCs w:val="22"/>
                    </w:rPr>
                  </w:pPr>
                  <w:r>
                    <w:rPr>
                      <w:rFonts w:cs="Calibri"/>
                      <w:kern w:val="0"/>
                      <w:szCs w:val="22"/>
                    </w:rPr>
                    <w:t>[dB(A)</w:t>
                  </w:r>
                  <w:r>
                    <w:rPr>
                      <w:rFonts w:hint="eastAsia" w:cs="Calibri"/>
                      <w:kern w:val="0"/>
                      <w:szCs w:val="22"/>
                    </w:rPr>
                    <w:t xml:space="preserve"> </w:t>
                  </w:r>
                </w:p>
              </w:tc>
            </w:tr>
            <w:tr w14:paraId="4F3A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vMerge w:val="restart"/>
                  <w:noWrap/>
                  <w:vAlign w:val="center"/>
                </w:tcPr>
                <w:p w14:paraId="24C82C5D">
                  <w:pPr>
                    <w:widowControl/>
                    <w:jc w:val="center"/>
                    <w:rPr>
                      <w:rFonts w:cs="宋体"/>
                      <w:kern w:val="0"/>
                      <w:szCs w:val="20"/>
                    </w:rPr>
                  </w:pPr>
                  <w:r>
                    <w:rPr>
                      <w:rFonts w:cs="Calibri"/>
                      <w:kern w:val="0"/>
                      <w:szCs w:val="22"/>
                    </w:rPr>
                    <w:t>1#东侧厂界外1m</w:t>
                  </w:r>
                </w:p>
              </w:tc>
              <w:tc>
                <w:tcPr>
                  <w:tcW w:w="823" w:type="pct"/>
                  <w:vMerge w:val="restart"/>
                  <w:noWrap/>
                  <w:vAlign w:val="center"/>
                </w:tcPr>
                <w:p w14:paraId="2E5AC15B">
                  <w:pPr>
                    <w:widowControl/>
                    <w:jc w:val="center"/>
                    <w:rPr>
                      <w:rFonts w:cs="宋体"/>
                      <w:kern w:val="0"/>
                      <w:szCs w:val="20"/>
                    </w:rPr>
                  </w:pPr>
                  <w:r>
                    <w:rPr>
                      <w:rFonts w:cs="Calibri"/>
                      <w:kern w:val="0"/>
                      <w:szCs w:val="22"/>
                    </w:rPr>
                    <w:t>生产噪声</w:t>
                  </w:r>
                </w:p>
              </w:tc>
              <w:tc>
                <w:tcPr>
                  <w:tcW w:w="1000" w:type="pct"/>
                  <w:noWrap/>
                  <w:vAlign w:val="center"/>
                </w:tcPr>
                <w:p w14:paraId="6AB8842B">
                  <w:pPr>
                    <w:widowControl/>
                    <w:jc w:val="center"/>
                    <w:rPr>
                      <w:rFonts w:cs="宋体"/>
                      <w:kern w:val="0"/>
                      <w:szCs w:val="20"/>
                    </w:rPr>
                  </w:pPr>
                  <w:r>
                    <w:rPr>
                      <w:rFonts w:cs="Calibri"/>
                      <w:kern w:val="0"/>
                      <w:szCs w:val="22"/>
                    </w:rPr>
                    <w:t>昼间</w:t>
                  </w:r>
                </w:p>
              </w:tc>
              <w:tc>
                <w:tcPr>
                  <w:tcW w:w="1000" w:type="pct"/>
                  <w:noWrap/>
                  <w:vAlign w:val="center"/>
                </w:tcPr>
                <w:p w14:paraId="43B343BB">
                  <w:pPr>
                    <w:widowControl/>
                    <w:jc w:val="center"/>
                    <w:rPr>
                      <w:rFonts w:cs="宋体"/>
                      <w:kern w:val="0"/>
                      <w:szCs w:val="20"/>
                    </w:rPr>
                  </w:pPr>
                  <w:r>
                    <w:rPr>
                      <w:rFonts w:hint="eastAsia" w:cs="Calibri"/>
                      <w:kern w:val="0"/>
                      <w:szCs w:val="22"/>
                    </w:rPr>
                    <w:t>56</w:t>
                  </w:r>
                </w:p>
              </w:tc>
              <w:tc>
                <w:tcPr>
                  <w:tcW w:w="1000" w:type="pct"/>
                  <w:vAlign w:val="center"/>
                </w:tcPr>
                <w:p w14:paraId="6C94FB6E">
                  <w:pPr>
                    <w:widowControl/>
                    <w:jc w:val="center"/>
                    <w:rPr>
                      <w:rFonts w:cs="Calibri"/>
                      <w:kern w:val="0"/>
                      <w:szCs w:val="22"/>
                    </w:rPr>
                  </w:pPr>
                  <w:r>
                    <w:rPr>
                      <w:rFonts w:hint="eastAsia" w:cs="Calibri"/>
                      <w:kern w:val="0"/>
                      <w:szCs w:val="22"/>
                    </w:rPr>
                    <w:t>60</w:t>
                  </w:r>
                </w:p>
              </w:tc>
            </w:tr>
            <w:tr w14:paraId="696CD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vMerge w:val="continue"/>
                  <w:noWrap/>
                  <w:vAlign w:val="center"/>
                </w:tcPr>
                <w:p w14:paraId="6B06CC5A">
                  <w:pPr>
                    <w:widowControl/>
                    <w:jc w:val="center"/>
                    <w:rPr>
                      <w:rFonts w:cs="Calibri"/>
                      <w:kern w:val="0"/>
                      <w:szCs w:val="22"/>
                    </w:rPr>
                  </w:pPr>
                </w:p>
              </w:tc>
              <w:tc>
                <w:tcPr>
                  <w:tcW w:w="823" w:type="pct"/>
                  <w:vMerge w:val="continue"/>
                  <w:noWrap/>
                  <w:vAlign w:val="center"/>
                </w:tcPr>
                <w:p w14:paraId="7EDA9812">
                  <w:pPr>
                    <w:widowControl/>
                    <w:jc w:val="center"/>
                    <w:rPr>
                      <w:rFonts w:cs="Calibri"/>
                      <w:kern w:val="0"/>
                      <w:szCs w:val="22"/>
                    </w:rPr>
                  </w:pPr>
                </w:p>
              </w:tc>
              <w:tc>
                <w:tcPr>
                  <w:tcW w:w="1000" w:type="pct"/>
                  <w:noWrap/>
                  <w:vAlign w:val="center"/>
                </w:tcPr>
                <w:p w14:paraId="2308E2A7">
                  <w:pPr>
                    <w:widowControl/>
                    <w:jc w:val="center"/>
                    <w:rPr>
                      <w:rFonts w:cs="Calibri"/>
                      <w:kern w:val="0"/>
                      <w:szCs w:val="22"/>
                    </w:rPr>
                  </w:pPr>
                  <w:r>
                    <w:rPr>
                      <w:rFonts w:hint="eastAsia" w:cs="Calibri"/>
                      <w:kern w:val="0"/>
                      <w:szCs w:val="22"/>
                    </w:rPr>
                    <w:t>夜间</w:t>
                  </w:r>
                </w:p>
              </w:tc>
              <w:tc>
                <w:tcPr>
                  <w:tcW w:w="1000" w:type="pct"/>
                  <w:noWrap/>
                  <w:vAlign w:val="center"/>
                </w:tcPr>
                <w:p w14:paraId="26EBDABD">
                  <w:pPr>
                    <w:widowControl/>
                    <w:jc w:val="center"/>
                    <w:rPr>
                      <w:rFonts w:cs="Calibri"/>
                      <w:kern w:val="0"/>
                      <w:szCs w:val="22"/>
                    </w:rPr>
                  </w:pPr>
                  <w:r>
                    <w:rPr>
                      <w:rFonts w:hint="eastAsia" w:cs="Calibri"/>
                      <w:kern w:val="0"/>
                      <w:szCs w:val="22"/>
                    </w:rPr>
                    <w:t>47</w:t>
                  </w:r>
                </w:p>
              </w:tc>
              <w:tc>
                <w:tcPr>
                  <w:tcW w:w="1000" w:type="pct"/>
                  <w:vAlign w:val="center"/>
                </w:tcPr>
                <w:p w14:paraId="413355BC">
                  <w:pPr>
                    <w:widowControl/>
                    <w:jc w:val="center"/>
                    <w:rPr>
                      <w:rFonts w:cs="Calibri"/>
                      <w:kern w:val="0"/>
                      <w:szCs w:val="22"/>
                    </w:rPr>
                  </w:pPr>
                  <w:r>
                    <w:rPr>
                      <w:rFonts w:hint="eastAsia" w:cs="Calibri"/>
                      <w:kern w:val="0"/>
                      <w:szCs w:val="22"/>
                    </w:rPr>
                    <w:t>50</w:t>
                  </w:r>
                </w:p>
              </w:tc>
            </w:tr>
            <w:tr w14:paraId="53D0E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vMerge w:val="restart"/>
                  <w:noWrap/>
                  <w:vAlign w:val="center"/>
                </w:tcPr>
                <w:p w14:paraId="0823124B">
                  <w:pPr>
                    <w:widowControl/>
                    <w:jc w:val="center"/>
                    <w:rPr>
                      <w:rFonts w:cs="宋体"/>
                      <w:kern w:val="0"/>
                      <w:szCs w:val="20"/>
                    </w:rPr>
                  </w:pPr>
                  <w:r>
                    <w:rPr>
                      <w:rFonts w:cs="Calibri"/>
                      <w:kern w:val="0"/>
                      <w:szCs w:val="22"/>
                    </w:rPr>
                    <w:t>2#北侧厂界外1m</w:t>
                  </w:r>
                </w:p>
              </w:tc>
              <w:tc>
                <w:tcPr>
                  <w:tcW w:w="823" w:type="pct"/>
                  <w:vMerge w:val="restart"/>
                  <w:noWrap/>
                  <w:vAlign w:val="center"/>
                </w:tcPr>
                <w:p w14:paraId="44818476">
                  <w:pPr>
                    <w:widowControl/>
                    <w:jc w:val="center"/>
                    <w:rPr>
                      <w:rFonts w:cs="宋体"/>
                      <w:kern w:val="0"/>
                      <w:szCs w:val="20"/>
                    </w:rPr>
                  </w:pPr>
                  <w:r>
                    <w:rPr>
                      <w:rFonts w:cs="Calibri"/>
                      <w:kern w:val="0"/>
                      <w:szCs w:val="22"/>
                    </w:rPr>
                    <w:t>生产噪声</w:t>
                  </w:r>
                </w:p>
              </w:tc>
              <w:tc>
                <w:tcPr>
                  <w:tcW w:w="1000" w:type="pct"/>
                  <w:noWrap/>
                  <w:vAlign w:val="center"/>
                </w:tcPr>
                <w:p w14:paraId="37C38C11">
                  <w:pPr>
                    <w:widowControl/>
                    <w:jc w:val="center"/>
                    <w:rPr>
                      <w:rFonts w:cs="宋体"/>
                      <w:kern w:val="0"/>
                      <w:szCs w:val="20"/>
                    </w:rPr>
                  </w:pPr>
                  <w:r>
                    <w:rPr>
                      <w:rFonts w:cs="Calibri"/>
                      <w:kern w:val="0"/>
                      <w:szCs w:val="22"/>
                    </w:rPr>
                    <w:t>昼间</w:t>
                  </w:r>
                </w:p>
              </w:tc>
              <w:tc>
                <w:tcPr>
                  <w:tcW w:w="1000" w:type="pct"/>
                  <w:noWrap/>
                  <w:vAlign w:val="center"/>
                </w:tcPr>
                <w:p w14:paraId="63E142E9">
                  <w:pPr>
                    <w:widowControl/>
                    <w:jc w:val="center"/>
                    <w:rPr>
                      <w:rFonts w:cs="宋体"/>
                      <w:kern w:val="0"/>
                      <w:szCs w:val="20"/>
                    </w:rPr>
                  </w:pPr>
                  <w:r>
                    <w:rPr>
                      <w:rFonts w:hint="eastAsia" w:cs="Calibri"/>
                      <w:kern w:val="0"/>
                      <w:szCs w:val="22"/>
                    </w:rPr>
                    <w:t>58</w:t>
                  </w:r>
                </w:p>
              </w:tc>
              <w:tc>
                <w:tcPr>
                  <w:tcW w:w="1000" w:type="pct"/>
                  <w:vAlign w:val="center"/>
                </w:tcPr>
                <w:p w14:paraId="5551806B">
                  <w:pPr>
                    <w:widowControl/>
                    <w:jc w:val="center"/>
                    <w:rPr>
                      <w:rFonts w:cs="Calibri"/>
                      <w:kern w:val="0"/>
                      <w:szCs w:val="22"/>
                    </w:rPr>
                  </w:pPr>
                  <w:r>
                    <w:rPr>
                      <w:rFonts w:hint="eastAsia" w:cs="Calibri"/>
                      <w:kern w:val="0"/>
                      <w:szCs w:val="22"/>
                    </w:rPr>
                    <w:t>60</w:t>
                  </w:r>
                </w:p>
              </w:tc>
            </w:tr>
            <w:tr w14:paraId="4A259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vMerge w:val="continue"/>
                  <w:noWrap/>
                  <w:vAlign w:val="center"/>
                </w:tcPr>
                <w:p w14:paraId="7F2665E6">
                  <w:pPr>
                    <w:widowControl/>
                    <w:jc w:val="center"/>
                    <w:rPr>
                      <w:rFonts w:cs="Calibri"/>
                      <w:kern w:val="0"/>
                      <w:szCs w:val="22"/>
                    </w:rPr>
                  </w:pPr>
                </w:p>
              </w:tc>
              <w:tc>
                <w:tcPr>
                  <w:tcW w:w="823" w:type="pct"/>
                  <w:vMerge w:val="continue"/>
                  <w:noWrap/>
                  <w:vAlign w:val="center"/>
                </w:tcPr>
                <w:p w14:paraId="7F202C93">
                  <w:pPr>
                    <w:widowControl/>
                    <w:jc w:val="center"/>
                    <w:rPr>
                      <w:rFonts w:cs="Calibri"/>
                      <w:kern w:val="0"/>
                      <w:szCs w:val="22"/>
                    </w:rPr>
                  </w:pPr>
                </w:p>
              </w:tc>
              <w:tc>
                <w:tcPr>
                  <w:tcW w:w="1000" w:type="pct"/>
                  <w:noWrap/>
                  <w:vAlign w:val="center"/>
                </w:tcPr>
                <w:p w14:paraId="105B05B5">
                  <w:pPr>
                    <w:widowControl/>
                    <w:jc w:val="center"/>
                    <w:rPr>
                      <w:rFonts w:cs="Calibri"/>
                      <w:kern w:val="0"/>
                      <w:szCs w:val="22"/>
                    </w:rPr>
                  </w:pPr>
                  <w:r>
                    <w:rPr>
                      <w:rFonts w:hint="eastAsia" w:cs="Calibri"/>
                      <w:kern w:val="0"/>
                      <w:szCs w:val="22"/>
                    </w:rPr>
                    <w:t>夜间</w:t>
                  </w:r>
                </w:p>
              </w:tc>
              <w:tc>
                <w:tcPr>
                  <w:tcW w:w="1000" w:type="pct"/>
                  <w:noWrap/>
                  <w:vAlign w:val="center"/>
                </w:tcPr>
                <w:p w14:paraId="0EF69F70">
                  <w:pPr>
                    <w:widowControl/>
                    <w:jc w:val="center"/>
                    <w:rPr>
                      <w:rFonts w:cs="Calibri"/>
                      <w:kern w:val="0"/>
                      <w:szCs w:val="22"/>
                    </w:rPr>
                  </w:pPr>
                  <w:r>
                    <w:rPr>
                      <w:rFonts w:hint="eastAsia" w:cs="Calibri"/>
                      <w:kern w:val="0"/>
                      <w:szCs w:val="22"/>
                    </w:rPr>
                    <w:t>44</w:t>
                  </w:r>
                </w:p>
              </w:tc>
              <w:tc>
                <w:tcPr>
                  <w:tcW w:w="1000" w:type="pct"/>
                  <w:vAlign w:val="center"/>
                </w:tcPr>
                <w:p w14:paraId="264F4562">
                  <w:pPr>
                    <w:widowControl/>
                    <w:jc w:val="center"/>
                    <w:rPr>
                      <w:rFonts w:cs="Calibri"/>
                      <w:kern w:val="0"/>
                      <w:szCs w:val="22"/>
                    </w:rPr>
                  </w:pPr>
                  <w:r>
                    <w:rPr>
                      <w:rFonts w:hint="eastAsia" w:cs="Calibri"/>
                      <w:kern w:val="0"/>
                      <w:szCs w:val="22"/>
                    </w:rPr>
                    <w:t>50</w:t>
                  </w:r>
                </w:p>
              </w:tc>
            </w:tr>
            <w:tr w14:paraId="3382B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vMerge w:val="restart"/>
                  <w:noWrap/>
                  <w:vAlign w:val="center"/>
                </w:tcPr>
                <w:p w14:paraId="0FB74CB5">
                  <w:pPr>
                    <w:widowControl/>
                    <w:jc w:val="center"/>
                    <w:rPr>
                      <w:rFonts w:cs="宋体"/>
                      <w:kern w:val="0"/>
                      <w:szCs w:val="20"/>
                    </w:rPr>
                  </w:pPr>
                  <w:r>
                    <w:rPr>
                      <w:rFonts w:cs="Calibri"/>
                      <w:kern w:val="0"/>
                      <w:szCs w:val="22"/>
                    </w:rPr>
                    <w:t>3#西侧厂界外1m</w:t>
                  </w:r>
                </w:p>
              </w:tc>
              <w:tc>
                <w:tcPr>
                  <w:tcW w:w="823" w:type="pct"/>
                  <w:vMerge w:val="restart"/>
                  <w:noWrap/>
                  <w:vAlign w:val="center"/>
                </w:tcPr>
                <w:p w14:paraId="0606681E">
                  <w:pPr>
                    <w:widowControl/>
                    <w:jc w:val="center"/>
                    <w:rPr>
                      <w:rFonts w:cs="宋体"/>
                      <w:kern w:val="0"/>
                      <w:szCs w:val="20"/>
                    </w:rPr>
                  </w:pPr>
                  <w:r>
                    <w:rPr>
                      <w:rFonts w:cs="Calibri"/>
                      <w:kern w:val="0"/>
                      <w:szCs w:val="22"/>
                    </w:rPr>
                    <w:t>生产噪声</w:t>
                  </w:r>
                </w:p>
              </w:tc>
              <w:tc>
                <w:tcPr>
                  <w:tcW w:w="1000" w:type="pct"/>
                  <w:noWrap/>
                  <w:vAlign w:val="center"/>
                </w:tcPr>
                <w:p w14:paraId="3ED4E864">
                  <w:pPr>
                    <w:widowControl/>
                    <w:jc w:val="center"/>
                    <w:rPr>
                      <w:rFonts w:cs="宋体"/>
                      <w:kern w:val="0"/>
                      <w:szCs w:val="20"/>
                    </w:rPr>
                  </w:pPr>
                  <w:r>
                    <w:rPr>
                      <w:rFonts w:cs="Calibri"/>
                      <w:kern w:val="0"/>
                      <w:szCs w:val="22"/>
                    </w:rPr>
                    <w:t>昼间</w:t>
                  </w:r>
                </w:p>
              </w:tc>
              <w:tc>
                <w:tcPr>
                  <w:tcW w:w="1000" w:type="pct"/>
                  <w:noWrap/>
                  <w:vAlign w:val="center"/>
                </w:tcPr>
                <w:p w14:paraId="08E42597">
                  <w:pPr>
                    <w:widowControl/>
                    <w:jc w:val="center"/>
                    <w:rPr>
                      <w:rFonts w:cs="宋体"/>
                      <w:kern w:val="0"/>
                      <w:szCs w:val="20"/>
                    </w:rPr>
                  </w:pPr>
                  <w:r>
                    <w:rPr>
                      <w:rFonts w:hint="eastAsia" w:cs="Calibri"/>
                      <w:kern w:val="0"/>
                      <w:szCs w:val="22"/>
                    </w:rPr>
                    <w:t>57</w:t>
                  </w:r>
                </w:p>
              </w:tc>
              <w:tc>
                <w:tcPr>
                  <w:tcW w:w="1000" w:type="pct"/>
                  <w:vAlign w:val="center"/>
                </w:tcPr>
                <w:p w14:paraId="69C62E39">
                  <w:pPr>
                    <w:widowControl/>
                    <w:jc w:val="center"/>
                    <w:rPr>
                      <w:rFonts w:cs="Calibri"/>
                      <w:kern w:val="0"/>
                      <w:szCs w:val="22"/>
                    </w:rPr>
                  </w:pPr>
                  <w:r>
                    <w:rPr>
                      <w:rFonts w:hint="eastAsia" w:cs="Calibri"/>
                      <w:kern w:val="0"/>
                      <w:szCs w:val="22"/>
                    </w:rPr>
                    <w:t>60</w:t>
                  </w:r>
                </w:p>
              </w:tc>
            </w:tr>
            <w:tr w14:paraId="32569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vMerge w:val="continue"/>
                  <w:noWrap/>
                  <w:vAlign w:val="center"/>
                </w:tcPr>
                <w:p w14:paraId="18036279">
                  <w:pPr>
                    <w:widowControl/>
                    <w:jc w:val="center"/>
                    <w:rPr>
                      <w:rFonts w:cs="Calibri"/>
                      <w:kern w:val="0"/>
                      <w:szCs w:val="22"/>
                    </w:rPr>
                  </w:pPr>
                </w:p>
              </w:tc>
              <w:tc>
                <w:tcPr>
                  <w:tcW w:w="823" w:type="pct"/>
                  <w:vMerge w:val="continue"/>
                  <w:noWrap/>
                  <w:vAlign w:val="center"/>
                </w:tcPr>
                <w:p w14:paraId="54E56F22">
                  <w:pPr>
                    <w:widowControl/>
                    <w:jc w:val="center"/>
                    <w:rPr>
                      <w:rFonts w:cs="Calibri"/>
                      <w:kern w:val="0"/>
                      <w:szCs w:val="22"/>
                    </w:rPr>
                  </w:pPr>
                </w:p>
              </w:tc>
              <w:tc>
                <w:tcPr>
                  <w:tcW w:w="1000" w:type="pct"/>
                  <w:noWrap/>
                  <w:vAlign w:val="center"/>
                </w:tcPr>
                <w:p w14:paraId="00E54784">
                  <w:pPr>
                    <w:widowControl/>
                    <w:jc w:val="center"/>
                    <w:rPr>
                      <w:rFonts w:cs="Calibri"/>
                      <w:kern w:val="0"/>
                      <w:szCs w:val="22"/>
                    </w:rPr>
                  </w:pPr>
                  <w:r>
                    <w:rPr>
                      <w:rFonts w:hint="eastAsia" w:cs="Calibri"/>
                      <w:kern w:val="0"/>
                      <w:szCs w:val="22"/>
                    </w:rPr>
                    <w:t>夜间</w:t>
                  </w:r>
                </w:p>
              </w:tc>
              <w:tc>
                <w:tcPr>
                  <w:tcW w:w="1000" w:type="pct"/>
                  <w:noWrap/>
                  <w:vAlign w:val="center"/>
                </w:tcPr>
                <w:p w14:paraId="76F55676">
                  <w:pPr>
                    <w:widowControl/>
                    <w:jc w:val="center"/>
                    <w:rPr>
                      <w:rFonts w:cs="Calibri"/>
                      <w:kern w:val="0"/>
                      <w:szCs w:val="22"/>
                    </w:rPr>
                  </w:pPr>
                  <w:r>
                    <w:rPr>
                      <w:rFonts w:hint="eastAsia" w:cs="Calibri"/>
                      <w:kern w:val="0"/>
                      <w:szCs w:val="22"/>
                    </w:rPr>
                    <w:t>45</w:t>
                  </w:r>
                </w:p>
              </w:tc>
              <w:tc>
                <w:tcPr>
                  <w:tcW w:w="1000" w:type="pct"/>
                  <w:vAlign w:val="center"/>
                </w:tcPr>
                <w:p w14:paraId="3D02DFF5">
                  <w:pPr>
                    <w:widowControl/>
                    <w:jc w:val="center"/>
                    <w:rPr>
                      <w:rFonts w:cs="Calibri"/>
                      <w:kern w:val="0"/>
                      <w:szCs w:val="22"/>
                    </w:rPr>
                  </w:pPr>
                  <w:r>
                    <w:rPr>
                      <w:rFonts w:hint="eastAsia" w:cs="Calibri"/>
                      <w:kern w:val="0"/>
                      <w:szCs w:val="22"/>
                    </w:rPr>
                    <w:t>50</w:t>
                  </w:r>
                </w:p>
              </w:tc>
            </w:tr>
            <w:tr w14:paraId="6BFA3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vMerge w:val="restart"/>
                  <w:noWrap/>
                  <w:vAlign w:val="center"/>
                </w:tcPr>
                <w:p w14:paraId="3985EED0">
                  <w:pPr>
                    <w:widowControl/>
                    <w:jc w:val="center"/>
                    <w:rPr>
                      <w:rFonts w:cs="宋体"/>
                      <w:kern w:val="0"/>
                      <w:szCs w:val="20"/>
                    </w:rPr>
                  </w:pPr>
                  <w:r>
                    <w:rPr>
                      <w:rFonts w:cs="Calibri"/>
                      <w:kern w:val="0"/>
                      <w:szCs w:val="22"/>
                    </w:rPr>
                    <w:t>4#南侧厂界外1m</w:t>
                  </w:r>
                </w:p>
              </w:tc>
              <w:tc>
                <w:tcPr>
                  <w:tcW w:w="823" w:type="pct"/>
                  <w:vMerge w:val="restart"/>
                  <w:noWrap/>
                  <w:vAlign w:val="center"/>
                </w:tcPr>
                <w:p w14:paraId="62276E83">
                  <w:pPr>
                    <w:widowControl/>
                    <w:jc w:val="center"/>
                    <w:rPr>
                      <w:rFonts w:cs="宋体"/>
                      <w:kern w:val="0"/>
                      <w:szCs w:val="20"/>
                    </w:rPr>
                  </w:pPr>
                  <w:r>
                    <w:rPr>
                      <w:rFonts w:cs="Calibri"/>
                      <w:kern w:val="0"/>
                      <w:szCs w:val="22"/>
                    </w:rPr>
                    <w:t>生产噪声</w:t>
                  </w:r>
                </w:p>
              </w:tc>
              <w:tc>
                <w:tcPr>
                  <w:tcW w:w="1000" w:type="pct"/>
                  <w:noWrap/>
                  <w:vAlign w:val="center"/>
                </w:tcPr>
                <w:p w14:paraId="1DC78656">
                  <w:pPr>
                    <w:widowControl/>
                    <w:jc w:val="center"/>
                    <w:rPr>
                      <w:rFonts w:cs="宋体"/>
                      <w:kern w:val="0"/>
                      <w:szCs w:val="20"/>
                    </w:rPr>
                  </w:pPr>
                  <w:r>
                    <w:rPr>
                      <w:rFonts w:cs="Calibri"/>
                      <w:kern w:val="0"/>
                      <w:szCs w:val="22"/>
                    </w:rPr>
                    <w:t>昼间</w:t>
                  </w:r>
                </w:p>
              </w:tc>
              <w:tc>
                <w:tcPr>
                  <w:tcW w:w="1000" w:type="pct"/>
                  <w:noWrap/>
                  <w:vAlign w:val="center"/>
                </w:tcPr>
                <w:p w14:paraId="0A79568E">
                  <w:pPr>
                    <w:widowControl/>
                    <w:jc w:val="center"/>
                    <w:rPr>
                      <w:rFonts w:cs="宋体"/>
                      <w:kern w:val="0"/>
                      <w:szCs w:val="20"/>
                    </w:rPr>
                  </w:pPr>
                  <w:r>
                    <w:rPr>
                      <w:rFonts w:hint="eastAsia" w:cs="Calibri"/>
                      <w:kern w:val="0"/>
                      <w:szCs w:val="22"/>
                    </w:rPr>
                    <w:t>58</w:t>
                  </w:r>
                </w:p>
              </w:tc>
              <w:tc>
                <w:tcPr>
                  <w:tcW w:w="1000" w:type="pct"/>
                  <w:vAlign w:val="center"/>
                </w:tcPr>
                <w:p w14:paraId="4FE180EA">
                  <w:pPr>
                    <w:widowControl/>
                    <w:jc w:val="center"/>
                    <w:rPr>
                      <w:rFonts w:cs="Calibri"/>
                      <w:kern w:val="0"/>
                      <w:szCs w:val="22"/>
                    </w:rPr>
                  </w:pPr>
                  <w:r>
                    <w:rPr>
                      <w:rFonts w:hint="eastAsia" w:cs="Calibri"/>
                      <w:kern w:val="0"/>
                      <w:szCs w:val="22"/>
                    </w:rPr>
                    <w:t>60</w:t>
                  </w:r>
                </w:p>
              </w:tc>
            </w:tr>
            <w:tr w14:paraId="7E47E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1177" w:type="pct"/>
                  <w:vMerge w:val="continue"/>
                  <w:noWrap/>
                  <w:vAlign w:val="center"/>
                </w:tcPr>
                <w:p w14:paraId="681D6FFF">
                  <w:pPr>
                    <w:widowControl/>
                    <w:jc w:val="center"/>
                    <w:rPr>
                      <w:rFonts w:cs="Calibri"/>
                      <w:kern w:val="0"/>
                      <w:szCs w:val="22"/>
                    </w:rPr>
                  </w:pPr>
                </w:p>
              </w:tc>
              <w:tc>
                <w:tcPr>
                  <w:tcW w:w="823" w:type="pct"/>
                  <w:vMerge w:val="continue"/>
                  <w:noWrap/>
                  <w:vAlign w:val="center"/>
                </w:tcPr>
                <w:p w14:paraId="4C5E662C">
                  <w:pPr>
                    <w:widowControl/>
                    <w:jc w:val="center"/>
                    <w:rPr>
                      <w:rFonts w:cs="Calibri"/>
                      <w:kern w:val="0"/>
                      <w:szCs w:val="22"/>
                    </w:rPr>
                  </w:pPr>
                </w:p>
              </w:tc>
              <w:tc>
                <w:tcPr>
                  <w:tcW w:w="1000" w:type="pct"/>
                  <w:noWrap/>
                  <w:vAlign w:val="center"/>
                </w:tcPr>
                <w:p w14:paraId="5C828C56">
                  <w:pPr>
                    <w:widowControl/>
                    <w:jc w:val="center"/>
                    <w:rPr>
                      <w:rFonts w:cs="Calibri"/>
                      <w:kern w:val="0"/>
                      <w:szCs w:val="22"/>
                    </w:rPr>
                  </w:pPr>
                  <w:r>
                    <w:rPr>
                      <w:rFonts w:hint="eastAsia" w:cs="Calibri"/>
                      <w:kern w:val="0"/>
                      <w:szCs w:val="22"/>
                    </w:rPr>
                    <w:t>夜间</w:t>
                  </w:r>
                </w:p>
              </w:tc>
              <w:tc>
                <w:tcPr>
                  <w:tcW w:w="1000" w:type="pct"/>
                  <w:noWrap/>
                  <w:vAlign w:val="center"/>
                </w:tcPr>
                <w:p w14:paraId="174E9DBB">
                  <w:pPr>
                    <w:widowControl/>
                    <w:jc w:val="center"/>
                    <w:rPr>
                      <w:rFonts w:cs="Calibri"/>
                      <w:kern w:val="0"/>
                      <w:szCs w:val="22"/>
                    </w:rPr>
                  </w:pPr>
                  <w:r>
                    <w:rPr>
                      <w:rFonts w:hint="eastAsia" w:cs="Calibri"/>
                      <w:kern w:val="0"/>
                      <w:szCs w:val="22"/>
                    </w:rPr>
                    <w:t>44</w:t>
                  </w:r>
                </w:p>
              </w:tc>
              <w:tc>
                <w:tcPr>
                  <w:tcW w:w="1000" w:type="pct"/>
                  <w:vAlign w:val="center"/>
                </w:tcPr>
                <w:p w14:paraId="3E05C448">
                  <w:pPr>
                    <w:widowControl/>
                    <w:jc w:val="center"/>
                    <w:rPr>
                      <w:rFonts w:cs="Calibri"/>
                      <w:kern w:val="0"/>
                      <w:szCs w:val="22"/>
                    </w:rPr>
                  </w:pPr>
                  <w:r>
                    <w:rPr>
                      <w:rFonts w:hint="eastAsia" w:cs="Calibri"/>
                      <w:kern w:val="0"/>
                      <w:szCs w:val="22"/>
                    </w:rPr>
                    <w:t>50</w:t>
                  </w:r>
                </w:p>
              </w:tc>
            </w:tr>
          </w:tbl>
          <w:p w14:paraId="7A81E08B">
            <w:pPr>
              <w:spacing w:before="120" w:beforeLines="50" w:line="360" w:lineRule="auto"/>
              <w:ind w:firstLine="480" w:firstLineChars="200"/>
              <w:rPr>
                <w:bCs/>
                <w:sz w:val="24"/>
                <w:szCs w:val="24"/>
              </w:rPr>
            </w:pPr>
            <w:r>
              <w:rPr>
                <w:rFonts w:hint="eastAsia"/>
                <w:bCs/>
                <w:sz w:val="24"/>
                <w:szCs w:val="24"/>
              </w:rPr>
              <w:t>（4）固体废物</w:t>
            </w:r>
          </w:p>
          <w:p w14:paraId="0046B4FA">
            <w:pPr>
              <w:spacing w:line="360" w:lineRule="auto"/>
              <w:ind w:firstLine="480" w:firstLineChars="200"/>
              <w:rPr>
                <w:bCs/>
                <w:sz w:val="24"/>
                <w:szCs w:val="24"/>
              </w:rPr>
            </w:pPr>
            <w:r>
              <w:rPr>
                <w:rFonts w:hint="eastAsia"/>
                <w:bCs/>
                <w:sz w:val="24"/>
                <w:szCs w:val="24"/>
              </w:rPr>
              <w:t>现有项目运营期所产生的固体废物包括一般工业废物、危险废物、员生活垃圾。一般工业废物包括白土渣、生活污水处理污泥和生物质锅炉炉渣，均交由专业回收公司处理；危险废物包括废活性炭、废机油、废机油桶、含油废抹布及手套，均委托有资质的危险废物处理单位处理处置；生活垃圾交由当地环卫部门定期清运处理</w:t>
            </w:r>
          </w:p>
          <w:p w14:paraId="4B864514">
            <w:pPr>
              <w:spacing w:before="120" w:beforeLines="50" w:line="360" w:lineRule="auto"/>
              <w:ind w:firstLine="482" w:firstLineChars="200"/>
              <w:jc w:val="left"/>
              <w:rPr>
                <w:b/>
                <w:bCs/>
                <w:sz w:val="24"/>
                <w:szCs w:val="24"/>
              </w:rPr>
            </w:pPr>
            <w:r>
              <w:rPr>
                <w:rFonts w:hint="eastAsia"/>
                <w:b/>
                <w:bCs/>
                <w:sz w:val="24"/>
                <w:szCs w:val="24"/>
              </w:rPr>
              <w:t>2.2 年加工2万吨皂脚项目（已批未建）</w:t>
            </w:r>
          </w:p>
          <w:p w14:paraId="139C6DC0">
            <w:pPr>
              <w:spacing w:line="360" w:lineRule="auto"/>
              <w:ind w:firstLine="482" w:firstLineChars="200"/>
              <w:rPr>
                <w:b/>
                <w:bCs/>
                <w:sz w:val="24"/>
              </w:rPr>
            </w:pPr>
            <w:r>
              <w:rPr>
                <w:rFonts w:hint="eastAsia"/>
                <w:b/>
                <w:bCs/>
                <w:sz w:val="24"/>
              </w:rPr>
              <w:t>2.2.1生产工艺流程</w:t>
            </w:r>
          </w:p>
          <w:p w14:paraId="69F9C339">
            <w:pPr>
              <w:spacing w:line="360" w:lineRule="auto"/>
              <w:ind w:firstLine="480" w:firstLineChars="200"/>
              <w:rPr>
                <w:bCs/>
                <w:sz w:val="24"/>
                <w:szCs w:val="24"/>
              </w:rPr>
            </w:pPr>
            <w:r>
              <w:rPr>
                <w:rFonts w:hint="eastAsia"/>
                <w:sz w:val="24"/>
              </w:rPr>
              <w:t>已批未建的年加工2万吨废白工项目，</w:t>
            </w:r>
            <w:r>
              <w:rPr>
                <w:rFonts w:hint="eastAsia"/>
                <w:bCs/>
                <w:sz w:val="24"/>
                <w:szCs w:val="24"/>
              </w:rPr>
              <w:t>年产工业油脂（酸化油）约8041吨。</w:t>
            </w:r>
            <w:r>
              <w:rPr>
                <w:rFonts w:hint="eastAsia"/>
                <w:sz w:val="24"/>
              </w:rPr>
              <w:t>实际</w:t>
            </w:r>
            <w:r>
              <w:rPr>
                <w:rFonts w:hint="eastAsia"/>
                <w:bCs/>
                <w:sz w:val="24"/>
                <w:szCs w:val="24"/>
              </w:rPr>
              <w:t>年工作300天、一天3班、每班8小时。生产工艺流程主要为：废皂脚→酸化反应→油水分离(废水→收集池一回用到废白土炒锅)→储油罐</w:t>
            </w:r>
            <w:r>
              <w:rPr>
                <w:rFonts w:hint="eastAsia"/>
                <w:sz w:val="24"/>
              </w:rPr>
              <w:t>（产品）。</w:t>
            </w:r>
          </w:p>
          <w:p w14:paraId="59BB9556">
            <w:pPr>
              <w:spacing w:line="360" w:lineRule="auto"/>
              <w:ind w:firstLine="480" w:firstLineChars="200"/>
              <w:rPr>
                <w:sz w:val="24"/>
              </w:rPr>
            </w:pPr>
            <w:r>
              <w:rPr>
                <w:rFonts w:hint="eastAsia"/>
                <w:sz w:val="24"/>
              </w:rPr>
              <w:t>外收的废皂脚为液态，通过槽车运输入厂后泵入加工池中。</w:t>
            </w:r>
          </w:p>
          <w:p w14:paraId="0C5CD7B7">
            <w:pPr>
              <w:spacing w:line="360" w:lineRule="auto"/>
              <w:ind w:firstLine="480" w:firstLineChars="200"/>
              <w:rPr>
                <w:sz w:val="24"/>
              </w:rPr>
            </w:pPr>
            <w:r>
              <w:rPr>
                <w:rFonts w:hint="eastAsia"/>
                <w:sz w:val="24"/>
              </w:rPr>
              <w:t>（1）酸化</w:t>
            </w:r>
          </w:p>
          <w:p w14:paraId="60CC484B">
            <w:pPr>
              <w:spacing w:line="360" w:lineRule="auto"/>
              <w:ind w:firstLine="480" w:firstLineChars="200"/>
              <w:rPr>
                <w:sz w:val="24"/>
              </w:rPr>
            </w:pPr>
            <w:r>
              <w:rPr>
                <w:rFonts w:hint="eastAsia"/>
                <w:sz w:val="24"/>
              </w:rPr>
              <w:t>废皂脚的加工过程在地下加工池中进行，地下油池采用玻璃纤维+环氧树脂作为防腐层，能有效防止池内物料腐蚀地面。废皂脚呈碱性，通过管送方式往废皂脚中加入98%的硫酸进行酸化，再使用空压机及气管往池底通入空气，使油水分离，油脂成分和水逐渐分层。酸化过程在常温下进行。</w:t>
            </w:r>
          </w:p>
          <w:p w14:paraId="107658C7">
            <w:pPr>
              <w:spacing w:line="360" w:lineRule="auto"/>
              <w:ind w:firstLine="480" w:firstLineChars="200"/>
              <w:rPr>
                <w:sz w:val="24"/>
              </w:rPr>
            </w:pPr>
            <w:r>
              <w:rPr>
                <w:rFonts w:hint="eastAsia"/>
                <w:sz w:val="24"/>
              </w:rPr>
              <w:t>废皂脚酸化处理过程会产生一定量的硫酸雾和少量的有机废气，经收集处理达标后排放。</w:t>
            </w:r>
          </w:p>
          <w:p w14:paraId="7D467BA3">
            <w:pPr>
              <w:spacing w:line="360" w:lineRule="auto"/>
              <w:ind w:firstLine="480" w:firstLineChars="200"/>
              <w:rPr>
                <w:sz w:val="24"/>
              </w:rPr>
            </w:pPr>
            <w:r>
              <w:rPr>
                <w:rFonts w:hint="eastAsia"/>
                <w:sz w:val="24"/>
              </w:rPr>
              <w:t>（2）油水分离</w:t>
            </w:r>
          </w:p>
          <w:p w14:paraId="3022E561">
            <w:pPr>
              <w:spacing w:line="360" w:lineRule="auto"/>
              <w:ind w:firstLine="480" w:firstLineChars="200"/>
              <w:rPr>
                <w:sz w:val="24"/>
              </w:rPr>
            </w:pPr>
            <w:r>
              <w:rPr>
                <w:rFonts w:hint="eastAsia"/>
                <w:sz w:val="24"/>
              </w:rPr>
              <w:t>加工池反应至液面出现大量浮油时，开启液面阀将液面浮油排入油水分离池，经过重力沉淀使油水分离，上层的浮油被收集泵入产品储罐中，下层的废水通过收集后回用于废白土炒锅工序。</w:t>
            </w:r>
          </w:p>
          <w:p w14:paraId="2BA2FD55">
            <w:pPr>
              <w:spacing w:line="360" w:lineRule="auto"/>
              <w:ind w:firstLine="482" w:firstLineChars="200"/>
              <w:rPr>
                <w:b/>
                <w:bCs/>
                <w:sz w:val="24"/>
              </w:rPr>
            </w:pPr>
            <w:r>
              <w:rPr>
                <w:rFonts w:hint="eastAsia"/>
                <w:b/>
                <w:bCs/>
                <w:sz w:val="24"/>
              </w:rPr>
              <w:t>2.2.2污染物产生和排放情况</w:t>
            </w:r>
          </w:p>
          <w:p w14:paraId="7357ACE1">
            <w:pPr>
              <w:spacing w:line="360" w:lineRule="auto"/>
              <w:ind w:firstLine="480" w:firstLineChars="200"/>
              <w:rPr>
                <w:bCs/>
                <w:sz w:val="24"/>
                <w:szCs w:val="24"/>
              </w:rPr>
            </w:pPr>
            <w:r>
              <w:rPr>
                <w:rFonts w:hint="eastAsia"/>
                <w:sz w:val="24"/>
              </w:rPr>
              <w:t>惠州市耀坤环保科技有限公司年加工2万吨废皂脚项目至今未建设投产。本环评根据《惠州市耀坤环保科技有限公司年加工6万吨废白土及2万吨废皂脚项目环境影响报告书》核算年加工2万吨废皂脚项目的污染物排放量。</w:t>
            </w:r>
          </w:p>
          <w:p w14:paraId="594A81DC">
            <w:pPr>
              <w:spacing w:line="360" w:lineRule="auto"/>
              <w:ind w:firstLine="480" w:firstLineChars="200"/>
              <w:rPr>
                <w:bCs/>
                <w:sz w:val="24"/>
                <w:szCs w:val="24"/>
              </w:rPr>
            </w:pPr>
            <w:r>
              <w:rPr>
                <w:rFonts w:hint="eastAsia"/>
                <w:bCs/>
                <w:sz w:val="24"/>
                <w:szCs w:val="24"/>
              </w:rPr>
              <w:t>（1）废气</w:t>
            </w:r>
          </w:p>
          <w:p w14:paraId="70BB86AE">
            <w:pPr>
              <w:spacing w:line="360" w:lineRule="auto"/>
              <w:ind w:firstLine="480" w:firstLineChars="200"/>
              <w:rPr>
                <w:sz w:val="24"/>
              </w:rPr>
            </w:pPr>
            <w:r>
              <w:rPr>
                <w:rFonts w:hint="eastAsia"/>
                <w:sz w:val="24"/>
              </w:rPr>
              <w:t>废皂脚加工过程废气来自酸化反应产生的酸化废气，主要污染物为硫酸雾和VOCs，根据《惠州市耀坤环保科技有限公司年加工6万吨废白土及2万吨废皂脚项目环境影响报告书》，硫酸雾排放量约为0.049t/a，VOCs排放量为0.0495 t/a。</w:t>
            </w:r>
          </w:p>
          <w:p w14:paraId="014219EA">
            <w:pPr>
              <w:spacing w:line="360" w:lineRule="auto"/>
              <w:ind w:firstLine="480" w:firstLineChars="200"/>
              <w:rPr>
                <w:bCs/>
                <w:sz w:val="24"/>
                <w:szCs w:val="24"/>
              </w:rPr>
            </w:pPr>
            <w:r>
              <w:rPr>
                <w:rFonts w:hint="eastAsia"/>
                <w:bCs/>
                <w:sz w:val="24"/>
                <w:szCs w:val="24"/>
              </w:rPr>
              <w:t>硫酸雾排放执行广东省《大气污染物排放限值》(DB44/27-2001)中第二时段二级标准，VOCs排放执行广东省《家具制造行业挥发性有机化合物排放标准》(DB44/814-2010)Ⅱ时段标准。</w:t>
            </w:r>
          </w:p>
          <w:p w14:paraId="385BCB72">
            <w:pPr>
              <w:spacing w:line="360" w:lineRule="auto"/>
              <w:ind w:firstLine="480" w:firstLineChars="200"/>
              <w:rPr>
                <w:bCs/>
                <w:sz w:val="24"/>
                <w:szCs w:val="24"/>
              </w:rPr>
            </w:pPr>
            <w:r>
              <w:rPr>
                <w:rFonts w:hint="eastAsia"/>
                <w:bCs/>
                <w:sz w:val="24"/>
                <w:szCs w:val="24"/>
              </w:rPr>
              <w:t>（2）废水</w:t>
            </w:r>
          </w:p>
          <w:p w14:paraId="61FC813A">
            <w:pPr>
              <w:spacing w:line="360" w:lineRule="auto"/>
              <w:ind w:firstLine="480" w:firstLineChars="200"/>
              <w:rPr>
                <w:bCs/>
                <w:sz w:val="24"/>
                <w:szCs w:val="24"/>
              </w:rPr>
            </w:pPr>
            <w:r>
              <w:rPr>
                <w:rFonts w:hint="eastAsia"/>
                <w:sz w:val="24"/>
              </w:rPr>
              <w:t>废皂脚加工过程油水分离时会将其中的水分分离出来。根据《惠州市耀坤环保科技有限公司年加工6万吨废白土及2万吨废皂脚项目环境影响报告书》及水平衡核算，此部分工艺废水量约为3989.57</w:t>
            </w:r>
            <w:r>
              <w:rPr>
                <w:rFonts w:hint="eastAsia"/>
                <w:bCs/>
                <w:sz w:val="24"/>
                <w:szCs w:val="24"/>
              </w:rPr>
              <w:t>m</w:t>
            </w:r>
            <w:r>
              <w:rPr>
                <w:rFonts w:hint="eastAsia"/>
                <w:bCs/>
                <w:sz w:val="24"/>
                <w:szCs w:val="24"/>
                <w:vertAlign w:val="superscript"/>
              </w:rPr>
              <w:t>3</w:t>
            </w:r>
            <w:r>
              <w:rPr>
                <w:rFonts w:hint="eastAsia"/>
                <w:bCs/>
                <w:sz w:val="24"/>
                <w:szCs w:val="24"/>
              </w:rPr>
              <w:t>/年（</w:t>
            </w:r>
            <w:r>
              <w:rPr>
                <w:rFonts w:hint="eastAsia"/>
                <w:sz w:val="24"/>
              </w:rPr>
              <w:t>13.19</w:t>
            </w:r>
            <w:r>
              <w:rPr>
                <w:rFonts w:hint="eastAsia"/>
                <w:bCs/>
                <w:sz w:val="24"/>
                <w:szCs w:val="24"/>
              </w:rPr>
              <w:t>m</w:t>
            </w:r>
            <w:r>
              <w:rPr>
                <w:rFonts w:hint="eastAsia"/>
                <w:bCs/>
                <w:sz w:val="24"/>
                <w:szCs w:val="24"/>
                <w:vertAlign w:val="superscript"/>
              </w:rPr>
              <w:t>3</w:t>
            </w:r>
            <w:r>
              <w:rPr>
                <w:rFonts w:hint="eastAsia"/>
                <w:bCs/>
                <w:sz w:val="24"/>
                <w:szCs w:val="24"/>
              </w:rPr>
              <w:t>/d），废水全部回用于废白土炒锅工序不外排。</w:t>
            </w:r>
          </w:p>
          <w:p w14:paraId="3090BD42">
            <w:pPr>
              <w:spacing w:line="360" w:lineRule="auto"/>
              <w:ind w:firstLine="482" w:firstLineChars="200"/>
              <w:jc w:val="left"/>
              <w:rPr>
                <w:b/>
                <w:bCs/>
                <w:sz w:val="24"/>
                <w:szCs w:val="24"/>
              </w:rPr>
            </w:pPr>
            <w:r>
              <w:rPr>
                <w:rFonts w:hint="eastAsia"/>
                <w:b/>
                <w:bCs/>
                <w:sz w:val="24"/>
                <w:szCs w:val="24"/>
              </w:rPr>
              <w:t>2.3 现有项目污染物排放量汇总</w:t>
            </w:r>
          </w:p>
          <w:p w14:paraId="149BAEC0">
            <w:pPr>
              <w:spacing w:line="360" w:lineRule="auto"/>
              <w:ind w:firstLine="480" w:firstLineChars="200"/>
              <w:jc w:val="left"/>
              <w:rPr>
                <w:bCs/>
                <w:sz w:val="24"/>
                <w:szCs w:val="24"/>
              </w:rPr>
            </w:pPr>
            <w:r>
              <w:rPr>
                <w:rFonts w:hint="eastAsia"/>
                <w:bCs/>
                <w:sz w:val="24"/>
                <w:szCs w:val="24"/>
              </w:rPr>
              <w:t>现有项目污染物排放量汇总见表2-15。</w:t>
            </w:r>
          </w:p>
          <w:p w14:paraId="1F908864">
            <w:pPr>
              <w:spacing w:line="360" w:lineRule="auto"/>
              <w:ind w:firstLine="480" w:firstLineChars="200"/>
              <w:jc w:val="left"/>
              <w:rPr>
                <w:bCs/>
                <w:sz w:val="24"/>
                <w:szCs w:val="24"/>
              </w:rPr>
            </w:pPr>
          </w:p>
          <w:p w14:paraId="064D7D8B">
            <w:pPr>
              <w:spacing w:line="360" w:lineRule="auto"/>
              <w:ind w:firstLine="480" w:firstLineChars="200"/>
              <w:jc w:val="left"/>
              <w:rPr>
                <w:bCs/>
                <w:sz w:val="24"/>
                <w:szCs w:val="24"/>
              </w:rPr>
            </w:pPr>
          </w:p>
          <w:p w14:paraId="5DC37885">
            <w:pPr>
              <w:spacing w:line="360" w:lineRule="auto"/>
              <w:ind w:firstLine="480" w:firstLineChars="200"/>
              <w:jc w:val="left"/>
              <w:rPr>
                <w:bCs/>
                <w:sz w:val="24"/>
                <w:szCs w:val="24"/>
              </w:rPr>
            </w:pPr>
          </w:p>
          <w:p w14:paraId="4DDE809C">
            <w:pPr>
              <w:spacing w:line="360" w:lineRule="auto"/>
              <w:ind w:firstLine="480" w:firstLineChars="200"/>
              <w:jc w:val="left"/>
              <w:rPr>
                <w:rFonts w:hint="eastAsia"/>
                <w:bCs/>
                <w:sz w:val="24"/>
                <w:szCs w:val="24"/>
              </w:rPr>
            </w:pPr>
          </w:p>
          <w:p w14:paraId="3448DF02">
            <w:pPr>
              <w:pStyle w:val="14"/>
              <w:spacing w:before="0" w:beforeLines="0" w:after="0" w:afterLines="0" w:line="360" w:lineRule="auto"/>
              <w:rPr>
                <w:rFonts w:eastAsia="宋体"/>
                <w:b/>
                <w:sz w:val="21"/>
              </w:rPr>
            </w:pPr>
            <w:r>
              <w:rPr>
                <w:rFonts w:hint="eastAsia" w:eastAsia="宋体"/>
                <w:b/>
                <w:sz w:val="21"/>
              </w:rPr>
              <w:t>表2-15 现有项目污染物排放量汇总</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6"/>
              <w:gridCol w:w="1182"/>
              <w:gridCol w:w="1182"/>
              <w:gridCol w:w="1573"/>
              <w:gridCol w:w="1573"/>
              <w:gridCol w:w="2159"/>
              <w:gridCol w:w="694"/>
            </w:tblGrid>
            <w:tr w14:paraId="6269E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gridSpan w:val="2"/>
                  <w:noWrap/>
                  <w:vAlign w:val="center"/>
                </w:tcPr>
                <w:p w14:paraId="5D89BC04">
                  <w:pPr>
                    <w:widowControl/>
                    <w:jc w:val="center"/>
                    <w:rPr>
                      <w:rFonts w:cs="宋体"/>
                      <w:kern w:val="0"/>
                      <w:szCs w:val="20"/>
                    </w:rPr>
                  </w:pPr>
                  <w:r>
                    <w:rPr>
                      <w:rFonts w:hint="eastAsia" w:cs="Calibri"/>
                      <w:kern w:val="0"/>
                      <w:szCs w:val="22"/>
                    </w:rPr>
                    <w:t>污染</w:t>
                  </w:r>
                  <w:r>
                    <w:rPr>
                      <w:rFonts w:cs="Calibri"/>
                      <w:kern w:val="0"/>
                      <w:szCs w:val="22"/>
                    </w:rPr>
                    <w:t>类型</w:t>
                  </w:r>
                </w:p>
              </w:tc>
              <w:tc>
                <w:tcPr>
                  <w:tcW w:w="0" w:type="auto"/>
                  <w:vAlign w:val="center"/>
                </w:tcPr>
                <w:p w14:paraId="6F7C2A57">
                  <w:pPr>
                    <w:widowControl/>
                    <w:jc w:val="center"/>
                    <w:rPr>
                      <w:rFonts w:cs="宋体"/>
                      <w:kern w:val="0"/>
                      <w:szCs w:val="20"/>
                    </w:rPr>
                  </w:pPr>
                  <w:r>
                    <w:rPr>
                      <w:rFonts w:cs="Calibri"/>
                      <w:kern w:val="0"/>
                      <w:szCs w:val="22"/>
                    </w:rPr>
                    <w:t>污染物名称</w:t>
                  </w:r>
                </w:p>
              </w:tc>
              <w:tc>
                <w:tcPr>
                  <w:tcW w:w="0" w:type="auto"/>
                  <w:noWrap/>
                  <w:vAlign w:val="center"/>
                </w:tcPr>
                <w:p w14:paraId="07FEBCD3">
                  <w:pPr>
                    <w:widowControl/>
                    <w:jc w:val="center"/>
                    <w:rPr>
                      <w:rFonts w:cs="宋体"/>
                      <w:kern w:val="0"/>
                      <w:szCs w:val="20"/>
                    </w:rPr>
                  </w:pPr>
                  <w:r>
                    <w:rPr>
                      <w:rFonts w:cs="Calibri"/>
                      <w:kern w:val="0"/>
                      <w:szCs w:val="22"/>
                    </w:rPr>
                    <w:t>现有项目实际排放量(t/a)</w:t>
                  </w:r>
                </w:p>
              </w:tc>
              <w:tc>
                <w:tcPr>
                  <w:tcW w:w="0" w:type="auto"/>
                  <w:noWrap/>
                  <w:vAlign w:val="center"/>
                </w:tcPr>
                <w:p w14:paraId="529E962F">
                  <w:pPr>
                    <w:widowControl/>
                    <w:jc w:val="center"/>
                    <w:rPr>
                      <w:rFonts w:cs="宋体"/>
                      <w:kern w:val="0"/>
                      <w:szCs w:val="20"/>
                    </w:rPr>
                  </w:pPr>
                  <w:r>
                    <w:rPr>
                      <w:rFonts w:cs="Calibri"/>
                      <w:kern w:val="0"/>
                      <w:szCs w:val="22"/>
                    </w:rPr>
                    <w:t>已批未验项目排放量(t/a)</w:t>
                  </w:r>
                </w:p>
              </w:tc>
              <w:tc>
                <w:tcPr>
                  <w:tcW w:w="0" w:type="auto"/>
                  <w:noWrap/>
                  <w:vAlign w:val="center"/>
                </w:tcPr>
                <w:p w14:paraId="28F4775F">
                  <w:pPr>
                    <w:widowControl/>
                    <w:jc w:val="center"/>
                    <w:rPr>
                      <w:rFonts w:cs="宋体"/>
                      <w:kern w:val="0"/>
                      <w:szCs w:val="20"/>
                    </w:rPr>
                  </w:pPr>
                  <w:r>
                    <w:rPr>
                      <w:rFonts w:cs="Calibri"/>
                      <w:kern w:val="0"/>
                      <w:szCs w:val="22"/>
                    </w:rPr>
                    <w:t>现有项目及已批未验项目合计(t/a)</w:t>
                  </w:r>
                </w:p>
              </w:tc>
              <w:tc>
                <w:tcPr>
                  <w:tcW w:w="0" w:type="auto"/>
                  <w:noWrap/>
                  <w:vAlign w:val="center"/>
                </w:tcPr>
                <w:p w14:paraId="45943960">
                  <w:pPr>
                    <w:widowControl/>
                    <w:jc w:val="center"/>
                    <w:rPr>
                      <w:rFonts w:cs="宋体"/>
                      <w:kern w:val="0"/>
                      <w:szCs w:val="20"/>
                    </w:rPr>
                  </w:pPr>
                  <w:r>
                    <w:rPr>
                      <w:rFonts w:cs="Calibri"/>
                      <w:kern w:val="0"/>
                      <w:szCs w:val="22"/>
                    </w:rPr>
                    <w:t>许可量(t/a)</w:t>
                  </w:r>
                </w:p>
              </w:tc>
            </w:tr>
            <w:tr w14:paraId="0D9B9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restart"/>
                  <w:noWrap/>
                  <w:vAlign w:val="center"/>
                </w:tcPr>
                <w:p w14:paraId="660CC307">
                  <w:pPr>
                    <w:widowControl/>
                    <w:jc w:val="center"/>
                    <w:rPr>
                      <w:rFonts w:cs="Calibri"/>
                      <w:kern w:val="0"/>
                      <w:szCs w:val="22"/>
                    </w:rPr>
                  </w:pPr>
                  <w:r>
                    <w:rPr>
                      <w:rFonts w:hint="eastAsia" w:cs="Calibri"/>
                      <w:kern w:val="0"/>
                      <w:szCs w:val="22"/>
                    </w:rPr>
                    <w:t>废气</w:t>
                  </w:r>
                </w:p>
              </w:tc>
              <w:tc>
                <w:tcPr>
                  <w:tcW w:w="0" w:type="auto"/>
                  <w:vMerge w:val="restart"/>
                  <w:vAlign w:val="center"/>
                </w:tcPr>
                <w:p w14:paraId="4B116FC2">
                  <w:pPr>
                    <w:widowControl/>
                    <w:jc w:val="center"/>
                    <w:rPr>
                      <w:rFonts w:cs="Calibri"/>
                      <w:kern w:val="0"/>
                      <w:szCs w:val="22"/>
                    </w:rPr>
                  </w:pPr>
                  <w:r>
                    <w:rPr>
                      <w:rFonts w:hint="eastAsia" w:cs="Calibri"/>
                      <w:kern w:val="0"/>
                      <w:szCs w:val="22"/>
                    </w:rPr>
                    <w:t>锅炉废气</w:t>
                  </w:r>
                </w:p>
              </w:tc>
              <w:tc>
                <w:tcPr>
                  <w:tcW w:w="0" w:type="auto"/>
                  <w:vAlign w:val="center"/>
                </w:tcPr>
                <w:p w14:paraId="12A2CB3F">
                  <w:pPr>
                    <w:widowControl/>
                    <w:jc w:val="center"/>
                    <w:rPr>
                      <w:rFonts w:cs="Calibri"/>
                      <w:kern w:val="0"/>
                      <w:szCs w:val="22"/>
                    </w:rPr>
                  </w:pPr>
                  <w:r>
                    <w:rPr>
                      <w:rFonts w:hint="eastAsia" w:cs="宋体"/>
                      <w:kern w:val="0"/>
                    </w:rPr>
                    <w:t>颗粒物</w:t>
                  </w:r>
                </w:p>
              </w:tc>
              <w:tc>
                <w:tcPr>
                  <w:tcW w:w="0" w:type="auto"/>
                  <w:noWrap/>
                  <w:vAlign w:val="center"/>
                </w:tcPr>
                <w:p w14:paraId="0A5BF25A">
                  <w:pPr>
                    <w:widowControl/>
                    <w:jc w:val="center"/>
                    <w:rPr>
                      <w:rFonts w:cs="Calibri"/>
                      <w:kern w:val="0"/>
                      <w:szCs w:val="22"/>
                    </w:rPr>
                  </w:pPr>
                  <w:r>
                    <w:rPr>
                      <w:rFonts w:hint="eastAsia" w:cs="宋体"/>
                      <w:kern w:val="0"/>
                      <w:szCs w:val="22"/>
                    </w:rPr>
                    <w:t xml:space="preserve">0.17 </w:t>
                  </w:r>
                </w:p>
              </w:tc>
              <w:tc>
                <w:tcPr>
                  <w:tcW w:w="0" w:type="auto"/>
                  <w:noWrap/>
                  <w:vAlign w:val="center"/>
                </w:tcPr>
                <w:p w14:paraId="046D1E99">
                  <w:pPr>
                    <w:widowControl/>
                    <w:jc w:val="center"/>
                    <w:rPr>
                      <w:rFonts w:cs="Calibri"/>
                      <w:kern w:val="0"/>
                      <w:szCs w:val="22"/>
                    </w:rPr>
                  </w:pPr>
                  <w:r>
                    <w:rPr>
                      <w:rFonts w:hint="eastAsia" w:cs="Calibri"/>
                      <w:kern w:val="0"/>
                      <w:szCs w:val="22"/>
                    </w:rPr>
                    <w:t>0</w:t>
                  </w:r>
                </w:p>
              </w:tc>
              <w:tc>
                <w:tcPr>
                  <w:tcW w:w="0" w:type="auto"/>
                  <w:noWrap/>
                  <w:vAlign w:val="center"/>
                </w:tcPr>
                <w:p w14:paraId="693B7406">
                  <w:pPr>
                    <w:widowControl/>
                    <w:jc w:val="center"/>
                    <w:rPr>
                      <w:rFonts w:cs="Calibri"/>
                      <w:kern w:val="0"/>
                      <w:szCs w:val="22"/>
                    </w:rPr>
                  </w:pPr>
                  <w:r>
                    <w:rPr>
                      <w:rFonts w:hint="eastAsia" w:cs="宋体"/>
                      <w:kern w:val="0"/>
                      <w:szCs w:val="22"/>
                    </w:rPr>
                    <w:t xml:space="preserve">0.17 </w:t>
                  </w:r>
                </w:p>
              </w:tc>
              <w:tc>
                <w:tcPr>
                  <w:tcW w:w="0" w:type="auto"/>
                  <w:noWrap/>
                  <w:vAlign w:val="center"/>
                </w:tcPr>
                <w:p w14:paraId="28DEFCF9">
                  <w:pPr>
                    <w:widowControl/>
                    <w:jc w:val="center"/>
                    <w:rPr>
                      <w:rFonts w:cs="Calibri"/>
                      <w:kern w:val="0"/>
                      <w:szCs w:val="22"/>
                    </w:rPr>
                  </w:pPr>
                  <w:r>
                    <w:rPr>
                      <w:rFonts w:hint="eastAsia" w:cs="宋体"/>
                      <w:kern w:val="0"/>
                      <w:szCs w:val="22"/>
                    </w:rPr>
                    <w:t>/</w:t>
                  </w:r>
                </w:p>
              </w:tc>
            </w:tr>
            <w:tr w14:paraId="363BC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74C78DCD">
                  <w:pPr>
                    <w:widowControl/>
                    <w:jc w:val="center"/>
                    <w:rPr>
                      <w:rFonts w:cs="Calibri"/>
                      <w:kern w:val="0"/>
                      <w:szCs w:val="22"/>
                    </w:rPr>
                  </w:pPr>
                </w:p>
              </w:tc>
              <w:tc>
                <w:tcPr>
                  <w:tcW w:w="0" w:type="auto"/>
                  <w:vMerge w:val="continue"/>
                  <w:vAlign w:val="center"/>
                </w:tcPr>
                <w:p w14:paraId="2697DE92">
                  <w:pPr>
                    <w:widowControl/>
                    <w:jc w:val="center"/>
                    <w:rPr>
                      <w:rFonts w:cs="Calibri"/>
                      <w:kern w:val="0"/>
                      <w:szCs w:val="22"/>
                    </w:rPr>
                  </w:pPr>
                </w:p>
              </w:tc>
              <w:tc>
                <w:tcPr>
                  <w:tcW w:w="0" w:type="auto"/>
                  <w:vAlign w:val="center"/>
                </w:tcPr>
                <w:p w14:paraId="2B424C80">
                  <w:pPr>
                    <w:widowControl/>
                    <w:jc w:val="center"/>
                    <w:rPr>
                      <w:rFonts w:cs="Calibri"/>
                      <w:kern w:val="0"/>
                      <w:szCs w:val="22"/>
                    </w:rPr>
                  </w:pPr>
                  <w:r>
                    <w:rPr>
                      <w:rFonts w:hint="eastAsia" w:cs="宋体"/>
                      <w:kern w:val="0"/>
                    </w:rPr>
                    <w:t>氮氧化物</w:t>
                  </w:r>
                </w:p>
              </w:tc>
              <w:tc>
                <w:tcPr>
                  <w:tcW w:w="0" w:type="auto"/>
                  <w:noWrap/>
                  <w:vAlign w:val="center"/>
                </w:tcPr>
                <w:p w14:paraId="297D8C97">
                  <w:pPr>
                    <w:widowControl/>
                    <w:jc w:val="center"/>
                    <w:rPr>
                      <w:rFonts w:cs="Calibri"/>
                      <w:kern w:val="0"/>
                      <w:szCs w:val="22"/>
                    </w:rPr>
                  </w:pPr>
                  <w:r>
                    <w:rPr>
                      <w:rFonts w:hint="eastAsia" w:cs="宋体"/>
                      <w:kern w:val="0"/>
                      <w:szCs w:val="22"/>
                    </w:rPr>
                    <w:t xml:space="preserve">0.90 </w:t>
                  </w:r>
                </w:p>
              </w:tc>
              <w:tc>
                <w:tcPr>
                  <w:tcW w:w="0" w:type="auto"/>
                  <w:noWrap/>
                  <w:vAlign w:val="center"/>
                </w:tcPr>
                <w:p w14:paraId="50873846">
                  <w:pPr>
                    <w:widowControl/>
                    <w:jc w:val="center"/>
                    <w:rPr>
                      <w:rFonts w:cs="Calibri"/>
                      <w:kern w:val="0"/>
                      <w:szCs w:val="22"/>
                    </w:rPr>
                  </w:pPr>
                  <w:r>
                    <w:rPr>
                      <w:rFonts w:hint="eastAsia" w:cs="Calibri"/>
                      <w:kern w:val="0"/>
                      <w:szCs w:val="22"/>
                    </w:rPr>
                    <w:t>0</w:t>
                  </w:r>
                </w:p>
              </w:tc>
              <w:tc>
                <w:tcPr>
                  <w:tcW w:w="0" w:type="auto"/>
                  <w:noWrap/>
                  <w:vAlign w:val="center"/>
                </w:tcPr>
                <w:p w14:paraId="6E86B0D7">
                  <w:pPr>
                    <w:widowControl/>
                    <w:jc w:val="center"/>
                    <w:rPr>
                      <w:rFonts w:cs="Calibri"/>
                      <w:kern w:val="0"/>
                      <w:szCs w:val="22"/>
                    </w:rPr>
                  </w:pPr>
                  <w:r>
                    <w:rPr>
                      <w:rFonts w:hint="eastAsia" w:cs="宋体"/>
                      <w:kern w:val="0"/>
                      <w:szCs w:val="22"/>
                    </w:rPr>
                    <w:t xml:space="preserve">0.90 </w:t>
                  </w:r>
                </w:p>
              </w:tc>
              <w:tc>
                <w:tcPr>
                  <w:tcW w:w="0" w:type="auto"/>
                  <w:noWrap/>
                  <w:vAlign w:val="center"/>
                </w:tcPr>
                <w:p w14:paraId="403B1906">
                  <w:pPr>
                    <w:widowControl/>
                    <w:jc w:val="center"/>
                    <w:rPr>
                      <w:rFonts w:cs="Calibri"/>
                      <w:kern w:val="0"/>
                      <w:szCs w:val="22"/>
                    </w:rPr>
                  </w:pPr>
                  <w:r>
                    <w:rPr>
                      <w:rFonts w:hint="eastAsia" w:cs="宋体"/>
                      <w:kern w:val="0"/>
                      <w:szCs w:val="22"/>
                    </w:rPr>
                    <w:t>1.26</w:t>
                  </w:r>
                </w:p>
              </w:tc>
            </w:tr>
            <w:tr w14:paraId="78A9B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3DCAE011">
                  <w:pPr>
                    <w:widowControl/>
                    <w:jc w:val="center"/>
                    <w:rPr>
                      <w:rFonts w:cs="Calibri"/>
                      <w:kern w:val="0"/>
                      <w:szCs w:val="22"/>
                    </w:rPr>
                  </w:pPr>
                </w:p>
              </w:tc>
              <w:tc>
                <w:tcPr>
                  <w:tcW w:w="0" w:type="auto"/>
                  <w:vMerge w:val="continue"/>
                  <w:vAlign w:val="center"/>
                </w:tcPr>
                <w:p w14:paraId="2B02AF77">
                  <w:pPr>
                    <w:widowControl/>
                    <w:jc w:val="center"/>
                    <w:rPr>
                      <w:rFonts w:cs="Calibri"/>
                      <w:kern w:val="0"/>
                      <w:szCs w:val="22"/>
                    </w:rPr>
                  </w:pPr>
                </w:p>
              </w:tc>
              <w:tc>
                <w:tcPr>
                  <w:tcW w:w="0" w:type="auto"/>
                  <w:vAlign w:val="center"/>
                </w:tcPr>
                <w:p w14:paraId="2112200E">
                  <w:pPr>
                    <w:widowControl/>
                    <w:jc w:val="center"/>
                    <w:rPr>
                      <w:rFonts w:cs="Calibri"/>
                      <w:kern w:val="0"/>
                      <w:szCs w:val="22"/>
                    </w:rPr>
                  </w:pPr>
                  <w:r>
                    <w:rPr>
                      <w:rFonts w:hint="eastAsia" w:cs="宋体"/>
                      <w:kern w:val="0"/>
                    </w:rPr>
                    <w:t>二氧化硫</w:t>
                  </w:r>
                </w:p>
              </w:tc>
              <w:tc>
                <w:tcPr>
                  <w:tcW w:w="0" w:type="auto"/>
                  <w:noWrap/>
                  <w:vAlign w:val="center"/>
                </w:tcPr>
                <w:p w14:paraId="4F6478ED">
                  <w:pPr>
                    <w:widowControl/>
                    <w:jc w:val="center"/>
                    <w:rPr>
                      <w:rFonts w:cs="Calibri"/>
                      <w:kern w:val="0"/>
                      <w:szCs w:val="22"/>
                    </w:rPr>
                  </w:pPr>
                  <w:r>
                    <w:rPr>
                      <w:rFonts w:hint="eastAsia" w:cs="宋体"/>
                      <w:kern w:val="0"/>
                      <w:szCs w:val="22"/>
                    </w:rPr>
                    <w:t xml:space="preserve">0.026 </w:t>
                  </w:r>
                </w:p>
              </w:tc>
              <w:tc>
                <w:tcPr>
                  <w:tcW w:w="0" w:type="auto"/>
                  <w:noWrap/>
                  <w:vAlign w:val="center"/>
                </w:tcPr>
                <w:p w14:paraId="5C7FECA5">
                  <w:pPr>
                    <w:widowControl/>
                    <w:jc w:val="center"/>
                    <w:rPr>
                      <w:rFonts w:cs="Calibri"/>
                      <w:kern w:val="0"/>
                      <w:szCs w:val="22"/>
                    </w:rPr>
                  </w:pPr>
                  <w:r>
                    <w:rPr>
                      <w:rFonts w:hint="eastAsia" w:cs="Calibri"/>
                      <w:kern w:val="0"/>
                      <w:szCs w:val="22"/>
                    </w:rPr>
                    <w:t>0</w:t>
                  </w:r>
                </w:p>
              </w:tc>
              <w:tc>
                <w:tcPr>
                  <w:tcW w:w="0" w:type="auto"/>
                  <w:noWrap/>
                  <w:vAlign w:val="center"/>
                </w:tcPr>
                <w:p w14:paraId="32A659E6">
                  <w:pPr>
                    <w:widowControl/>
                    <w:jc w:val="center"/>
                    <w:rPr>
                      <w:rFonts w:cs="Calibri"/>
                      <w:kern w:val="0"/>
                      <w:szCs w:val="22"/>
                    </w:rPr>
                  </w:pPr>
                  <w:r>
                    <w:rPr>
                      <w:rFonts w:hint="eastAsia" w:cs="宋体"/>
                      <w:kern w:val="0"/>
                      <w:szCs w:val="22"/>
                    </w:rPr>
                    <w:t xml:space="preserve">0.026 </w:t>
                  </w:r>
                </w:p>
              </w:tc>
              <w:tc>
                <w:tcPr>
                  <w:tcW w:w="0" w:type="auto"/>
                  <w:noWrap/>
                  <w:vAlign w:val="center"/>
                </w:tcPr>
                <w:p w14:paraId="32D38BDF">
                  <w:pPr>
                    <w:widowControl/>
                    <w:jc w:val="center"/>
                    <w:rPr>
                      <w:rFonts w:cs="Calibri"/>
                      <w:kern w:val="0"/>
                      <w:szCs w:val="22"/>
                    </w:rPr>
                  </w:pPr>
                  <w:r>
                    <w:rPr>
                      <w:rFonts w:hint="eastAsia" w:cs="宋体"/>
                      <w:kern w:val="0"/>
                      <w:szCs w:val="22"/>
                    </w:rPr>
                    <w:t>0.5</w:t>
                  </w:r>
                </w:p>
              </w:tc>
            </w:tr>
            <w:tr w14:paraId="14D9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0C5FF31C">
                  <w:pPr>
                    <w:widowControl/>
                    <w:jc w:val="center"/>
                    <w:rPr>
                      <w:rFonts w:cs="Calibri"/>
                      <w:kern w:val="0"/>
                      <w:szCs w:val="22"/>
                    </w:rPr>
                  </w:pPr>
                </w:p>
              </w:tc>
              <w:tc>
                <w:tcPr>
                  <w:tcW w:w="0" w:type="auto"/>
                  <w:vMerge w:val="restart"/>
                  <w:vAlign w:val="center"/>
                </w:tcPr>
                <w:p w14:paraId="5701D6D5">
                  <w:pPr>
                    <w:widowControl/>
                    <w:jc w:val="center"/>
                    <w:rPr>
                      <w:rFonts w:cs="Calibri"/>
                      <w:kern w:val="0"/>
                      <w:szCs w:val="22"/>
                    </w:rPr>
                  </w:pPr>
                  <w:r>
                    <w:rPr>
                      <w:rFonts w:hint="eastAsia" w:cs="Calibri"/>
                      <w:bCs/>
                      <w:kern w:val="0"/>
                      <w:szCs w:val="22"/>
                    </w:rPr>
                    <w:t>废白土堆场废气和废白土炒锅废气</w:t>
                  </w:r>
                </w:p>
              </w:tc>
              <w:tc>
                <w:tcPr>
                  <w:tcW w:w="0" w:type="auto"/>
                  <w:vAlign w:val="center"/>
                </w:tcPr>
                <w:p w14:paraId="57FE3171">
                  <w:pPr>
                    <w:widowControl/>
                    <w:jc w:val="center"/>
                    <w:rPr>
                      <w:rFonts w:cs="Calibri"/>
                      <w:kern w:val="0"/>
                      <w:szCs w:val="22"/>
                    </w:rPr>
                  </w:pPr>
                  <w:r>
                    <w:rPr>
                      <w:rFonts w:cs="Calibri"/>
                      <w:kern w:val="0"/>
                      <w:szCs w:val="22"/>
                    </w:rPr>
                    <w:t>氨</w:t>
                  </w:r>
                </w:p>
              </w:tc>
              <w:tc>
                <w:tcPr>
                  <w:tcW w:w="0" w:type="auto"/>
                  <w:noWrap/>
                  <w:vAlign w:val="center"/>
                </w:tcPr>
                <w:p w14:paraId="4DBBA5B3">
                  <w:pPr>
                    <w:widowControl/>
                    <w:jc w:val="center"/>
                    <w:rPr>
                      <w:rFonts w:cs="Calibri"/>
                      <w:kern w:val="0"/>
                      <w:szCs w:val="22"/>
                    </w:rPr>
                  </w:pPr>
                  <w:r>
                    <w:rPr>
                      <w:rFonts w:hint="eastAsia"/>
                      <w:szCs w:val="22"/>
                    </w:rPr>
                    <w:t xml:space="preserve">0.082 </w:t>
                  </w:r>
                </w:p>
              </w:tc>
              <w:tc>
                <w:tcPr>
                  <w:tcW w:w="0" w:type="auto"/>
                  <w:noWrap/>
                  <w:vAlign w:val="center"/>
                </w:tcPr>
                <w:p w14:paraId="32D0A237">
                  <w:pPr>
                    <w:widowControl/>
                    <w:jc w:val="center"/>
                    <w:rPr>
                      <w:rFonts w:cs="Calibri"/>
                      <w:kern w:val="0"/>
                      <w:szCs w:val="22"/>
                    </w:rPr>
                  </w:pPr>
                  <w:r>
                    <w:rPr>
                      <w:rFonts w:hint="eastAsia" w:cs="Calibri"/>
                      <w:kern w:val="0"/>
                      <w:szCs w:val="22"/>
                    </w:rPr>
                    <w:t>0</w:t>
                  </w:r>
                </w:p>
              </w:tc>
              <w:tc>
                <w:tcPr>
                  <w:tcW w:w="0" w:type="auto"/>
                  <w:noWrap/>
                  <w:vAlign w:val="center"/>
                </w:tcPr>
                <w:p w14:paraId="08EBD7D3">
                  <w:pPr>
                    <w:widowControl/>
                    <w:jc w:val="center"/>
                    <w:rPr>
                      <w:rFonts w:cs="Calibri"/>
                      <w:kern w:val="0"/>
                      <w:szCs w:val="22"/>
                    </w:rPr>
                  </w:pPr>
                  <w:r>
                    <w:rPr>
                      <w:rFonts w:hint="eastAsia"/>
                      <w:szCs w:val="22"/>
                    </w:rPr>
                    <w:t xml:space="preserve">0.082 </w:t>
                  </w:r>
                </w:p>
              </w:tc>
              <w:tc>
                <w:tcPr>
                  <w:tcW w:w="0" w:type="auto"/>
                  <w:noWrap/>
                  <w:vAlign w:val="center"/>
                </w:tcPr>
                <w:p w14:paraId="5AC363D6">
                  <w:pPr>
                    <w:widowControl/>
                    <w:jc w:val="center"/>
                    <w:rPr>
                      <w:rFonts w:cs="Calibri"/>
                      <w:kern w:val="0"/>
                      <w:szCs w:val="22"/>
                    </w:rPr>
                  </w:pPr>
                  <w:r>
                    <w:rPr>
                      <w:rFonts w:hint="eastAsia" w:cs="宋体"/>
                      <w:kern w:val="0"/>
                      <w:szCs w:val="22"/>
                    </w:rPr>
                    <w:t>/</w:t>
                  </w:r>
                </w:p>
              </w:tc>
            </w:tr>
            <w:tr w14:paraId="03B06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7986A733">
                  <w:pPr>
                    <w:widowControl/>
                    <w:jc w:val="center"/>
                    <w:rPr>
                      <w:rFonts w:cs="Calibri"/>
                      <w:kern w:val="0"/>
                      <w:szCs w:val="22"/>
                    </w:rPr>
                  </w:pPr>
                </w:p>
              </w:tc>
              <w:tc>
                <w:tcPr>
                  <w:tcW w:w="0" w:type="auto"/>
                  <w:vMerge w:val="continue"/>
                  <w:vAlign w:val="center"/>
                </w:tcPr>
                <w:p w14:paraId="3DC9392D">
                  <w:pPr>
                    <w:widowControl/>
                    <w:jc w:val="center"/>
                    <w:rPr>
                      <w:rFonts w:cs="Calibri"/>
                      <w:bCs/>
                      <w:kern w:val="0"/>
                      <w:szCs w:val="22"/>
                    </w:rPr>
                  </w:pPr>
                </w:p>
              </w:tc>
              <w:tc>
                <w:tcPr>
                  <w:tcW w:w="0" w:type="auto"/>
                  <w:vAlign w:val="center"/>
                </w:tcPr>
                <w:p w14:paraId="6BA351AE">
                  <w:pPr>
                    <w:widowControl/>
                    <w:jc w:val="center"/>
                    <w:rPr>
                      <w:rFonts w:cs="Calibri"/>
                      <w:kern w:val="0"/>
                      <w:szCs w:val="22"/>
                    </w:rPr>
                  </w:pPr>
                  <w:r>
                    <w:rPr>
                      <w:rFonts w:cs="Calibri"/>
                      <w:kern w:val="0"/>
                      <w:szCs w:val="22"/>
                    </w:rPr>
                    <w:t>硫化氢</w:t>
                  </w:r>
                </w:p>
              </w:tc>
              <w:tc>
                <w:tcPr>
                  <w:tcW w:w="0" w:type="auto"/>
                  <w:noWrap/>
                  <w:vAlign w:val="center"/>
                </w:tcPr>
                <w:p w14:paraId="73817459">
                  <w:pPr>
                    <w:widowControl/>
                    <w:jc w:val="center"/>
                    <w:rPr>
                      <w:rFonts w:cs="Calibri"/>
                      <w:kern w:val="0"/>
                      <w:szCs w:val="22"/>
                    </w:rPr>
                  </w:pPr>
                  <w:r>
                    <w:rPr>
                      <w:rFonts w:hint="eastAsia"/>
                      <w:szCs w:val="22"/>
                    </w:rPr>
                    <w:t xml:space="preserve">0.0083 </w:t>
                  </w:r>
                </w:p>
              </w:tc>
              <w:tc>
                <w:tcPr>
                  <w:tcW w:w="0" w:type="auto"/>
                  <w:noWrap/>
                  <w:vAlign w:val="center"/>
                </w:tcPr>
                <w:p w14:paraId="48596927">
                  <w:pPr>
                    <w:widowControl/>
                    <w:jc w:val="center"/>
                    <w:rPr>
                      <w:rFonts w:cs="Calibri"/>
                      <w:kern w:val="0"/>
                      <w:szCs w:val="22"/>
                    </w:rPr>
                  </w:pPr>
                  <w:r>
                    <w:rPr>
                      <w:rFonts w:hint="eastAsia" w:cs="Calibri"/>
                      <w:kern w:val="0"/>
                      <w:szCs w:val="22"/>
                    </w:rPr>
                    <w:t>0</w:t>
                  </w:r>
                </w:p>
              </w:tc>
              <w:tc>
                <w:tcPr>
                  <w:tcW w:w="0" w:type="auto"/>
                  <w:noWrap/>
                  <w:vAlign w:val="center"/>
                </w:tcPr>
                <w:p w14:paraId="2923C986">
                  <w:pPr>
                    <w:widowControl/>
                    <w:jc w:val="center"/>
                    <w:rPr>
                      <w:rFonts w:cs="Calibri"/>
                      <w:kern w:val="0"/>
                      <w:szCs w:val="22"/>
                    </w:rPr>
                  </w:pPr>
                  <w:r>
                    <w:rPr>
                      <w:rFonts w:hint="eastAsia"/>
                      <w:szCs w:val="22"/>
                    </w:rPr>
                    <w:t xml:space="preserve">0.0083 </w:t>
                  </w:r>
                </w:p>
              </w:tc>
              <w:tc>
                <w:tcPr>
                  <w:tcW w:w="0" w:type="auto"/>
                  <w:noWrap/>
                  <w:vAlign w:val="center"/>
                </w:tcPr>
                <w:p w14:paraId="5CF6D0AD">
                  <w:pPr>
                    <w:widowControl/>
                    <w:jc w:val="center"/>
                    <w:rPr>
                      <w:rFonts w:cs="Calibri"/>
                      <w:kern w:val="0"/>
                      <w:szCs w:val="22"/>
                    </w:rPr>
                  </w:pPr>
                  <w:r>
                    <w:rPr>
                      <w:rFonts w:hint="eastAsia" w:cs="宋体"/>
                      <w:kern w:val="0"/>
                      <w:szCs w:val="22"/>
                    </w:rPr>
                    <w:t>/</w:t>
                  </w:r>
                </w:p>
              </w:tc>
            </w:tr>
            <w:tr w14:paraId="6B4F4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3E789738">
                  <w:pPr>
                    <w:widowControl/>
                    <w:jc w:val="center"/>
                    <w:rPr>
                      <w:rFonts w:cs="Calibri"/>
                      <w:kern w:val="0"/>
                      <w:szCs w:val="22"/>
                    </w:rPr>
                  </w:pPr>
                </w:p>
              </w:tc>
              <w:tc>
                <w:tcPr>
                  <w:tcW w:w="0" w:type="auto"/>
                  <w:vMerge w:val="continue"/>
                  <w:vAlign w:val="center"/>
                </w:tcPr>
                <w:p w14:paraId="334E06AD">
                  <w:pPr>
                    <w:widowControl/>
                    <w:jc w:val="center"/>
                    <w:rPr>
                      <w:rFonts w:cs="Calibri"/>
                      <w:bCs/>
                      <w:kern w:val="0"/>
                      <w:szCs w:val="22"/>
                    </w:rPr>
                  </w:pPr>
                </w:p>
              </w:tc>
              <w:tc>
                <w:tcPr>
                  <w:tcW w:w="0" w:type="auto"/>
                  <w:vAlign w:val="center"/>
                </w:tcPr>
                <w:p w14:paraId="5362F1B0">
                  <w:pPr>
                    <w:widowControl/>
                    <w:jc w:val="center"/>
                    <w:rPr>
                      <w:rFonts w:cs="Calibri"/>
                      <w:kern w:val="0"/>
                      <w:szCs w:val="22"/>
                    </w:rPr>
                  </w:pPr>
                  <w:r>
                    <w:rPr>
                      <w:rFonts w:cs="Calibri"/>
                      <w:kern w:val="0"/>
                      <w:szCs w:val="22"/>
                    </w:rPr>
                    <w:t>VOCs</w:t>
                  </w:r>
                </w:p>
              </w:tc>
              <w:tc>
                <w:tcPr>
                  <w:tcW w:w="0" w:type="auto"/>
                  <w:noWrap/>
                  <w:vAlign w:val="center"/>
                </w:tcPr>
                <w:p w14:paraId="15DEDAC9">
                  <w:pPr>
                    <w:widowControl/>
                    <w:jc w:val="center"/>
                    <w:rPr>
                      <w:rFonts w:cs="Calibri"/>
                      <w:kern w:val="0"/>
                      <w:szCs w:val="22"/>
                    </w:rPr>
                  </w:pPr>
                  <w:r>
                    <w:rPr>
                      <w:rFonts w:hint="eastAsia"/>
                      <w:szCs w:val="22"/>
                    </w:rPr>
                    <w:t xml:space="preserve">1.49 </w:t>
                  </w:r>
                </w:p>
              </w:tc>
              <w:tc>
                <w:tcPr>
                  <w:tcW w:w="0" w:type="auto"/>
                  <w:noWrap/>
                  <w:vAlign w:val="center"/>
                </w:tcPr>
                <w:p w14:paraId="217C0F70">
                  <w:pPr>
                    <w:widowControl/>
                    <w:jc w:val="center"/>
                    <w:rPr>
                      <w:rFonts w:cs="Calibri"/>
                      <w:kern w:val="0"/>
                      <w:szCs w:val="22"/>
                    </w:rPr>
                  </w:pPr>
                  <w:r>
                    <w:rPr>
                      <w:rFonts w:hint="eastAsia" w:cs="Calibri"/>
                      <w:kern w:val="0"/>
                      <w:szCs w:val="22"/>
                    </w:rPr>
                    <w:t>0</w:t>
                  </w:r>
                </w:p>
              </w:tc>
              <w:tc>
                <w:tcPr>
                  <w:tcW w:w="0" w:type="auto"/>
                  <w:noWrap/>
                  <w:vAlign w:val="center"/>
                </w:tcPr>
                <w:p w14:paraId="2F68FAEE">
                  <w:pPr>
                    <w:widowControl/>
                    <w:jc w:val="center"/>
                    <w:rPr>
                      <w:rFonts w:cs="Calibri"/>
                      <w:kern w:val="0"/>
                      <w:szCs w:val="22"/>
                    </w:rPr>
                  </w:pPr>
                  <w:r>
                    <w:rPr>
                      <w:rFonts w:hint="eastAsia"/>
                      <w:szCs w:val="22"/>
                    </w:rPr>
                    <w:t xml:space="preserve">1.49 </w:t>
                  </w:r>
                </w:p>
              </w:tc>
              <w:tc>
                <w:tcPr>
                  <w:tcW w:w="0" w:type="auto"/>
                  <w:noWrap/>
                  <w:vAlign w:val="center"/>
                </w:tcPr>
                <w:p w14:paraId="696F3BA0">
                  <w:pPr>
                    <w:widowControl/>
                    <w:jc w:val="center"/>
                    <w:rPr>
                      <w:rFonts w:cs="Calibri"/>
                      <w:kern w:val="0"/>
                      <w:szCs w:val="22"/>
                    </w:rPr>
                  </w:pPr>
                  <w:r>
                    <w:rPr>
                      <w:rFonts w:hint="eastAsia" w:cs="宋体"/>
                      <w:kern w:val="0"/>
                      <w:szCs w:val="22"/>
                    </w:rPr>
                    <w:t>/</w:t>
                  </w:r>
                </w:p>
              </w:tc>
            </w:tr>
            <w:tr w14:paraId="0BBE0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2A35BEAF">
                  <w:pPr>
                    <w:widowControl/>
                    <w:jc w:val="center"/>
                    <w:rPr>
                      <w:rFonts w:cs="Calibri"/>
                      <w:kern w:val="0"/>
                      <w:szCs w:val="22"/>
                    </w:rPr>
                  </w:pPr>
                </w:p>
              </w:tc>
              <w:tc>
                <w:tcPr>
                  <w:tcW w:w="0" w:type="auto"/>
                  <w:vMerge w:val="restart"/>
                  <w:vAlign w:val="center"/>
                </w:tcPr>
                <w:p w14:paraId="6AE10BED">
                  <w:pPr>
                    <w:widowControl/>
                    <w:jc w:val="center"/>
                    <w:rPr>
                      <w:rFonts w:cs="Calibri"/>
                      <w:bCs/>
                      <w:kern w:val="0"/>
                      <w:szCs w:val="22"/>
                    </w:rPr>
                  </w:pPr>
                  <w:r>
                    <w:rPr>
                      <w:rFonts w:hint="eastAsia" w:cs="Calibri"/>
                      <w:bCs/>
                      <w:kern w:val="0"/>
                      <w:szCs w:val="22"/>
                    </w:rPr>
                    <w:t>废皂脚酸化废气</w:t>
                  </w:r>
                </w:p>
              </w:tc>
              <w:tc>
                <w:tcPr>
                  <w:tcW w:w="0" w:type="auto"/>
                  <w:vAlign w:val="center"/>
                </w:tcPr>
                <w:p w14:paraId="56936075">
                  <w:pPr>
                    <w:widowControl/>
                    <w:jc w:val="center"/>
                    <w:rPr>
                      <w:rFonts w:cs="Calibri"/>
                      <w:kern w:val="0"/>
                      <w:szCs w:val="22"/>
                    </w:rPr>
                  </w:pPr>
                  <w:r>
                    <w:rPr>
                      <w:rFonts w:hint="eastAsia"/>
                    </w:rPr>
                    <w:t>硫酸雾</w:t>
                  </w:r>
                </w:p>
              </w:tc>
              <w:tc>
                <w:tcPr>
                  <w:tcW w:w="0" w:type="auto"/>
                  <w:noWrap/>
                  <w:vAlign w:val="center"/>
                </w:tcPr>
                <w:p w14:paraId="6EE84EEE">
                  <w:pPr>
                    <w:widowControl/>
                    <w:jc w:val="center"/>
                    <w:rPr>
                      <w:rFonts w:cs="Calibri"/>
                      <w:kern w:val="0"/>
                      <w:szCs w:val="22"/>
                    </w:rPr>
                  </w:pPr>
                  <w:r>
                    <w:rPr>
                      <w:rFonts w:hint="eastAsia" w:cs="Calibri"/>
                      <w:kern w:val="0"/>
                      <w:szCs w:val="22"/>
                    </w:rPr>
                    <w:t>0</w:t>
                  </w:r>
                </w:p>
              </w:tc>
              <w:tc>
                <w:tcPr>
                  <w:tcW w:w="0" w:type="auto"/>
                  <w:noWrap/>
                  <w:vAlign w:val="center"/>
                </w:tcPr>
                <w:p w14:paraId="6128E5EA">
                  <w:pPr>
                    <w:widowControl/>
                    <w:jc w:val="center"/>
                    <w:rPr>
                      <w:rFonts w:cs="Calibri"/>
                      <w:kern w:val="0"/>
                      <w:szCs w:val="22"/>
                    </w:rPr>
                  </w:pPr>
                  <w:r>
                    <w:rPr>
                      <w:rFonts w:hint="eastAsia"/>
                    </w:rPr>
                    <w:t>0.049</w:t>
                  </w:r>
                </w:p>
              </w:tc>
              <w:tc>
                <w:tcPr>
                  <w:tcW w:w="0" w:type="auto"/>
                  <w:noWrap/>
                  <w:vAlign w:val="center"/>
                </w:tcPr>
                <w:p w14:paraId="790919BF">
                  <w:pPr>
                    <w:widowControl/>
                    <w:jc w:val="center"/>
                    <w:rPr>
                      <w:rFonts w:cs="Calibri"/>
                      <w:kern w:val="0"/>
                      <w:szCs w:val="22"/>
                    </w:rPr>
                  </w:pPr>
                  <w:r>
                    <w:rPr>
                      <w:rFonts w:hint="eastAsia"/>
                    </w:rPr>
                    <w:t>0.049</w:t>
                  </w:r>
                </w:p>
              </w:tc>
              <w:tc>
                <w:tcPr>
                  <w:tcW w:w="0" w:type="auto"/>
                  <w:noWrap/>
                  <w:vAlign w:val="center"/>
                </w:tcPr>
                <w:p w14:paraId="6D2DA91F">
                  <w:pPr>
                    <w:widowControl/>
                    <w:jc w:val="center"/>
                    <w:rPr>
                      <w:rFonts w:cs="Calibri"/>
                      <w:kern w:val="0"/>
                      <w:szCs w:val="22"/>
                    </w:rPr>
                  </w:pPr>
                  <w:r>
                    <w:rPr>
                      <w:rFonts w:hint="eastAsia" w:cs="宋体"/>
                      <w:kern w:val="0"/>
                      <w:szCs w:val="22"/>
                    </w:rPr>
                    <w:t>/</w:t>
                  </w:r>
                </w:p>
              </w:tc>
            </w:tr>
            <w:tr w14:paraId="5B6C1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6853B40A">
                  <w:pPr>
                    <w:widowControl/>
                    <w:jc w:val="center"/>
                    <w:rPr>
                      <w:rFonts w:cs="Calibri"/>
                      <w:kern w:val="0"/>
                      <w:szCs w:val="22"/>
                    </w:rPr>
                  </w:pPr>
                </w:p>
              </w:tc>
              <w:tc>
                <w:tcPr>
                  <w:tcW w:w="0" w:type="auto"/>
                  <w:vMerge w:val="continue"/>
                  <w:vAlign w:val="center"/>
                </w:tcPr>
                <w:p w14:paraId="6E2EDE5D">
                  <w:pPr>
                    <w:widowControl/>
                    <w:jc w:val="center"/>
                    <w:rPr>
                      <w:rFonts w:cs="Calibri"/>
                      <w:bCs/>
                      <w:kern w:val="0"/>
                      <w:szCs w:val="22"/>
                    </w:rPr>
                  </w:pPr>
                </w:p>
              </w:tc>
              <w:tc>
                <w:tcPr>
                  <w:tcW w:w="0" w:type="auto"/>
                  <w:vAlign w:val="center"/>
                </w:tcPr>
                <w:p w14:paraId="171583DC">
                  <w:pPr>
                    <w:widowControl/>
                    <w:jc w:val="center"/>
                    <w:rPr>
                      <w:rFonts w:cs="Calibri"/>
                      <w:kern w:val="0"/>
                      <w:szCs w:val="22"/>
                    </w:rPr>
                  </w:pPr>
                  <w:r>
                    <w:rPr>
                      <w:rFonts w:cs="Calibri"/>
                      <w:kern w:val="0"/>
                      <w:szCs w:val="22"/>
                    </w:rPr>
                    <w:t>VOCs</w:t>
                  </w:r>
                </w:p>
              </w:tc>
              <w:tc>
                <w:tcPr>
                  <w:tcW w:w="0" w:type="auto"/>
                  <w:noWrap/>
                  <w:vAlign w:val="center"/>
                </w:tcPr>
                <w:p w14:paraId="2F703BF5">
                  <w:pPr>
                    <w:widowControl/>
                    <w:jc w:val="center"/>
                    <w:rPr>
                      <w:rFonts w:cs="Calibri"/>
                      <w:kern w:val="0"/>
                      <w:szCs w:val="22"/>
                    </w:rPr>
                  </w:pPr>
                  <w:r>
                    <w:rPr>
                      <w:rFonts w:hint="eastAsia" w:cs="Calibri"/>
                      <w:kern w:val="0"/>
                      <w:szCs w:val="22"/>
                    </w:rPr>
                    <w:t>0</w:t>
                  </w:r>
                </w:p>
              </w:tc>
              <w:tc>
                <w:tcPr>
                  <w:tcW w:w="0" w:type="auto"/>
                  <w:noWrap/>
                  <w:vAlign w:val="center"/>
                </w:tcPr>
                <w:p w14:paraId="7FB8DFD8">
                  <w:pPr>
                    <w:widowControl/>
                    <w:jc w:val="center"/>
                    <w:rPr>
                      <w:rFonts w:cs="Calibri"/>
                      <w:kern w:val="0"/>
                      <w:szCs w:val="22"/>
                    </w:rPr>
                  </w:pPr>
                  <w:r>
                    <w:rPr>
                      <w:rFonts w:hint="eastAsia"/>
                    </w:rPr>
                    <w:t>0.0495</w:t>
                  </w:r>
                </w:p>
              </w:tc>
              <w:tc>
                <w:tcPr>
                  <w:tcW w:w="0" w:type="auto"/>
                  <w:noWrap/>
                  <w:vAlign w:val="center"/>
                </w:tcPr>
                <w:p w14:paraId="72706A5C">
                  <w:pPr>
                    <w:widowControl/>
                    <w:jc w:val="center"/>
                    <w:rPr>
                      <w:rFonts w:cs="Calibri"/>
                      <w:kern w:val="0"/>
                      <w:szCs w:val="22"/>
                    </w:rPr>
                  </w:pPr>
                  <w:r>
                    <w:rPr>
                      <w:rFonts w:hint="eastAsia"/>
                    </w:rPr>
                    <w:t>0.0495</w:t>
                  </w:r>
                </w:p>
              </w:tc>
              <w:tc>
                <w:tcPr>
                  <w:tcW w:w="0" w:type="auto"/>
                  <w:noWrap/>
                  <w:vAlign w:val="center"/>
                </w:tcPr>
                <w:p w14:paraId="5DAD463A">
                  <w:pPr>
                    <w:widowControl/>
                    <w:jc w:val="center"/>
                    <w:rPr>
                      <w:rFonts w:cs="Calibri"/>
                      <w:kern w:val="0"/>
                      <w:szCs w:val="22"/>
                    </w:rPr>
                  </w:pPr>
                  <w:r>
                    <w:rPr>
                      <w:rFonts w:hint="eastAsia" w:cs="宋体"/>
                      <w:kern w:val="0"/>
                      <w:szCs w:val="22"/>
                    </w:rPr>
                    <w:t>/</w:t>
                  </w:r>
                </w:p>
              </w:tc>
            </w:tr>
            <w:tr w14:paraId="7175E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restart"/>
                  <w:noWrap/>
                  <w:vAlign w:val="center"/>
                </w:tcPr>
                <w:p w14:paraId="13798187">
                  <w:pPr>
                    <w:widowControl/>
                    <w:jc w:val="center"/>
                    <w:rPr>
                      <w:rFonts w:cs="宋体"/>
                      <w:kern w:val="0"/>
                      <w:szCs w:val="20"/>
                    </w:rPr>
                  </w:pPr>
                  <w:r>
                    <w:rPr>
                      <w:rFonts w:cs="Calibri"/>
                      <w:kern w:val="0"/>
                      <w:szCs w:val="22"/>
                    </w:rPr>
                    <w:t>废水</w:t>
                  </w:r>
                </w:p>
              </w:tc>
              <w:tc>
                <w:tcPr>
                  <w:tcW w:w="0" w:type="auto"/>
                  <w:noWrap/>
                  <w:vAlign w:val="center"/>
                </w:tcPr>
                <w:p w14:paraId="376AE179">
                  <w:pPr>
                    <w:widowControl/>
                    <w:jc w:val="center"/>
                    <w:rPr>
                      <w:rFonts w:cs="宋体"/>
                      <w:kern w:val="0"/>
                      <w:szCs w:val="20"/>
                    </w:rPr>
                  </w:pPr>
                  <w:r>
                    <w:rPr>
                      <w:rFonts w:hint="eastAsia" w:cs="Calibri"/>
                      <w:kern w:val="0"/>
                      <w:szCs w:val="22"/>
                    </w:rPr>
                    <w:t>工艺废水</w:t>
                  </w:r>
                </w:p>
              </w:tc>
              <w:tc>
                <w:tcPr>
                  <w:tcW w:w="0" w:type="auto"/>
                  <w:noWrap/>
                  <w:vAlign w:val="center"/>
                </w:tcPr>
                <w:p w14:paraId="1A58B919">
                  <w:pPr>
                    <w:widowControl/>
                    <w:jc w:val="center"/>
                    <w:rPr>
                      <w:rFonts w:cs="宋体"/>
                      <w:kern w:val="0"/>
                      <w:szCs w:val="20"/>
                    </w:rPr>
                  </w:pPr>
                  <w:r>
                    <w:rPr>
                      <w:rFonts w:cs="Calibri"/>
                      <w:kern w:val="0"/>
                      <w:szCs w:val="22"/>
                    </w:rPr>
                    <w:t>排放量</w:t>
                  </w:r>
                </w:p>
              </w:tc>
              <w:tc>
                <w:tcPr>
                  <w:tcW w:w="0" w:type="auto"/>
                  <w:noWrap/>
                  <w:vAlign w:val="center"/>
                </w:tcPr>
                <w:p w14:paraId="58C1BB43">
                  <w:pPr>
                    <w:widowControl/>
                    <w:jc w:val="center"/>
                    <w:rPr>
                      <w:rFonts w:cs="宋体"/>
                      <w:kern w:val="0"/>
                      <w:szCs w:val="20"/>
                    </w:rPr>
                  </w:pPr>
                  <w:r>
                    <w:rPr>
                      <w:rFonts w:hint="eastAsia" w:cs="Calibri"/>
                      <w:kern w:val="0"/>
                      <w:szCs w:val="22"/>
                    </w:rPr>
                    <w:t>0</w:t>
                  </w:r>
                </w:p>
              </w:tc>
              <w:tc>
                <w:tcPr>
                  <w:tcW w:w="0" w:type="auto"/>
                  <w:noWrap/>
                  <w:vAlign w:val="center"/>
                </w:tcPr>
                <w:p w14:paraId="1B39E89C">
                  <w:pPr>
                    <w:widowControl/>
                    <w:jc w:val="center"/>
                    <w:rPr>
                      <w:rFonts w:cs="宋体"/>
                      <w:kern w:val="0"/>
                      <w:szCs w:val="20"/>
                    </w:rPr>
                  </w:pPr>
                  <w:r>
                    <w:rPr>
                      <w:rFonts w:cs="Calibri"/>
                      <w:kern w:val="0"/>
                      <w:szCs w:val="22"/>
                    </w:rPr>
                    <w:t>0</w:t>
                  </w:r>
                </w:p>
              </w:tc>
              <w:tc>
                <w:tcPr>
                  <w:tcW w:w="0" w:type="auto"/>
                  <w:noWrap/>
                  <w:vAlign w:val="center"/>
                </w:tcPr>
                <w:p w14:paraId="179D7866">
                  <w:pPr>
                    <w:widowControl/>
                    <w:jc w:val="center"/>
                    <w:rPr>
                      <w:rFonts w:cs="宋体"/>
                      <w:kern w:val="0"/>
                      <w:szCs w:val="20"/>
                    </w:rPr>
                  </w:pPr>
                  <w:r>
                    <w:rPr>
                      <w:rFonts w:hint="eastAsia" w:cs="Calibri"/>
                      <w:kern w:val="0"/>
                      <w:szCs w:val="22"/>
                    </w:rPr>
                    <w:t>0</w:t>
                  </w:r>
                </w:p>
              </w:tc>
              <w:tc>
                <w:tcPr>
                  <w:tcW w:w="0" w:type="auto"/>
                  <w:noWrap/>
                  <w:vAlign w:val="center"/>
                </w:tcPr>
                <w:p w14:paraId="0F209EB9">
                  <w:pPr>
                    <w:widowControl/>
                    <w:jc w:val="center"/>
                    <w:rPr>
                      <w:rFonts w:cs="宋体"/>
                      <w:kern w:val="0"/>
                      <w:szCs w:val="20"/>
                    </w:rPr>
                  </w:pPr>
                  <w:r>
                    <w:rPr>
                      <w:rFonts w:cs="Calibri"/>
                      <w:kern w:val="0"/>
                      <w:szCs w:val="22"/>
                    </w:rPr>
                    <w:t>/</w:t>
                  </w:r>
                </w:p>
              </w:tc>
            </w:tr>
            <w:tr w14:paraId="150C0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728C05ED">
                  <w:pPr>
                    <w:widowControl/>
                    <w:jc w:val="center"/>
                    <w:rPr>
                      <w:rFonts w:cs="Calibri"/>
                      <w:kern w:val="0"/>
                      <w:szCs w:val="22"/>
                    </w:rPr>
                  </w:pPr>
                </w:p>
              </w:tc>
              <w:tc>
                <w:tcPr>
                  <w:tcW w:w="0" w:type="auto"/>
                  <w:noWrap/>
                  <w:vAlign w:val="center"/>
                </w:tcPr>
                <w:p w14:paraId="00CC4C03">
                  <w:pPr>
                    <w:widowControl/>
                    <w:jc w:val="center"/>
                    <w:rPr>
                      <w:rFonts w:cs="Calibri"/>
                      <w:kern w:val="0"/>
                      <w:szCs w:val="22"/>
                    </w:rPr>
                  </w:pPr>
                  <w:r>
                    <w:rPr>
                      <w:rFonts w:hint="eastAsia" w:cs="Calibri"/>
                      <w:kern w:val="0"/>
                      <w:szCs w:val="22"/>
                    </w:rPr>
                    <w:t>锅炉排污水</w:t>
                  </w:r>
                </w:p>
              </w:tc>
              <w:tc>
                <w:tcPr>
                  <w:tcW w:w="0" w:type="auto"/>
                  <w:noWrap/>
                  <w:vAlign w:val="center"/>
                </w:tcPr>
                <w:p w14:paraId="388CCCC2">
                  <w:pPr>
                    <w:widowControl/>
                    <w:jc w:val="center"/>
                    <w:rPr>
                      <w:rFonts w:cs="Calibri"/>
                      <w:kern w:val="0"/>
                      <w:szCs w:val="22"/>
                    </w:rPr>
                  </w:pPr>
                  <w:r>
                    <w:rPr>
                      <w:rFonts w:cs="Calibri"/>
                      <w:kern w:val="0"/>
                      <w:szCs w:val="22"/>
                    </w:rPr>
                    <w:t>排放量</w:t>
                  </w:r>
                </w:p>
              </w:tc>
              <w:tc>
                <w:tcPr>
                  <w:tcW w:w="0" w:type="auto"/>
                  <w:noWrap/>
                  <w:vAlign w:val="center"/>
                </w:tcPr>
                <w:p w14:paraId="0C97F4C4">
                  <w:pPr>
                    <w:widowControl/>
                    <w:jc w:val="center"/>
                    <w:rPr>
                      <w:rFonts w:cs="Calibri"/>
                      <w:kern w:val="0"/>
                      <w:szCs w:val="22"/>
                    </w:rPr>
                  </w:pPr>
                  <w:r>
                    <w:rPr>
                      <w:rFonts w:hint="eastAsia" w:cs="Calibri"/>
                      <w:kern w:val="0"/>
                      <w:szCs w:val="22"/>
                    </w:rPr>
                    <w:t>0</w:t>
                  </w:r>
                </w:p>
              </w:tc>
              <w:tc>
                <w:tcPr>
                  <w:tcW w:w="0" w:type="auto"/>
                  <w:noWrap/>
                  <w:vAlign w:val="center"/>
                </w:tcPr>
                <w:p w14:paraId="3C95AA51">
                  <w:pPr>
                    <w:widowControl/>
                    <w:jc w:val="center"/>
                    <w:rPr>
                      <w:rFonts w:cs="Calibri"/>
                      <w:kern w:val="0"/>
                      <w:szCs w:val="22"/>
                    </w:rPr>
                  </w:pPr>
                  <w:r>
                    <w:rPr>
                      <w:rFonts w:hint="eastAsia" w:cs="Calibri"/>
                      <w:kern w:val="0"/>
                      <w:szCs w:val="22"/>
                    </w:rPr>
                    <w:t>0</w:t>
                  </w:r>
                </w:p>
              </w:tc>
              <w:tc>
                <w:tcPr>
                  <w:tcW w:w="0" w:type="auto"/>
                  <w:noWrap/>
                  <w:vAlign w:val="center"/>
                </w:tcPr>
                <w:p w14:paraId="54B3B838">
                  <w:pPr>
                    <w:widowControl/>
                    <w:jc w:val="center"/>
                    <w:rPr>
                      <w:rFonts w:cs="Calibri"/>
                      <w:kern w:val="0"/>
                      <w:szCs w:val="22"/>
                    </w:rPr>
                  </w:pPr>
                  <w:r>
                    <w:rPr>
                      <w:rFonts w:hint="eastAsia" w:cs="Calibri"/>
                      <w:kern w:val="0"/>
                      <w:szCs w:val="22"/>
                    </w:rPr>
                    <w:t>0</w:t>
                  </w:r>
                </w:p>
              </w:tc>
              <w:tc>
                <w:tcPr>
                  <w:tcW w:w="0" w:type="auto"/>
                  <w:noWrap/>
                  <w:vAlign w:val="center"/>
                </w:tcPr>
                <w:p w14:paraId="0DAF3189">
                  <w:pPr>
                    <w:widowControl/>
                    <w:jc w:val="center"/>
                    <w:rPr>
                      <w:rFonts w:cs="Calibri"/>
                      <w:kern w:val="0"/>
                      <w:szCs w:val="22"/>
                    </w:rPr>
                  </w:pPr>
                  <w:r>
                    <w:rPr>
                      <w:rFonts w:hint="eastAsia" w:cs="宋体"/>
                      <w:kern w:val="0"/>
                      <w:szCs w:val="22"/>
                    </w:rPr>
                    <w:t>/</w:t>
                  </w:r>
                </w:p>
              </w:tc>
            </w:tr>
            <w:tr w14:paraId="56EF8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noWrap/>
                  <w:vAlign w:val="center"/>
                </w:tcPr>
                <w:p w14:paraId="55EDBB6D">
                  <w:pPr>
                    <w:widowControl/>
                    <w:jc w:val="center"/>
                    <w:rPr>
                      <w:rFonts w:cs="Calibri"/>
                      <w:kern w:val="0"/>
                      <w:szCs w:val="22"/>
                    </w:rPr>
                  </w:pPr>
                </w:p>
              </w:tc>
              <w:tc>
                <w:tcPr>
                  <w:tcW w:w="0" w:type="auto"/>
                  <w:noWrap/>
                  <w:vAlign w:val="center"/>
                </w:tcPr>
                <w:p w14:paraId="1C3C2449">
                  <w:pPr>
                    <w:widowControl/>
                    <w:jc w:val="center"/>
                    <w:rPr>
                      <w:rFonts w:cs="Calibri"/>
                      <w:kern w:val="0"/>
                      <w:szCs w:val="22"/>
                    </w:rPr>
                  </w:pPr>
                  <w:r>
                    <w:rPr>
                      <w:rFonts w:hint="eastAsia" w:cs="Calibri"/>
                      <w:kern w:val="0"/>
                      <w:szCs w:val="22"/>
                    </w:rPr>
                    <w:t>生活污水</w:t>
                  </w:r>
                </w:p>
              </w:tc>
              <w:tc>
                <w:tcPr>
                  <w:tcW w:w="0" w:type="auto"/>
                  <w:noWrap/>
                  <w:vAlign w:val="center"/>
                </w:tcPr>
                <w:p w14:paraId="4A48B646">
                  <w:pPr>
                    <w:widowControl/>
                    <w:jc w:val="center"/>
                    <w:rPr>
                      <w:rFonts w:cs="Calibri"/>
                      <w:kern w:val="0"/>
                      <w:szCs w:val="22"/>
                    </w:rPr>
                  </w:pPr>
                  <w:r>
                    <w:rPr>
                      <w:rFonts w:cs="Calibri"/>
                      <w:kern w:val="0"/>
                      <w:szCs w:val="22"/>
                    </w:rPr>
                    <w:t>排放量</w:t>
                  </w:r>
                </w:p>
              </w:tc>
              <w:tc>
                <w:tcPr>
                  <w:tcW w:w="0" w:type="auto"/>
                  <w:noWrap/>
                  <w:vAlign w:val="center"/>
                </w:tcPr>
                <w:p w14:paraId="62856648">
                  <w:pPr>
                    <w:widowControl/>
                    <w:jc w:val="center"/>
                    <w:rPr>
                      <w:rFonts w:cs="Calibri"/>
                      <w:kern w:val="0"/>
                      <w:szCs w:val="22"/>
                    </w:rPr>
                  </w:pPr>
                  <w:r>
                    <w:rPr>
                      <w:rFonts w:hint="eastAsia" w:cs="Calibri"/>
                      <w:kern w:val="0"/>
                      <w:szCs w:val="22"/>
                    </w:rPr>
                    <w:t>0</w:t>
                  </w:r>
                </w:p>
              </w:tc>
              <w:tc>
                <w:tcPr>
                  <w:tcW w:w="0" w:type="auto"/>
                  <w:noWrap/>
                  <w:vAlign w:val="center"/>
                </w:tcPr>
                <w:p w14:paraId="32B1C39B">
                  <w:pPr>
                    <w:widowControl/>
                    <w:jc w:val="center"/>
                    <w:rPr>
                      <w:rFonts w:cs="Calibri"/>
                      <w:kern w:val="0"/>
                      <w:szCs w:val="22"/>
                    </w:rPr>
                  </w:pPr>
                  <w:r>
                    <w:rPr>
                      <w:rFonts w:hint="eastAsia" w:cs="Calibri"/>
                      <w:kern w:val="0"/>
                      <w:szCs w:val="22"/>
                    </w:rPr>
                    <w:t>0</w:t>
                  </w:r>
                </w:p>
              </w:tc>
              <w:tc>
                <w:tcPr>
                  <w:tcW w:w="0" w:type="auto"/>
                  <w:noWrap/>
                  <w:vAlign w:val="center"/>
                </w:tcPr>
                <w:p w14:paraId="68A9D6EA">
                  <w:pPr>
                    <w:widowControl/>
                    <w:jc w:val="center"/>
                    <w:rPr>
                      <w:rFonts w:cs="Calibri"/>
                      <w:kern w:val="0"/>
                      <w:szCs w:val="22"/>
                    </w:rPr>
                  </w:pPr>
                  <w:r>
                    <w:rPr>
                      <w:rFonts w:hint="eastAsia" w:cs="Calibri"/>
                      <w:kern w:val="0"/>
                      <w:szCs w:val="22"/>
                    </w:rPr>
                    <w:t>0</w:t>
                  </w:r>
                </w:p>
              </w:tc>
              <w:tc>
                <w:tcPr>
                  <w:tcW w:w="0" w:type="auto"/>
                  <w:noWrap/>
                  <w:vAlign w:val="center"/>
                </w:tcPr>
                <w:p w14:paraId="56A6C565">
                  <w:pPr>
                    <w:widowControl/>
                    <w:jc w:val="center"/>
                    <w:rPr>
                      <w:rFonts w:cs="Calibri"/>
                      <w:kern w:val="0"/>
                      <w:szCs w:val="22"/>
                    </w:rPr>
                  </w:pPr>
                  <w:r>
                    <w:rPr>
                      <w:rFonts w:hint="eastAsia" w:cs="宋体"/>
                      <w:kern w:val="0"/>
                      <w:szCs w:val="22"/>
                    </w:rPr>
                    <w:t>/</w:t>
                  </w:r>
                </w:p>
              </w:tc>
            </w:tr>
            <w:tr w14:paraId="18A0F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restart"/>
                  <w:noWrap/>
                  <w:vAlign w:val="center"/>
                </w:tcPr>
                <w:p w14:paraId="5152125F">
                  <w:pPr>
                    <w:widowControl/>
                    <w:jc w:val="center"/>
                    <w:rPr>
                      <w:rFonts w:cs="宋体"/>
                      <w:kern w:val="0"/>
                      <w:szCs w:val="20"/>
                    </w:rPr>
                  </w:pPr>
                  <w:r>
                    <w:rPr>
                      <w:rFonts w:cs="Calibri"/>
                      <w:kern w:val="0"/>
                      <w:szCs w:val="22"/>
                    </w:rPr>
                    <w:t>固体废物</w:t>
                  </w:r>
                </w:p>
              </w:tc>
              <w:tc>
                <w:tcPr>
                  <w:tcW w:w="0" w:type="auto"/>
                  <w:vMerge w:val="restart"/>
                  <w:noWrap/>
                  <w:vAlign w:val="center"/>
                </w:tcPr>
                <w:p w14:paraId="5497B614">
                  <w:pPr>
                    <w:widowControl/>
                    <w:jc w:val="center"/>
                    <w:rPr>
                      <w:rFonts w:cs="宋体"/>
                      <w:kern w:val="0"/>
                      <w:szCs w:val="20"/>
                    </w:rPr>
                  </w:pPr>
                  <w:r>
                    <w:rPr>
                      <w:rFonts w:cs="Calibri"/>
                      <w:kern w:val="0"/>
                      <w:szCs w:val="22"/>
                    </w:rPr>
                    <w:t>一般</w:t>
                  </w:r>
                  <w:r>
                    <w:rPr>
                      <w:rFonts w:hint="eastAsia" w:cs="Calibri"/>
                      <w:kern w:val="0"/>
                      <w:szCs w:val="22"/>
                    </w:rPr>
                    <w:t>工业</w:t>
                  </w:r>
                  <w:r>
                    <w:rPr>
                      <w:rFonts w:cs="Calibri"/>
                      <w:kern w:val="0"/>
                      <w:szCs w:val="22"/>
                    </w:rPr>
                    <w:t>固</w:t>
                  </w:r>
                  <w:r>
                    <w:rPr>
                      <w:rFonts w:hint="eastAsia" w:cs="Calibri"/>
                      <w:kern w:val="0"/>
                      <w:szCs w:val="22"/>
                    </w:rPr>
                    <w:t>体</w:t>
                  </w:r>
                  <w:r>
                    <w:rPr>
                      <w:rFonts w:cs="Calibri"/>
                      <w:kern w:val="0"/>
                      <w:szCs w:val="22"/>
                    </w:rPr>
                    <w:t>废物</w:t>
                  </w:r>
                </w:p>
              </w:tc>
              <w:tc>
                <w:tcPr>
                  <w:tcW w:w="0" w:type="auto"/>
                  <w:noWrap/>
                  <w:vAlign w:val="center"/>
                </w:tcPr>
                <w:p w14:paraId="5B3108DC">
                  <w:pPr>
                    <w:widowControl/>
                    <w:jc w:val="center"/>
                    <w:rPr>
                      <w:rFonts w:cs="宋体"/>
                      <w:kern w:val="0"/>
                      <w:szCs w:val="20"/>
                    </w:rPr>
                  </w:pPr>
                  <w:r>
                    <w:rPr>
                      <w:rFonts w:hint="eastAsia"/>
                      <w:bCs/>
                      <w:szCs w:val="24"/>
                    </w:rPr>
                    <w:t>白土渣</w:t>
                  </w:r>
                </w:p>
              </w:tc>
              <w:tc>
                <w:tcPr>
                  <w:tcW w:w="0" w:type="auto"/>
                  <w:noWrap/>
                  <w:vAlign w:val="center"/>
                </w:tcPr>
                <w:p w14:paraId="032DD9D6">
                  <w:pPr>
                    <w:widowControl/>
                    <w:jc w:val="center"/>
                    <w:rPr>
                      <w:rFonts w:cs="宋体"/>
                      <w:kern w:val="0"/>
                      <w:szCs w:val="20"/>
                    </w:rPr>
                  </w:pPr>
                  <w:r>
                    <w:rPr>
                      <w:rFonts w:hint="eastAsia" w:cs="Calibri"/>
                      <w:kern w:val="0"/>
                      <w:szCs w:val="22"/>
                    </w:rPr>
                    <w:t>62400</w:t>
                  </w:r>
                </w:p>
              </w:tc>
              <w:tc>
                <w:tcPr>
                  <w:tcW w:w="0" w:type="auto"/>
                  <w:noWrap/>
                  <w:vAlign w:val="center"/>
                </w:tcPr>
                <w:p w14:paraId="110A882A">
                  <w:pPr>
                    <w:widowControl/>
                    <w:jc w:val="center"/>
                    <w:rPr>
                      <w:rFonts w:cs="宋体"/>
                      <w:kern w:val="0"/>
                      <w:szCs w:val="20"/>
                    </w:rPr>
                  </w:pPr>
                  <w:r>
                    <w:rPr>
                      <w:rFonts w:cs="Calibri"/>
                      <w:kern w:val="0"/>
                      <w:szCs w:val="22"/>
                    </w:rPr>
                    <w:t>0</w:t>
                  </w:r>
                </w:p>
              </w:tc>
              <w:tc>
                <w:tcPr>
                  <w:tcW w:w="0" w:type="auto"/>
                  <w:noWrap/>
                  <w:vAlign w:val="center"/>
                </w:tcPr>
                <w:p w14:paraId="5C16672F">
                  <w:pPr>
                    <w:widowControl/>
                    <w:jc w:val="center"/>
                    <w:rPr>
                      <w:rFonts w:cs="宋体"/>
                      <w:kern w:val="0"/>
                      <w:szCs w:val="20"/>
                    </w:rPr>
                  </w:pPr>
                  <w:r>
                    <w:rPr>
                      <w:rFonts w:hint="eastAsia" w:cs="Calibri"/>
                      <w:kern w:val="0"/>
                      <w:szCs w:val="22"/>
                    </w:rPr>
                    <w:t>62400</w:t>
                  </w:r>
                </w:p>
              </w:tc>
              <w:tc>
                <w:tcPr>
                  <w:tcW w:w="0" w:type="auto"/>
                  <w:noWrap/>
                  <w:vAlign w:val="center"/>
                </w:tcPr>
                <w:p w14:paraId="62816232">
                  <w:pPr>
                    <w:widowControl/>
                    <w:jc w:val="center"/>
                    <w:rPr>
                      <w:rFonts w:cs="宋体"/>
                      <w:kern w:val="0"/>
                      <w:szCs w:val="20"/>
                    </w:rPr>
                  </w:pPr>
                  <w:r>
                    <w:rPr>
                      <w:rFonts w:hint="eastAsia" w:cs="宋体"/>
                      <w:kern w:val="0"/>
                      <w:szCs w:val="22"/>
                    </w:rPr>
                    <w:t>/</w:t>
                  </w:r>
                </w:p>
              </w:tc>
            </w:tr>
            <w:tr w14:paraId="34C22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vAlign w:val="center"/>
                </w:tcPr>
                <w:p w14:paraId="720EFAEB">
                  <w:pPr>
                    <w:widowControl/>
                    <w:jc w:val="center"/>
                    <w:rPr>
                      <w:rFonts w:cs="宋体"/>
                      <w:kern w:val="0"/>
                      <w:szCs w:val="20"/>
                    </w:rPr>
                  </w:pPr>
                </w:p>
              </w:tc>
              <w:tc>
                <w:tcPr>
                  <w:tcW w:w="0" w:type="auto"/>
                  <w:vMerge w:val="continue"/>
                  <w:vAlign w:val="center"/>
                </w:tcPr>
                <w:p w14:paraId="43BD0CA5">
                  <w:pPr>
                    <w:widowControl/>
                    <w:jc w:val="center"/>
                    <w:rPr>
                      <w:rFonts w:cs="宋体"/>
                      <w:kern w:val="0"/>
                      <w:szCs w:val="20"/>
                    </w:rPr>
                  </w:pPr>
                </w:p>
              </w:tc>
              <w:tc>
                <w:tcPr>
                  <w:tcW w:w="0" w:type="auto"/>
                  <w:noWrap/>
                  <w:vAlign w:val="center"/>
                </w:tcPr>
                <w:p w14:paraId="469AF8C6">
                  <w:pPr>
                    <w:widowControl/>
                    <w:jc w:val="center"/>
                    <w:rPr>
                      <w:rFonts w:cs="宋体"/>
                      <w:kern w:val="0"/>
                      <w:szCs w:val="20"/>
                    </w:rPr>
                  </w:pPr>
                  <w:r>
                    <w:rPr>
                      <w:rFonts w:hint="eastAsia"/>
                      <w:bCs/>
                      <w:szCs w:val="24"/>
                    </w:rPr>
                    <w:t>生物质锅炉炉渣</w:t>
                  </w:r>
                </w:p>
              </w:tc>
              <w:tc>
                <w:tcPr>
                  <w:tcW w:w="0" w:type="auto"/>
                  <w:noWrap/>
                  <w:vAlign w:val="center"/>
                </w:tcPr>
                <w:p w14:paraId="42468DCF">
                  <w:pPr>
                    <w:widowControl/>
                    <w:jc w:val="center"/>
                    <w:rPr>
                      <w:rFonts w:cs="宋体"/>
                      <w:kern w:val="0"/>
                      <w:szCs w:val="20"/>
                    </w:rPr>
                  </w:pPr>
                  <w:r>
                    <w:rPr>
                      <w:rFonts w:hint="eastAsia" w:cs="Calibri"/>
                      <w:kern w:val="0"/>
                      <w:szCs w:val="22"/>
                    </w:rPr>
                    <w:t>73</w:t>
                  </w:r>
                </w:p>
              </w:tc>
              <w:tc>
                <w:tcPr>
                  <w:tcW w:w="0" w:type="auto"/>
                  <w:noWrap/>
                  <w:vAlign w:val="center"/>
                </w:tcPr>
                <w:p w14:paraId="27BB1BC9">
                  <w:pPr>
                    <w:widowControl/>
                    <w:jc w:val="center"/>
                    <w:rPr>
                      <w:rFonts w:cs="宋体"/>
                      <w:kern w:val="0"/>
                      <w:szCs w:val="20"/>
                    </w:rPr>
                  </w:pPr>
                  <w:r>
                    <w:rPr>
                      <w:rFonts w:cs="Calibri"/>
                      <w:kern w:val="0"/>
                      <w:szCs w:val="22"/>
                    </w:rPr>
                    <w:t>0</w:t>
                  </w:r>
                </w:p>
              </w:tc>
              <w:tc>
                <w:tcPr>
                  <w:tcW w:w="0" w:type="auto"/>
                  <w:noWrap/>
                  <w:vAlign w:val="center"/>
                </w:tcPr>
                <w:p w14:paraId="5025C2D6">
                  <w:pPr>
                    <w:widowControl/>
                    <w:jc w:val="center"/>
                    <w:rPr>
                      <w:rFonts w:cs="宋体"/>
                      <w:kern w:val="0"/>
                      <w:szCs w:val="20"/>
                    </w:rPr>
                  </w:pPr>
                  <w:r>
                    <w:rPr>
                      <w:rFonts w:hint="eastAsia" w:cs="Calibri"/>
                      <w:kern w:val="0"/>
                      <w:szCs w:val="22"/>
                    </w:rPr>
                    <w:t>73</w:t>
                  </w:r>
                </w:p>
              </w:tc>
              <w:tc>
                <w:tcPr>
                  <w:tcW w:w="0" w:type="auto"/>
                  <w:noWrap/>
                  <w:vAlign w:val="center"/>
                </w:tcPr>
                <w:p w14:paraId="53B07D42">
                  <w:pPr>
                    <w:widowControl/>
                    <w:jc w:val="center"/>
                    <w:rPr>
                      <w:rFonts w:cs="宋体"/>
                      <w:kern w:val="0"/>
                      <w:szCs w:val="20"/>
                    </w:rPr>
                  </w:pPr>
                  <w:r>
                    <w:rPr>
                      <w:rFonts w:cs="Calibri"/>
                      <w:kern w:val="0"/>
                      <w:szCs w:val="22"/>
                    </w:rPr>
                    <w:t>/</w:t>
                  </w:r>
                </w:p>
              </w:tc>
            </w:tr>
            <w:tr w14:paraId="3D0CF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vAlign w:val="center"/>
                </w:tcPr>
                <w:p w14:paraId="198CB5C1">
                  <w:pPr>
                    <w:widowControl/>
                    <w:jc w:val="center"/>
                    <w:rPr>
                      <w:rFonts w:cs="宋体"/>
                      <w:kern w:val="0"/>
                      <w:szCs w:val="20"/>
                    </w:rPr>
                  </w:pPr>
                </w:p>
              </w:tc>
              <w:tc>
                <w:tcPr>
                  <w:tcW w:w="0" w:type="auto"/>
                  <w:vMerge w:val="restart"/>
                  <w:noWrap/>
                  <w:vAlign w:val="center"/>
                </w:tcPr>
                <w:p w14:paraId="4625727F">
                  <w:pPr>
                    <w:widowControl/>
                    <w:jc w:val="center"/>
                    <w:rPr>
                      <w:rFonts w:cs="宋体"/>
                      <w:kern w:val="0"/>
                      <w:szCs w:val="20"/>
                    </w:rPr>
                  </w:pPr>
                  <w:r>
                    <w:rPr>
                      <w:rFonts w:cs="Calibri"/>
                      <w:kern w:val="0"/>
                      <w:szCs w:val="22"/>
                    </w:rPr>
                    <w:t>危险废物</w:t>
                  </w:r>
                </w:p>
              </w:tc>
              <w:tc>
                <w:tcPr>
                  <w:tcW w:w="0" w:type="auto"/>
                  <w:noWrap/>
                  <w:vAlign w:val="center"/>
                </w:tcPr>
                <w:p w14:paraId="25A6539F">
                  <w:pPr>
                    <w:widowControl/>
                    <w:jc w:val="center"/>
                    <w:rPr>
                      <w:rFonts w:cs="宋体"/>
                      <w:kern w:val="0"/>
                      <w:szCs w:val="20"/>
                    </w:rPr>
                  </w:pPr>
                  <w:r>
                    <w:rPr>
                      <w:rFonts w:hint="eastAsia"/>
                      <w:bCs/>
                      <w:szCs w:val="24"/>
                    </w:rPr>
                    <w:t>废活性炭</w:t>
                  </w:r>
                </w:p>
              </w:tc>
              <w:tc>
                <w:tcPr>
                  <w:tcW w:w="0" w:type="auto"/>
                  <w:noWrap/>
                  <w:vAlign w:val="center"/>
                </w:tcPr>
                <w:p w14:paraId="78E2BA4C">
                  <w:pPr>
                    <w:widowControl/>
                    <w:jc w:val="center"/>
                    <w:rPr>
                      <w:rFonts w:cs="宋体"/>
                      <w:kern w:val="0"/>
                      <w:szCs w:val="20"/>
                    </w:rPr>
                  </w:pPr>
                  <w:r>
                    <w:rPr>
                      <w:rFonts w:hint="eastAsia" w:cs="Calibri"/>
                      <w:kern w:val="0"/>
                      <w:szCs w:val="22"/>
                    </w:rPr>
                    <w:t>1</w:t>
                  </w:r>
                </w:p>
              </w:tc>
              <w:tc>
                <w:tcPr>
                  <w:tcW w:w="0" w:type="auto"/>
                  <w:noWrap/>
                  <w:vAlign w:val="center"/>
                </w:tcPr>
                <w:p w14:paraId="2D11F703">
                  <w:pPr>
                    <w:widowControl/>
                    <w:jc w:val="center"/>
                    <w:rPr>
                      <w:rFonts w:cs="宋体"/>
                      <w:kern w:val="0"/>
                      <w:szCs w:val="20"/>
                    </w:rPr>
                  </w:pPr>
                  <w:r>
                    <w:rPr>
                      <w:rFonts w:cs="Calibri"/>
                      <w:kern w:val="0"/>
                      <w:szCs w:val="22"/>
                    </w:rPr>
                    <w:t>0</w:t>
                  </w:r>
                </w:p>
              </w:tc>
              <w:tc>
                <w:tcPr>
                  <w:tcW w:w="0" w:type="auto"/>
                  <w:noWrap/>
                  <w:vAlign w:val="center"/>
                </w:tcPr>
                <w:p w14:paraId="253DFC3E">
                  <w:pPr>
                    <w:widowControl/>
                    <w:jc w:val="center"/>
                    <w:rPr>
                      <w:rFonts w:cs="宋体"/>
                      <w:kern w:val="0"/>
                      <w:szCs w:val="20"/>
                    </w:rPr>
                  </w:pPr>
                  <w:r>
                    <w:rPr>
                      <w:rFonts w:hint="eastAsia" w:cs="Calibri"/>
                      <w:kern w:val="0"/>
                      <w:szCs w:val="22"/>
                    </w:rPr>
                    <w:t>1</w:t>
                  </w:r>
                </w:p>
              </w:tc>
              <w:tc>
                <w:tcPr>
                  <w:tcW w:w="0" w:type="auto"/>
                  <w:noWrap/>
                  <w:vAlign w:val="center"/>
                </w:tcPr>
                <w:p w14:paraId="56029B4E">
                  <w:pPr>
                    <w:widowControl/>
                    <w:jc w:val="center"/>
                    <w:rPr>
                      <w:rFonts w:cs="宋体"/>
                      <w:kern w:val="0"/>
                      <w:szCs w:val="20"/>
                    </w:rPr>
                  </w:pPr>
                  <w:r>
                    <w:rPr>
                      <w:rFonts w:hint="eastAsia" w:cs="宋体"/>
                      <w:kern w:val="0"/>
                      <w:szCs w:val="22"/>
                    </w:rPr>
                    <w:t>/</w:t>
                  </w:r>
                </w:p>
              </w:tc>
            </w:tr>
            <w:tr w14:paraId="78A13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vAlign w:val="center"/>
                </w:tcPr>
                <w:p w14:paraId="353E739E">
                  <w:pPr>
                    <w:widowControl/>
                    <w:jc w:val="center"/>
                    <w:rPr>
                      <w:rFonts w:cs="宋体"/>
                      <w:kern w:val="0"/>
                      <w:szCs w:val="20"/>
                    </w:rPr>
                  </w:pPr>
                </w:p>
              </w:tc>
              <w:tc>
                <w:tcPr>
                  <w:tcW w:w="0" w:type="auto"/>
                  <w:vMerge w:val="continue"/>
                  <w:vAlign w:val="center"/>
                </w:tcPr>
                <w:p w14:paraId="37E64C71">
                  <w:pPr>
                    <w:widowControl/>
                    <w:jc w:val="center"/>
                    <w:rPr>
                      <w:rFonts w:cs="宋体"/>
                      <w:kern w:val="0"/>
                      <w:szCs w:val="20"/>
                    </w:rPr>
                  </w:pPr>
                </w:p>
              </w:tc>
              <w:tc>
                <w:tcPr>
                  <w:tcW w:w="0" w:type="auto"/>
                  <w:noWrap/>
                  <w:vAlign w:val="center"/>
                </w:tcPr>
                <w:p w14:paraId="190F4EF0">
                  <w:pPr>
                    <w:widowControl/>
                    <w:jc w:val="center"/>
                    <w:rPr>
                      <w:rFonts w:cs="宋体"/>
                      <w:kern w:val="0"/>
                      <w:szCs w:val="20"/>
                    </w:rPr>
                  </w:pPr>
                  <w:r>
                    <w:rPr>
                      <w:rFonts w:hint="eastAsia"/>
                      <w:bCs/>
                      <w:szCs w:val="24"/>
                    </w:rPr>
                    <w:t>废机油</w:t>
                  </w:r>
                </w:p>
              </w:tc>
              <w:tc>
                <w:tcPr>
                  <w:tcW w:w="0" w:type="auto"/>
                  <w:noWrap/>
                  <w:vAlign w:val="center"/>
                </w:tcPr>
                <w:p w14:paraId="7B541664">
                  <w:pPr>
                    <w:widowControl/>
                    <w:jc w:val="center"/>
                    <w:rPr>
                      <w:rFonts w:cs="宋体"/>
                      <w:kern w:val="0"/>
                      <w:szCs w:val="20"/>
                    </w:rPr>
                  </w:pPr>
                  <w:r>
                    <w:rPr>
                      <w:rFonts w:hint="eastAsia" w:cs="宋体"/>
                      <w:kern w:val="0"/>
                      <w:szCs w:val="20"/>
                    </w:rPr>
                    <w:t>0.01</w:t>
                  </w:r>
                </w:p>
              </w:tc>
              <w:tc>
                <w:tcPr>
                  <w:tcW w:w="0" w:type="auto"/>
                  <w:noWrap/>
                  <w:vAlign w:val="center"/>
                </w:tcPr>
                <w:p w14:paraId="63EBE5EC">
                  <w:pPr>
                    <w:widowControl/>
                    <w:jc w:val="center"/>
                    <w:rPr>
                      <w:rFonts w:cs="宋体"/>
                      <w:kern w:val="0"/>
                      <w:szCs w:val="20"/>
                    </w:rPr>
                  </w:pPr>
                  <w:r>
                    <w:rPr>
                      <w:rFonts w:cs="Calibri"/>
                      <w:kern w:val="0"/>
                      <w:szCs w:val="22"/>
                    </w:rPr>
                    <w:t>0</w:t>
                  </w:r>
                </w:p>
              </w:tc>
              <w:tc>
                <w:tcPr>
                  <w:tcW w:w="0" w:type="auto"/>
                  <w:noWrap/>
                  <w:vAlign w:val="center"/>
                </w:tcPr>
                <w:p w14:paraId="6BE088A4">
                  <w:pPr>
                    <w:widowControl/>
                    <w:jc w:val="center"/>
                    <w:rPr>
                      <w:rFonts w:cs="宋体"/>
                      <w:kern w:val="0"/>
                      <w:szCs w:val="20"/>
                    </w:rPr>
                  </w:pPr>
                  <w:r>
                    <w:rPr>
                      <w:rFonts w:hint="eastAsia" w:cs="宋体"/>
                      <w:kern w:val="0"/>
                      <w:szCs w:val="20"/>
                    </w:rPr>
                    <w:t>0.01</w:t>
                  </w:r>
                </w:p>
              </w:tc>
              <w:tc>
                <w:tcPr>
                  <w:tcW w:w="0" w:type="auto"/>
                  <w:noWrap/>
                  <w:vAlign w:val="center"/>
                </w:tcPr>
                <w:p w14:paraId="1FE6E9BA">
                  <w:pPr>
                    <w:widowControl/>
                    <w:jc w:val="center"/>
                    <w:rPr>
                      <w:rFonts w:cs="宋体"/>
                      <w:kern w:val="0"/>
                      <w:szCs w:val="20"/>
                    </w:rPr>
                  </w:pPr>
                  <w:r>
                    <w:rPr>
                      <w:rFonts w:hint="eastAsia" w:cs="宋体"/>
                      <w:kern w:val="0"/>
                      <w:szCs w:val="22"/>
                    </w:rPr>
                    <w:t>/</w:t>
                  </w:r>
                </w:p>
              </w:tc>
            </w:tr>
            <w:tr w14:paraId="1B2FC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vAlign w:val="center"/>
                </w:tcPr>
                <w:p w14:paraId="5C06F4FF">
                  <w:pPr>
                    <w:widowControl/>
                    <w:jc w:val="center"/>
                    <w:rPr>
                      <w:rFonts w:cs="宋体"/>
                      <w:kern w:val="0"/>
                      <w:szCs w:val="20"/>
                    </w:rPr>
                  </w:pPr>
                </w:p>
              </w:tc>
              <w:tc>
                <w:tcPr>
                  <w:tcW w:w="0" w:type="auto"/>
                  <w:vMerge w:val="continue"/>
                  <w:vAlign w:val="center"/>
                </w:tcPr>
                <w:p w14:paraId="11F1B993">
                  <w:pPr>
                    <w:widowControl/>
                    <w:jc w:val="center"/>
                    <w:rPr>
                      <w:rFonts w:cs="宋体"/>
                      <w:kern w:val="0"/>
                      <w:szCs w:val="20"/>
                    </w:rPr>
                  </w:pPr>
                </w:p>
              </w:tc>
              <w:tc>
                <w:tcPr>
                  <w:tcW w:w="0" w:type="auto"/>
                  <w:noWrap/>
                  <w:vAlign w:val="center"/>
                </w:tcPr>
                <w:p w14:paraId="0168F534">
                  <w:pPr>
                    <w:widowControl/>
                    <w:jc w:val="center"/>
                    <w:rPr>
                      <w:rFonts w:cs="宋体"/>
                      <w:kern w:val="0"/>
                      <w:szCs w:val="20"/>
                    </w:rPr>
                  </w:pPr>
                  <w:r>
                    <w:rPr>
                      <w:rFonts w:hint="eastAsia"/>
                      <w:bCs/>
                      <w:szCs w:val="24"/>
                    </w:rPr>
                    <w:t>废机油桶</w:t>
                  </w:r>
                </w:p>
              </w:tc>
              <w:tc>
                <w:tcPr>
                  <w:tcW w:w="0" w:type="auto"/>
                  <w:noWrap/>
                  <w:vAlign w:val="center"/>
                </w:tcPr>
                <w:p w14:paraId="3293733B">
                  <w:pPr>
                    <w:widowControl/>
                    <w:jc w:val="center"/>
                    <w:rPr>
                      <w:rFonts w:cs="宋体"/>
                      <w:kern w:val="0"/>
                      <w:szCs w:val="20"/>
                    </w:rPr>
                  </w:pPr>
                  <w:r>
                    <w:rPr>
                      <w:rFonts w:hint="eastAsia" w:cs="宋体"/>
                      <w:kern w:val="0"/>
                      <w:szCs w:val="20"/>
                    </w:rPr>
                    <w:t>0.01</w:t>
                  </w:r>
                </w:p>
              </w:tc>
              <w:tc>
                <w:tcPr>
                  <w:tcW w:w="0" w:type="auto"/>
                  <w:noWrap/>
                  <w:vAlign w:val="center"/>
                </w:tcPr>
                <w:p w14:paraId="5DB85FC5">
                  <w:pPr>
                    <w:widowControl/>
                    <w:jc w:val="center"/>
                    <w:rPr>
                      <w:rFonts w:cs="宋体"/>
                      <w:kern w:val="0"/>
                      <w:szCs w:val="20"/>
                    </w:rPr>
                  </w:pPr>
                  <w:r>
                    <w:rPr>
                      <w:rFonts w:cs="Calibri"/>
                      <w:kern w:val="0"/>
                      <w:szCs w:val="22"/>
                    </w:rPr>
                    <w:t>0</w:t>
                  </w:r>
                </w:p>
              </w:tc>
              <w:tc>
                <w:tcPr>
                  <w:tcW w:w="0" w:type="auto"/>
                  <w:noWrap/>
                  <w:vAlign w:val="center"/>
                </w:tcPr>
                <w:p w14:paraId="053EFCE6">
                  <w:pPr>
                    <w:widowControl/>
                    <w:jc w:val="center"/>
                    <w:rPr>
                      <w:rFonts w:cs="宋体"/>
                      <w:kern w:val="0"/>
                      <w:szCs w:val="20"/>
                    </w:rPr>
                  </w:pPr>
                  <w:r>
                    <w:rPr>
                      <w:rFonts w:hint="eastAsia" w:cs="宋体"/>
                      <w:kern w:val="0"/>
                      <w:szCs w:val="20"/>
                    </w:rPr>
                    <w:t>0.01</w:t>
                  </w:r>
                </w:p>
              </w:tc>
              <w:tc>
                <w:tcPr>
                  <w:tcW w:w="0" w:type="auto"/>
                  <w:noWrap/>
                  <w:vAlign w:val="center"/>
                </w:tcPr>
                <w:p w14:paraId="5C78A3C6">
                  <w:pPr>
                    <w:widowControl/>
                    <w:jc w:val="center"/>
                    <w:rPr>
                      <w:rFonts w:cs="宋体"/>
                      <w:kern w:val="0"/>
                      <w:szCs w:val="20"/>
                    </w:rPr>
                  </w:pPr>
                  <w:r>
                    <w:rPr>
                      <w:rFonts w:hint="eastAsia" w:cs="宋体"/>
                      <w:kern w:val="0"/>
                      <w:szCs w:val="22"/>
                    </w:rPr>
                    <w:t>/</w:t>
                  </w:r>
                </w:p>
              </w:tc>
            </w:tr>
            <w:tr w14:paraId="6D6C2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vAlign w:val="center"/>
                </w:tcPr>
                <w:p w14:paraId="1204DC42">
                  <w:pPr>
                    <w:widowControl/>
                    <w:jc w:val="center"/>
                    <w:rPr>
                      <w:rFonts w:cs="宋体"/>
                      <w:kern w:val="0"/>
                      <w:szCs w:val="20"/>
                    </w:rPr>
                  </w:pPr>
                </w:p>
              </w:tc>
              <w:tc>
                <w:tcPr>
                  <w:tcW w:w="0" w:type="auto"/>
                  <w:vMerge w:val="continue"/>
                  <w:vAlign w:val="center"/>
                </w:tcPr>
                <w:p w14:paraId="5F828AA5">
                  <w:pPr>
                    <w:widowControl/>
                    <w:jc w:val="center"/>
                    <w:rPr>
                      <w:rFonts w:cs="宋体"/>
                      <w:kern w:val="0"/>
                      <w:szCs w:val="20"/>
                    </w:rPr>
                  </w:pPr>
                </w:p>
              </w:tc>
              <w:tc>
                <w:tcPr>
                  <w:tcW w:w="0" w:type="auto"/>
                  <w:noWrap/>
                  <w:vAlign w:val="center"/>
                </w:tcPr>
                <w:p w14:paraId="2E0DBE66">
                  <w:pPr>
                    <w:widowControl/>
                    <w:jc w:val="center"/>
                    <w:rPr>
                      <w:rFonts w:cs="宋体"/>
                      <w:kern w:val="0"/>
                      <w:szCs w:val="20"/>
                    </w:rPr>
                  </w:pPr>
                  <w:r>
                    <w:rPr>
                      <w:rFonts w:hint="eastAsia"/>
                      <w:bCs/>
                      <w:szCs w:val="24"/>
                    </w:rPr>
                    <w:t>含油废抹布及手套</w:t>
                  </w:r>
                </w:p>
              </w:tc>
              <w:tc>
                <w:tcPr>
                  <w:tcW w:w="0" w:type="auto"/>
                  <w:noWrap/>
                  <w:vAlign w:val="center"/>
                </w:tcPr>
                <w:p w14:paraId="604E1C74">
                  <w:pPr>
                    <w:widowControl/>
                    <w:jc w:val="center"/>
                    <w:rPr>
                      <w:rFonts w:cs="宋体"/>
                      <w:kern w:val="0"/>
                      <w:szCs w:val="20"/>
                    </w:rPr>
                  </w:pPr>
                  <w:r>
                    <w:rPr>
                      <w:rFonts w:hint="eastAsia" w:cs="宋体"/>
                      <w:kern w:val="0"/>
                      <w:szCs w:val="20"/>
                    </w:rPr>
                    <w:t>0.01</w:t>
                  </w:r>
                </w:p>
              </w:tc>
              <w:tc>
                <w:tcPr>
                  <w:tcW w:w="0" w:type="auto"/>
                  <w:noWrap/>
                  <w:vAlign w:val="center"/>
                </w:tcPr>
                <w:p w14:paraId="2FA68055">
                  <w:pPr>
                    <w:widowControl/>
                    <w:jc w:val="center"/>
                    <w:rPr>
                      <w:rFonts w:cs="宋体"/>
                      <w:kern w:val="0"/>
                      <w:szCs w:val="20"/>
                    </w:rPr>
                  </w:pPr>
                  <w:r>
                    <w:rPr>
                      <w:rFonts w:cs="Calibri"/>
                      <w:kern w:val="0"/>
                      <w:szCs w:val="22"/>
                    </w:rPr>
                    <w:t>0</w:t>
                  </w:r>
                </w:p>
              </w:tc>
              <w:tc>
                <w:tcPr>
                  <w:tcW w:w="0" w:type="auto"/>
                  <w:noWrap/>
                  <w:vAlign w:val="center"/>
                </w:tcPr>
                <w:p w14:paraId="21960FD4">
                  <w:pPr>
                    <w:widowControl/>
                    <w:jc w:val="center"/>
                    <w:rPr>
                      <w:rFonts w:cs="宋体"/>
                      <w:kern w:val="0"/>
                      <w:szCs w:val="20"/>
                    </w:rPr>
                  </w:pPr>
                  <w:r>
                    <w:rPr>
                      <w:rFonts w:hint="eastAsia" w:cs="宋体"/>
                      <w:kern w:val="0"/>
                      <w:szCs w:val="20"/>
                    </w:rPr>
                    <w:t>0.01</w:t>
                  </w:r>
                </w:p>
              </w:tc>
              <w:tc>
                <w:tcPr>
                  <w:tcW w:w="0" w:type="auto"/>
                  <w:noWrap/>
                  <w:vAlign w:val="center"/>
                </w:tcPr>
                <w:p w14:paraId="14E9EE6B">
                  <w:pPr>
                    <w:widowControl/>
                    <w:jc w:val="center"/>
                    <w:rPr>
                      <w:rFonts w:cs="宋体"/>
                      <w:kern w:val="0"/>
                      <w:szCs w:val="20"/>
                    </w:rPr>
                  </w:pPr>
                  <w:r>
                    <w:rPr>
                      <w:rFonts w:cs="Calibri"/>
                      <w:kern w:val="0"/>
                      <w:szCs w:val="22"/>
                    </w:rPr>
                    <w:t>/</w:t>
                  </w:r>
                </w:p>
              </w:tc>
            </w:tr>
            <w:tr w14:paraId="6423E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vMerge w:val="continue"/>
                  <w:vAlign w:val="center"/>
                </w:tcPr>
                <w:p w14:paraId="5931A734">
                  <w:pPr>
                    <w:widowControl/>
                    <w:jc w:val="center"/>
                    <w:rPr>
                      <w:rFonts w:cs="宋体"/>
                      <w:kern w:val="0"/>
                      <w:szCs w:val="20"/>
                    </w:rPr>
                  </w:pPr>
                </w:p>
              </w:tc>
              <w:tc>
                <w:tcPr>
                  <w:tcW w:w="0" w:type="auto"/>
                  <w:gridSpan w:val="2"/>
                  <w:noWrap/>
                  <w:vAlign w:val="center"/>
                </w:tcPr>
                <w:p w14:paraId="60E864EF">
                  <w:pPr>
                    <w:widowControl/>
                    <w:jc w:val="center"/>
                    <w:rPr>
                      <w:rFonts w:cs="宋体"/>
                      <w:kern w:val="0"/>
                      <w:szCs w:val="20"/>
                    </w:rPr>
                  </w:pPr>
                  <w:r>
                    <w:rPr>
                      <w:rFonts w:cs="Calibri"/>
                      <w:kern w:val="0"/>
                      <w:szCs w:val="22"/>
                    </w:rPr>
                    <w:t>生活垃圾</w:t>
                  </w:r>
                </w:p>
              </w:tc>
              <w:tc>
                <w:tcPr>
                  <w:tcW w:w="0" w:type="auto"/>
                  <w:noWrap/>
                  <w:vAlign w:val="center"/>
                </w:tcPr>
                <w:p w14:paraId="4E750601">
                  <w:pPr>
                    <w:widowControl/>
                    <w:jc w:val="center"/>
                    <w:rPr>
                      <w:rFonts w:cs="宋体"/>
                      <w:kern w:val="0"/>
                      <w:szCs w:val="20"/>
                    </w:rPr>
                  </w:pPr>
                  <w:r>
                    <w:rPr>
                      <w:rFonts w:hint="eastAsia" w:cs="Calibri"/>
                      <w:kern w:val="0"/>
                      <w:szCs w:val="22"/>
                    </w:rPr>
                    <w:t>7.5</w:t>
                  </w:r>
                </w:p>
              </w:tc>
              <w:tc>
                <w:tcPr>
                  <w:tcW w:w="0" w:type="auto"/>
                  <w:noWrap/>
                  <w:vAlign w:val="center"/>
                </w:tcPr>
                <w:p w14:paraId="7A7444C1">
                  <w:pPr>
                    <w:widowControl/>
                    <w:jc w:val="center"/>
                    <w:rPr>
                      <w:rFonts w:cs="宋体"/>
                      <w:kern w:val="0"/>
                      <w:szCs w:val="20"/>
                    </w:rPr>
                  </w:pPr>
                  <w:r>
                    <w:rPr>
                      <w:rFonts w:cs="Calibri"/>
                      <w:kern w:val="0"/>
                      <w:szCs w:val="22"/>
                    </w:rPr>
                    <w:t>0</w:t>
                  </w:r>
                </w:p>
              </w:tc>
              <w:tc>
                <w:tcPr>
                  <w:tcW w:w="0" w:type="auto"/>
                  <w:noWrap/>
                  <w:vAlign w:val="center"/>
                </w:tcPr>
                <w:p w14:paraId="597E8BA2">
                  <w:pPr>
                    <w:widowControl/>
                    <w:jc w:val="center"/>
                    <w:rPr>
                      <w:rFonts w:cs="宋体"/>
                      <w:kern w:val="0"/>
                      <w:szCs w:val="20"/>
                    </w:rPr>
                  </w:pPr>
                  <w:r>
                    <w:rPr>
                      <w:rFonts w:hint="eastAsia" w:cs="Calibri"/>
                      <w:kern w:val="0"/>
                      <w:szCs w:val="22"/>
                    </w:rPr>
                    <w:t>7.5</w:t>
                  </w:r>
                </w:p>
              </w:tc>
              <w:tc>
                <w:tcPr>
                  <w:tcW w:w="0" w:type="auto"/>
                  <w:noWrap/>
                  <w:vAlign w:val="center"/>
                </w:tcPr>
                <w:p w14:paraId="66BFB8DD">
                  <w:pPr>
                    <w:widowControl/>
                    <w:jc w:val="center"/>
                    <w:rPr>
                      <w:rFonts w:cs="宋体"/>
                      <w:kern w:val="0"/>
                      <w:szCs w:val="20"/>
                    </w:rPr>
                  </w:pPr>
                  <w:r>
                    <w:rPr>
                      <w:rFonts w:cs="Calibri"/>
                      <w:kern w:val="0"/>
                      <w:szCs w:val="22"/>
                    </w:rPr>
                    <w:t>/</w:t>
                  </w:r>
                </w:p>
              </w:tc>
            </w:tr>
          </w:tbl>
          <w:p w14:paraId="425FD466">
            <w:pPr>
              <w:spacing w:before="120" w:beforeLines="50" w:line="360" w:lineRule="auto"/>
              <w:ind w:firstLine="482" w:firstLineChars="200"/>
              <w:jc w:val="left"/>
              <w:rPr>
                <w:b/>
                <w:bCs/>
                <w:sz w:val="24"/>
                <w:szCs w:val="24"/>
              </w:rPr>
            </w:pPr>
            <w:r>
              <w:rPr>
                <w:rFonts w:hint="eastAsia"/>
                <w:b/>
                <w:bCs/>
                <w:sz w:val="24"/>
                <w:szCs w:val="24"/>
              </w:rPr>
              <w:t>3.现有项目存在的主要环境问题及整改措施</w:t>
            </w:r>
          </w:p>
          <w:p w14:paraId="14F0BC79">
            <w:pPr>
              <w:spacing w:before="120" w:beforeLines="50" w:line="360" w:lineRule="auto"/>
              <w:ind w:firstLine="480" w:firstLineChars="200"/>
              <w:jc w:val="left"/>
              <w:rPr>
                <w:sz w:val="24"/>
                <w:szCs w:val="24"/>
              </w:rPr>
            </w:pPr>
            <w:r>
              <w:rPr>
                <w:sz w:val="24"/>
                <w:szCs w:val="24"/>
              </w:rPr>
              <w:t>根据现场勘查，</w:t>
            </w:r>
            <w:r>
              <w:rPr>
                <w:rFonts w:hint="eastAsia"/>
                <w:sz w:val="24"/>
                <w:szCs w:val="24"/>
              </w:rPr>
              <w:t>现有项目己要求原环评审批意见要求落实相关环保措施，环保处理设施均正常运行，</w:t>
            </w:r>
            <w:r>
              <w:rPr>
                <w:sz w:val="24"/>
                <w:szCs w:val="24"/>
              </w:rPr>
              <w:t>建议后续完善环保管理制度落实。</w:t>
            </w:r>
          </w:p>
          <w:p w14:paraId="7CA6C3FD">
            <w:pPr>
              <w:spacing w:before="120" w:beforeLines="50" w:line="360" w:lineRule="auto"/>
              <w:ind w:firstLine="480" w:firstLineChars="200"/>
              <w:jc w:val="left"/>
              <w:rPr>
                <w:sz w:val="24"/>
                <w:szCs w:val="24"/>
              </w:rPr>
            </w:pPr>
          </w:p>
          <w:p w14:paraId="02F36127">
            <w:pPr>
              <w:spacing w:before="120" w:beforeLines="50" w:line="360" w:lineRule="auto"/>
              <w:ind w:firstLine="480" w:firstLineChars="200"/>
              <w:jc w:val="left"/>
              <w:rPr>
                <w:sz w:val="24"/>
                <w:szCs w:val="24"/>
              </w:rPr>
            </w:pPr>
          </w:p>
          <w:p w14:paraId="0E3B6A82">
            <w:pPr>
              <w:spacing w:before="120" w:beforeLines="50" w:line="360" w:lineRule="auto"/>
              <w:ind w:firstLine="480" w:firstLineChars="200"/>
              <w:jc w:val="left"/>
              <w:rPr>
                <w:sz w:val="24"/>
                <w:szCs w:val="24"/>
              </w:rPr>
            </w:pPr>
          </w:p>
          <w:p w14:paraId="600A133A">
            <w:pPr>
              <w:spacing w:before="120" w:beforeLines="50" w:line="360" w:lineRule="auto"/>
              <w:ind w:firstLine="480" w:firstLineChars="200"/>
              <w:jc w:val="left"/>
              <w:rPr>
                <w:sz w:val="24"/>
                <w:szCs w:val="24"/>
              </w:rPr>
            </w:pPr>
          </w:p>
          <w:p w14:paraId="1AFCB921">
            <w:pPr>
              <w:spacing w:before="120" w:beforeLines="50" w:line="360" w:lineRule="auto"/>
              <w:ind w:firstLine="480" w:firstLineChars="200"/>
              <w:jc w:val="left"/>
              <w:rPr>
                <w:sz w:val="24"/>
                <w:szCs w:val="24"/>
              </w:rPr>
            </w:pPr>
          </w:p>
          <w:p w14:paraId="5BBCF0C1">
            <w:pPr>
              <w:spacing w:before="120" w:beforeLines="50" w:line="360" w:lineRule="auto"/>
              <w:ind w:firstLine="480" w:firstLineChars="200"/>
              <w:jc w:val="left"/>
              <w:rPr>
                <w:sz w:val="24"/>
                <w:szCs w:val="24"/>
              </w:rPr>
            </w:pPr>
          </w:p>
          <w:p w14:paraId="7A8C607A">
            <w:pPr>
              <w:spacing w:before="120" w:beforeLines="50" w:line="360" w:lineRule="auto"/>
              <w:ind w:firstLine="480" w:firstLineChars="200"/>
              <w:jc w:val="left"/>
              <w:rPr>
                <w:sz w:val="24"/>
                <w:szCs w:val="24"/>
              </w:rPr>
            </w:pPr>
          </w:p>
          <w:p w14:paraId="163CA34F">
            <w:pPr>
              <w:spacing w:before="120" w:beforeLines="50" w:line="360" w:lineRule="auto"/>
              <w:ind w:firstLine="480" w:firstLineChars="200"/>
              <w:jc w:val="left"/>
              <w:rPr>
                <w:sz w:val="24"/>
                <w:szCs w:val="24"/>
              </w:rPr>
            </w:pPr>
          </w:p>
          <w:p w14:paraId="3D095DCA">
            <w:pPr>
              <w:spacing w:before="120" w:beforeLines="50" w:line="360" w:lineRule="auto"/>
              <w:ind w:firstLine="482" w:firstLineChars="200"/>
              <w:jc w:val="left"/>
              <w:rPr>
                <w:b/>
                <w:sz w:val="24"/>
                <w:szCs w:val="24"/>
              </w:rPr>
            </w:pPr>
          </w:p>
        </w:tc>
      </w:tr>
    </w:tbl>
    <w:p w14:paraId="20992D4B"/>
    <w:p w14:paraId="5BD9D6C4">
      <w:pPr>
        <w:pStyle w:val="42"/>
        <w:rPr>
          <w:color w:val="auto"/>
        </w:rPr>
        <w:sectPr>
          <w:pgSz w:w="11906" w:h="16838"/>
          <w:pgMar w:top="1418" w:right="1134" w:bottom="1418" w:left="1418" w:header="851" w:footer="992" w:gutter="0"/>
          <w:pgNumType w:fmt="decimal"/>
          <w:cols w:space="425" w:num="1"/>
          <w:docGrid w:linePitch="312" w:charSpace="0"/>
        </w:sectPr>
      </w:pPr>
    </w:p>
    <w:p w14:paraId="4172913D">
      <w:pPr>
        <w:pStyle w:val="32"/>
        <w:spacing w:before="0" w:beforeAutospacing="0" w:after="0" w:afterAutospacing="0"/>
        <w:jc w:val="center"/>
        <w:outlineLvl w:val="0"/>
        <w:rPr>
          <w:rFonts w:hint="eastAsia" w:ascii="黑体" w:hAnsi="黑体" w:eastAsia="黑体"/>
          <w:snapToGrid w:val="0"/>
          <w:sz w:val="30"/>
          <w:szCs w:val="30"/>
        </w:rPr>
      </w:pPr>
      <w:bookmarkStart w:id="9" w:name="_Toc209949141"/>
      <w:r>
        <w:rPr>
          <w:rFonts w:ascii="黑体" w:hAnsi="黑体" w:eastAsia="黑体"/>
          <w:snapToGrid w:val="0"/>
          <w:sz w:val="30"/>
          <w:szCs w:val="30"/>
        </w:rPr>
        <w:t>三、区域环境质量现状、环境保护目标及评价标准</w:t>
      </w:r>
      <w:bookmarkEnd w:id="9"/>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8935"/>
      </w:tblGrid>
      <w:tr w14:paraId="60A25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332" w:type="pct"/>
            <w:vAlign w:val="center"/>
          </w:tcPr>
          <w:p w14:paraId="633A986A">
            <w:pPr>
              <w:adjustRightInd w:val="0"/>
              <w:snapToGrid w:val="0"/>
              <w:jc w:val="center"/>
              <w:rPr>
                <w:kern w:val="0"/>
                <w:sz w:val="24"/>
                <w:szCs w:val="24"/>
              </w:rPr>
            </w:pPr>
            <w:r>
              <w:rPr>
                <w:kern w:val="0"/>
                <w:sz w:val="24"/>
                <w:szCs w:val="24"/>
              </w:rPr>
              <w:t>区域环境质量现状</w:t>
            </w:r>
          </w:p>
        </w:tc>
        <w:tc>
          <w:tcPr>
            <w:tcW w:w="4668" w:type="pct"/>
            <w:vAlign w:val="center"/>
          </w:tcPr>
          <w:p w14:paraId="59F610BE">
            <w:pPr>
              <w:spacing w:before="120" w:beforeLines="50" w:line="360" w:lineRule="auto"/>
              <w:ind w:firstLine="482" w:firstLineChars="200"/>
              <w:rPr>
                <w:b/>
                <w:sz w:val="24"/>
              </w:rPr>
            </w:pPr>
            <w:r>
              <w:rPr>
                <w:b/>
                <w:sz w:val="24"/>
              </w:rPr>
              <w:t>1、</w:t>
            </w:r>
            <w:r>
              <w:rPr>
                <w:rFonts w:hint="eastAsia"/>
                <w:b/>
                <w:sz w:val="24"/>
              </w:rPr>
              <w:t>空</w:t>
            </w:r>
            <w:r>
              <w:rPr>
                <w:b/>
                <w:sz w:val="24"/>
              </w:rPr>
              <w:t>气环境</w:t>
            </w:r>
          </w:p>
          <w:p w14:paraId="1C8ABFDA">
            <w:pPr>
              <w:spacing w:line="360" w:lineRule="auto"/>
              <w:ind w:firstLine="480" w:firstLineChars="200"/>
              <w:rPr>
                <w:b/>
                <w:sz w:val="24"/>
              </w:rPr>
            </w:pPr>
            <w:r>
              <w:rPr>
                <w:rFonts w:hint="eastAsia" w:cs="宋体"/>
                <w:sz w:val="24"/>
                <w:szCs w:val="24"/>
              </w:rPr>
              <w:t>本项目位于博罗县，根据《</w:t>
            </w:r>
            <w:bookmarkStart w:id="10" w:name="OLE_LINK1"/>
            <w:r>
              <w:rPr>
                <w:rFonts w:hint="eastAsia" w:cs="宋体"/>
                <w:sz w:val="24"/>
                <w:szCs w:val="24"/>
              </w:rPr>
              <w:t>惠州市环境空气质量功能区划（2024年修订）</w:t>
            </w:r>
            <w:bookmarkEnd w:id="10"/>
            <w:r>
              <w:rPr>
                <w:rFonts w:hint="eastAsia" w:cs="宋体"/>
                <w:sz w:val="24"/>
                <w:szCs w:val="24"/>
              </w:rPr>
              <w:t>》（惠市环〔2024〕16号），项目所处区域属二类功能区（详见附图15），区域的环境空气质量执行国家《环境空气质量标准》（GB3095-2012）及2018年修改单中的二级标准。</w:t>
            </w:r>
          </w:p>
          <w:p w14:paraId="4FED3AFD">
            <w:pPr>
              <w:spacing w:line="360" w:lineRule="auto"/>
              <w:ind w:firstLine="482" w:firstLineChars="200"/>
              <w:rPr>
                <w:b/>
                <w:sz w:val="24"/>
              </w:rPr>
            </w:pPr>
            <w:r>
              <w:rPr>
                <w:b/>
                <w:sz w:val="24"/>
              </w:rPr>
              <w:t>（1）常规污染</w:t>
            </w:r>
            <w:r>
              <w:rPr>
                <w:rFonts w:hint="eastAsia"/>
                <w:b/>
                <w:sz w:val="24"/>
              </w:rPr>
              <w:t>因子</w:t>
            </w:r>
          </w:p>
          <w:p w14:paraId="32364630">
            <w:pPr>
              <w:tabs>
                <w:tab w:val="left" w:pos="1081"/>
              </w:tabs>
              <w:spacing w:line="360" w:lineRule="auto"/>
              <w:ind w:firstLine="480" w:firstLineChars="200"/>
              <w:rPr>
                <w:rFonts w:cs="宋体"/>
                <w:sz w:val="24"/>
              </w:rPr>
            </w:pPr>
            <w:r>
              <w:rPr>
                <w:rFonts w:hint="eastAsia" w:cs="宋体"/>
                <w:sz w:val="24"/>
              </w:rPr>
              <w:t>根据惠州市生态环境局公开的《2024年惠州市生态环境状况公报》：</w:t>
            </w:r>
          </w:p>
          <w:p w14:paraId="3128A200">
            <w:pPr>
              <w:pStyle w:val="42"/>
              <w:jc w:val="center"/>
              <w:rPr>
                <w:color w:val="auto"/>
              </w:rPr>
            </w:pPr>
            <w:r>
              <w:rPr>
                <w:color w:val="auto"/>
              </w:rPr>
              <w:drawing>
                <wp:inline distT="0" distB="0" distL="0" distR="0">
                  <wp:extent cx="5149850" cy="6104255"/>
                  <wp:effectExtent l="0" t="0" r="0" b="0"/>
                  <wp:docPr id="345062362"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062362" name="图片 117"/>
                          <pic:cNvPicPr>
                            <a:picLocks noChangeAspect="1"/>
                          </pic:cNvPicPr>
                        </pic:nvPicPr>
                        <pic:blipFill>
                          <a:blip r:embed="rId18" cstate="print">
                            <a:extLst>
                              <a:ext uri="{28A0092B-C50C-407E-A947-70E740481C1C}">
                                <a14:useLocalDpi xmlns:a14="http://schemas.microsoft.com/office/drawing/2010/main" val="0"/>
                              </a:ext>
                            </a:extLst>
                          </a:blip>
                          <a:srcRect t="2357" b="35134"/>
                          <a:stretch>
                            <a:fillRect/>
                          </a:stretch>
                        </pic:blipFill>
                        <pic:spPr>
                          <a:xfrm>
                            <a:off x="0" y="0"/>
                            <a:ext cx="5164165" cy="6121312"/>
                          </a:xfrm>
                          <a:prstGeom prst="rect">
                            <a:avLst/>
                          </a:prstGeom>
                          <a:ln>
                            <a:noFill/>
                          </a:ln>
                        </pic:spPr>
                      </pic:pic>
                    </a:graphicData>
                  </a:graphic>
                </wp:inline>
              </w:drawing>
            </w:r>
          </w:p>
          <w:p w14:paraId="118B0711">
            <w:pPr>
              <w:pStyle w:val="12"/>
              <w:spacing w:before="120" w:beforeLines="50" w:after="120" w:afterLines="50"/>
              <w:ind w:left="0" w:leftChars="0" w:firstLine="0" w:firstLineChars="0"/>
              <w:jc w:val="center"/>
              <w:rPr>
                <w:b/>
              </w:rPr>
            </w:pPr>
            <w:r>
              <w:rPr>
                <w:rFonts w:hint="eastAsia"/>
                <w:b/>
              </w:rPr>
              <w:t>图3-1 2024年惠州市生态环境状况公报截图</w:t>
            </w:r>
          </w:p>
          <w:p w14:paraId="6155AF79">
            <w:pPr>
              <w:tabs>
                <w:tab w:val="left" w:pos="1081"/>
              </w:tabs>
              <w:spacing w:line="360" w:lineRule="auto"/>
              <w:ind w:firstLine="480" w:firstLineChars="200"/>
              <w:rPr>
                <w:rFonts w:cs="宋体"/>
                <w:sz w:val="24"/>
              </w:rPr>
            </w:pPr>
            <w:r>
              <w:rPr>
                <w:rFonts w:hint="eastAsia" w:cs="宋体"/>
                <w:sz w:val="24"/>
              </w:rPr>
              <w:t>2024年，各县区环境空气质量总体优良。六项污染物年评价浓度均达标，综合指数1.88（龙门县）～2.57（惠阳区），AQI达标率96.2%（惠阳区）～100%（龙门县），超标污染物均为臭氧。与2023年相比，各县区空气质量综合指数均有所改善，改善幅度为0.8%~8.7%。</w:t>
            </w:r>
          </w:p>
          <w:p w14:paraId="4E463450">
            <w:pPr>
              <w:tabs>
                <w:tab w:val="left" w:pos="1081"/>
              </w:tabs>
              <w:spacing w:line="360" w:lineRule="auto"/>
              <w:ind w:firstLine="480" w:firstLineChars="200"/>
              <w:rPr>
                <w:sz w:val="24"/>
              </w:rPr>
            </w:pPr>
            <w:r>
              <w:rPr>
                <w:sz w:val="24"/>
              </w:rPr>
              <w:t>综上所述，项目所在地</w:t>
            </w:r>
            <w:r>
              <w:rPr>
                <w:rFonts w:hint="eastAsia"/>
                <w:sz w:val="24"/>
              </w:rPr>
              <w:t>空气</w:t>
            </w:r>
            <w:r>
              <w:rPr>
                <w:sz w:val="24"/>
              </w:rPr>
              <w:t>环境质量各</w:t>
            </w:r>
            <w:r>
              <w:rPr>
                <w:rFonts w:hint="eastAsia"/>
                <w:sz w:val="24"/>
              </w:rPr>
              <w:t>常规污染</w:t>
            </w:r>
            <w:r>
              <w:rPr>
                <w:sz w:val="24"/>
              </w:rPr>
              <w:t>因子可达到《环境空气质量标准》（GB3095-2012）及2018年修改单中的二级标准浓度限值，项目所在区域</w:t>
            </w:r>
            <w:r>
              <w:rPr>
                <w:rFonts w:hint="eastAsia"/>
                <w:sz w:val="24"/>
              </w:rPr>
              <w:t>属于空气</w:t>
            </w:r>
            <w:r>
              <w:rPr>
                <w:sz w:val="24"/>
              </w:rPr>
              <w:t>环境质量</w:t>
            </w:r>
            <w:r>
              <w:rPr>
                <w:rFonts w:hint="eastAsia"/>
                <w:sz w:val="24"/>
              </w:rPr>
              <w:t>达标区域。</w:t>
            </w:r>
          </w:p>
          <w:p w14:paraId="7651C3AA">
            <w:pPr>
              <w:tabs>
                <w:tab w:val="left" w:pos="1081"/>
              </w:tabs>
              <w:spacing w:line="360" w:lineRule="auto"/>
              <w:ind w:firstLine="482" w:firstLineChars="200"/>
              <w:rPr>
                <w:b/>
                <w:bCs/>
                <w:sz w:val="24"/>
              </w:rPr>
            </w:pPr>
            <w:r>
              <w:rPr>
                <w:b/>
                <w:bCs/>
                <w:sz w:val="24"/>
              </w:rPr>
              <w:t>（2）</w:t>
            </w:r>
            <w:r>
              <w:rPr>
                <w:rFonts w:hint="eastAsia"/>
                <w:b/>
                <w:bCs/>
                <w:sz w:val="24"/>
              </w:rPr>
              <w:t>特征污染因子</w:t>
            </w:r>
          </w:p>
          <w:p w14:paraId="794E3BDC">
            <w:pPr>
              <w:tabs>
                <w:tab w:val="left" w:pos="1081"/>
              </w:tabs>
              <w:spacing w:line="360" w:lineRule="auto"/>
              <w:ind w:firstLine="480" w:firstLineChars="200"/>
              <w:rPr>
                <w:sz w:val="24"/>
              </w:rPr>
            </w:pPr>
            <w:r>
              <w:rPr>
                <w:sz w:val="24"/>
              </w:rPr>
              <w:t>本项目排放的大气污染物主要为</w:t>
            </w:r>
            <w:r>
              <w:rPr>
                <w:rFonts w:hint="eastAsia"/>
                <w:sz w:val="24"/>
              </w:rPr>
              <w:t>非甲烷总烃、硫化氢、氨和臭气浓度，</w:t>
            </w:r>
            <w:r>
              <w:rPr>
                <w:sz w:val="24"/>
              </w:rPr>
              <w:t>为了解本项目所在区域</w:t>
            </w:r>
            <w:r>
              <w:rPr>
                <w:rFonts w:hint="eastAsia"/>
                <w:sz w:val="24"/>
              </w:rPr>
              <w:t>空气环境</w:t>
            </w:r>
            <w:r>
              <w:rPr>
                <w:sz w:val="24"/>
              </w:rPr>
              <w:t>质量，本项目</w:t>
            </w:r>
            <w:r>
              <w:rPr>
                <w:rFonts w:hint="eastAsia"/>
                <w:sz w:val="24"/>
              </w:rPr>
              <w:t>委托广东君正检测技术有限公司于2025年8月29日~8月31日对项目所在地的空气环境质量现状监测数据（报告编号：</w:t>
            </w:r>
            <w:r>
              <w:rPr>
                <w:sz w:val="24"/>
              </w:rPr>
              <w:t>JZ2508058</w:t>
            </w:r>
            <w:r>
              <w:rPr>
                <w:rFonts w:hint="eastAsia"/>
                <w:sz w:val="24"/>
              </w:rPr>
              <w:t>，见附件</w:t>
            </w:r>
            <w:r>
              <w:rPr>
                <w:rFonts w:hint="eastAsia"/>
                <w:sz w:val="24"/>
                <w:lang w:val="en-US" w:eastAsia="zh-CN"/>
              </w:rPr>
              <w:t>12</w:t>
            </w:r>
            <w:r>
              <w:rPr>
                <w:rFonts w:hint="eastAsia"/>
                <w:sz w:val="24"/>
              </w:rPr>
              <w:t>）。监测点位置图见附图16，监测数据见表3-1。</w:t>
            </w:r>
          </w:p>
          <w:p w14:paraId="6212E1B4">
            <w:pPr>
              <w:pStyle w:val="12"/>
              <w:spacing w:line="360" w:lineRule="auto"/>
              <w:ind w:left="0" w:leftChars="0" w:firstLine="0" w:firstLineChars="0"/>
              <w:jc w:val="center"/>
              <w:rPr>
                <w:b/>
              </w:rPr>
            </w:pPr>
            <w:r>
              <w:rPr>
                <w:b/>
              </w:rPr>
              <w:t>表</w:t>
            </w:r>
            <w:r>
              <w:rPr>
                <w:rFonts w:hint="eastAsia"/>
                <w:b/>
              </w:rPr>
              <w:t>3-1 特征污染因子空气环境质量</w:t>
            </w:r>
            <w:r>
              <w:rPr>
                <w:b/>
              </w:rPr>
              <w:t>监测</w:t>
            </w:r>
            <w:r>
              <w:rPr>
                <w:rFonts w:hint="eastAsia"/>
                <w:b/>
              </w:rPr>
              <w:t>数据</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1163"/>
              <w:gridCol w:w="1164"/>
              <w:gridCol w:w="1298"/>
              <w:gridCol w:w="1416"/>
              <w:gridCol w:w="1298"/>
              <w:gridCol w:w="831"/>
              <w:gridCol w:w="702"/>
            </w:tblGrid>
            <w:tr w14:paraId="03CAB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1" w:type="pct"/>
                  <w:vAlign w:val="center"/>
                </w:tcPr>
                <w:p w14:paraId="0969AE81">
                  <w:pPr>
                    <w:pStyle w:val="47"/>
                    <w:jc w:val="center"/>
                    <w:rPr>
                      <w:sz w:val="21"/>
                    </w:rPr>
                  </w:pPr>
                  <w:r>
                    <w:rPr>
                      <w:sz w:val="21"/>
                    </w:rPr>
                    <w:t>监测点位</w:t>
                  </w:r>
                </w:p>
              </w:tc>
              <w:tc>
                <w:tcPr>
                  <w:tcW w:w="668" w:type="pct"/>
                  <w:vAlign w:val="center"/>
                </w:tcPr>
                <w:p w14:paraId="365844DC">
                  <w:pPr>
                    <w:pStyle w:val="47"/>
                    <w:jc w:val="center"/>
                    <w:rPr>
                      <w:sz w:val="21"/>
                    </w:rPr>
                  </w:pPr>
                  <w:r>
                    <w:rPr>
                      <w:sz w:val="21"/>
                    </w:rPr>
                    <w:t>污染物</w:t>
                  </w:r>
                </w:p>
              </w:tc>
              <w:tc>
                <w:tcPr>
                  <w:tcW w:w="668" w:type="pct"/>
                  <w:vAlign w:val="center"/>
                </w:tcPr>
                <w:p w14:paraId="73567606">
                  <w:pPr>
                    <w:pStyle w:val="47"/>
                    <w:jc w:val="center"/>
                    <w:rPr>
                      <w:sz w:val="21"/>
                    </w:rPr>
                  </w:pPr>
                  <w:r>
                    <w:rPr>
                      <w:sz w:val="21"/>
                    </w:rPr>
                    <w:t>平均时间</w:t>
                  </w:r>
                </w:p>
              </w:tc>
              <w:tc>
                <w:tcPr>
                  <w:tcW w:w="745" w:type="pct"/>
                  <w:vAlign w:val="center"/>
                </w:tcPr>
                <w:p w14:paraId="56FAB6AB">
                  <w:pPr>
                    <w:pStyle w:val="47"/>
                    <w:jc w:val="center"/>
                    <w:rPr>
                      <w:sz w:val="21"/>
                    </w:rPr>
                  </w:pPr>
                  <w:r>
                    <w:rPr>
                      <w:sz w:val="21"/>
                    </w:rPr>
                    <w:t>评价标准（mg/m³）</w:t>
                  </w:r>
                </w:p>
              </w:tc>
              <w:tc>
                <w:tcPr>
                  <w:tcW w:w="813" w:type="pct"/>
                  <w:vAlign w:val="center"/>
                </w:tcPr>
                <w:p w14:paraId="6B3EACF0">
                  <w:pPr>
                    <w:pStyle w:val="47"/>
                    <w:jc w:val="center"/>
                    <w:rPr>
                      <w:sz w:val="21"/>
                    </w:rPr>
                  </w:pPr>
                  <w:r>
                    <w:rPr>
                      <w:sz w:val="21"/>
                    </w:rPr>
                    <w:t>监测</w:t>
                  </w:r>
                  <w:r>
                    <w:rPr>
                      <w:rFonts w:hint="eastAsia"/>
                      <w:sz w:val="21"/>
                    </w:rPr>
                    <w:t>结果(</w:t>
                  </w:r>
                  <w:r>
                    <w:rPr>
                      <w:sz w:val="21"/>
                    </w:rPr>
                    <w:t>mg/m³</w:t>
                  </w:r>
                  <w:r>
                    <w:rPr>
                      <w:rFonts w:hint="eastAsia"/>
                      <w:sz w:val="21"/>
                    </w:rPr>
                    <w:t>)</w:t>
                  </w:r>
                </w:p>
              </w:tc>
              <w:tc>
                <w:tcPr>
                  <w:tcW w:w="745" w:type="pct"/>
                  <w:vAlign w:val="center"/>
                </w:tcPr>
                <w:p w14:paraId="5E7D65D4">
                  <w:pPr>
                    <w:pStyle w:val="47"/>
                    <w:jc w:val="center"/>
                    <w:rPr>
                      <w:sz w:val="21"/>
                    </w:rPr>
                  </w:pPr>
                  <w:r>
                    <w:rPr>
                      <w:sz w:val="21"/>
                    </w:rPr>
                    <w:t>最大浓度占标率</w:t>
                  </w:r>
                  <w:r>
                    <w:rPr>
                      <w:rFonts w:hint="eastAsia"/>
                      <w:sz w:val="21"/>
                    </w:rPr>
                    <w:t>(</w:t>
                  </w:r>
                  <w:r>
                    <w:rPr>
                      <w:sz w:val="21"/>
                    </w:rPr>
                    <w:t>%</w:t>
                  </w:r>
                  <w:r>
                    <w:rPr>
                      <w:rFonts w:hint="eastAsia"/>
                      <w:sz w:val="21"/>
                    </w:rPr>
                    <w:t>)</w:t>
                  </w:r>
                </w:p>
              </w:tc>
              <w:tc>
                <w:tcPr>
                  <w:tcW w:w="477" w:type="pct"/>
                  <w:vAlign w:val="center"/>
                </w:tcPr>
                <w:p w14:paraId="0BB84C90">
                  <w:pPr>
                    <w:pStyle w:val="47"/>
                    <w:jc w:val="center"/>
                    <w:rPr>
                      <w:sz w:val="21"/>
                    </w:rPr>
                  </w:pPr>
                  <w:r>
                    <w:rPr>
                      <w:sz w:val="21"/>
                    </w:rPr>
                    <w:t>超标率</w:t>
                  </w:r>
                  <w:r>
                    <w:rPr>
                      <w:rFonts w:hint="eastAsia"/>
                      <w:sz w:val="21"/>
                    </w:rPr>
                    <w:t>(</w:t>
                  </w:r>
                  <w:r>
                    <w:rPr>
                      <w:sz w:val="21"/>
                    </w:rPr>
                    <w:t>%</w:t>
                  </w:r>
                  <w:r>
                    <w:rPr>
                      <w:rFonts w:hint="eastAsia"/>
                      <w:sz w:val="21"/>
                    </w:rPr>
                    <w:t>)</w:t>
                  </w:r>
                </w:p>
              </w:tc>
              <w:tc>
                <w:tcPr>
                  <w:tcW w:w="403" w:type="pct"/>
                  <w:vAlign w:val="center"/>
                </w:tcPr>
                <w:p w14:paraId="385DDBEC">
                  <w:pPr>
                    <w:pStyle w:val="47"/>
                    <w:jc w:val="center"/>
                    <w:rPr>
                      <w:sz w:val="21"/>
                    </w:rPr>
                  </w:pPr>
                  <w:r>
                    <w:rPr>
                      <w:sz w:val="21"/>
                    </w:rPr>
                    <w:t>达标情况</w:t>
                  </w:r>
                </w:p>
              </w:tc>
            </w:tr>
            <w:tr w14:paraId="240F7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1" w:type="pct"/>
                  <w:vMerge w:val="restart"/>
                  <w:vAlign w:val="center"/>
                </w:tcPr>
                <w:p w14:paraId="138D19F5">
                  <w:pPr>
                    <w:pStyle w:val="47"/>
                    <w:jc w:val="center"/>
                    <w:rPr>
                      <w:sz w:val="21"/>
                    </w:rPr>
                  </w:pPr>
                  <w:r>
                    <w:rPr>
                      <w:rFonts w:hint="eastAsia"/>
                      <w:sz w:val="21"/>
                    </w:rPr>
                    <w:t>项目所在地</w:t>
                  </w:r>
                </w:p>
              </w:tc>
              <w:tc>
                <w:tcPr>
                  <w:tcW w:w="668" w:type="pct"/>
                  <w:vAlign w:val="center"/>
                </w:tcPr>
                <w:p w14:paraId="27299942">
                  <w:pPr>
                    <w:pStyle w:val="47"/>
                    <w:jc w:val="center"/>
                    <w:rPr>
                      <w:sz w:val="21"/>
                    </w:rPr>
                  </w:pPr>
                  <w:r>
                    <w:rPr>
                      <w:rFonts w:hint="eastAsia"/>
                      <w:sz w:val="21"/>
                    </w:rPr>
                    <w:t>TVOC</w:t>
                  </w:r>
                </w:p>
              </w:tc>
              <w:tc>
                <w:tcPr>
                  <w:tcW w:w="668" w:type="pct"/>
                  <w:vAlign w:val="center"/>
                </w:tcPr>
                <w:p w14:paraId="01E936DF">
                  <w:pPr>
                    <w:pStyle w:val="47"/>
                    <w:jc w:val="center"/>
                    <w:rPr>
                      <w:sz w:val="21"/>
                    </w:rPr>
                  </w:pPr>
                  <w:r>
                    <w:rPr>
                      <w:kern w:val="0"/>
                      <w:sz w:val="21"/>
                    </w:rPr>
                    <w:t>8</w:t>
                  </w:r>
                  <w:r>
                    <w:rPr>
                      <w:rFonts w:hint="eastAsia"/>
                      <w:kern w:val="0"/>
                      <w:sz w:val="21"/>
                    </w:rPr>
                    <w:t>小时均值</w:t>
                  </w:r>
                </w:p>
              </w:tc>
              <w:tc>
                <w:tcPr>
                  <w:tcW w:w="745" w:type="pct"/>
                  <w:vAlign w:val="center"/>
                </w:tcPr>
                <w:p w14:paraId="6AEABDD5">
                  <w:pPr>
                    <w:pStyle w:val="47"/>
                    <w:jc w:val="center"/>
                    <w:rPr>
                      <w:sz w:val="21"/>
                    </w:rPr>
                  </w:pPr>
                  <w:r>
                    <w:rPr>
                      <w:sz w:val="21"/>
                      <w:szCs w:val="21"/>
                    </w:rPr>
                    <w:t>0.6</w:t>
                  </w:r>
                </w:p>
              </w:tc>
              <w:tc>
                <w:tcPr>
                  <w:tcW w:w="813" w:type="pct"/>
                  <w:vAlign w:val="center"/>
                </w:tcPr>
                <w:p w14:paraId="4A8196C2">
                  <w:pPr>
                    <w:pStyle w:val="47"/>
                    <w:jc w:val="center"/>
                    <w:rPr>
                      <w:sz w:val="21"/>
                    </w:rPr>
                  </w:pPr>
                  <w:r>
                    <w:rPr>
                      <w:rFonts w:hint="eastAsia"/>
                      <w:sz w:val="21"/>
                    </w:rPr>
                    <w:t>0.025~0.0415</w:t>
                  </w:r>
                </w:p>
              </w:tc>
              <w:tc>
                <w:tcPr>
                  <w:tcW w:w="745" w:type="pct"/>
                  <w:vAlign w:val="center"/>
                </w:tcPr>
                <w:p w14:paraId="68815D20">
                  <w:pPr>
                    <w:pStyle w:val="47"/>
                    <w:jc w:val="center"/>
                    <w:rPr>
                      <w:sz w:val="21"/>
                    </w:rPr>
                  </w:pPr>
                  <w:r>
                    <w:rPr>
                      <w:rFonts w:hint="eastAsia"/>
                      <w:sz w:val="21"/>
                    </w:rPr>
                    <w:t>6.9</w:t>
                  </w:r>
                </w:p>
              </w:tc>
              <w:tc>
                <w:tcPr>
                  <w:tcW w:w="477" w:type="pct"/>
                  <w:vAlign w:val="center"/>
                </w:tcPr>
                <w:p w14:paraId="45DE8DDC">
                  <w:pPr>
                    <w:pStyle w:val="47"/>
                    <w:jc w:val="center"/>
                    <w:rPr>
                      <w:sz w:val="21"/>
                    </w:rPr>
                  </w:pPr>
                  <w:r>
                    <w:rPr>
                      <w:sz w:val="21"/>
                    </w:rPr>
                    <w:t>0</w:t>
                  </w:r>
                </w:p>
              </w:tc>
              <w:tc>
                <w:tcPr>
                  <w:tcW w:w="403" w:type="pct"/>
                  <w:vAlign w:val="center"/>
                </w:tcPr>
                <w:p w14:paraId="05F506B8">
                  <w:pPr>
                    <w:pStyle w:val="47"/>
                    <w:jc w:val="center"/>
                    <w:rPr>
                      <w:sz w:val="21"/>
                    </w:rPr>
                  </w:pPr>
                  <w:r>
                    <w:rPr>
                      <w:sz w:val="21"/>
                    </w:rPr>
                    <w:t>达标</w:t>
                  </w:r>
                </w:p>
              </w:tc>
            </w:tr>
            <w:tr w14:paraId="61788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1" w:type="pct"/>
                  <w:vMerge w:val="continue"/>
                  <w:vAlign w:val="center"/>
                </w:tcPr>
                <w:p w14:paraId="7FCEA0E1">
                  <w:pPr>
                    <w:pStyle w:val="47"/>
                    <w:jc w:val="center"/>
                    <w:rPr>
                      <w:sz w:val="21"/>
                    </w:rPr>
                  </w:pPr>
                </w:p>
              </w:tc>
              <w:tc>
                <w:tcPr>
                  <w:tcW w:w="668" w:type="pct"/>
                  <w:vAlign w:val="center"/>
                </w:tcPr>
                <w:p w14:paraId="34FEDE76">
                  <w:pPr>
                    <w:pStyle w:val="47"/>
                    <w:jc w:val="center"/>
                    <w:rPr>
                      <w:sz w:val="21"/>
                    </w:rPr>
                  </w:pPr>
                  <w:r>
                    <w:rPr>
                      <w:rFonts w:hint="eastAsia"/>
                      <w:sz w:val="21"/>
                    </w:rPr>
                    <w:t>硫化氢</w:t>
                  </w:r>
                </w:p>
              </w:tc>
              <w:tc>
                <w:tcPr>
                  <w:tcW w:w="668" w:type="pct"/>
                  <w:vAlign w:val="center"/>
                </w:tcPr>
                <w:p w14:paraId="30A91F1F">
                  <w:pPr>
                    <w:pStyle w:val="47"/>
                    <w:jc w:val="center"/>
                    <w:rPr>
                      <w:sz w:val="21"/>
                    </w:rPr>
                  </w:pPr>
                  <w:r>
                    <w:rPr>
                      <w:rFonts w:hint="eastAsia"/>
                      <w:sz w:val="21"/>
                    </w:rPr>
                    <w:t>1</w:t>
                  </w:r>
                  <w:r>
                    <w:rPr>
                      <w:sz w:val="21"/>
                    </w:rPr>
                    <w:t>小时均值</w:t>
                  </w:r>
                </w:p>
              </w:tc>
              <w:tc>
                <w:tcPr>
                  <w:tcW w:w="745" w:type="pct"/>
                  <w:vAlign w:val="center"/>
                </w:tcPr>
                <w:p w14:paraId="631BC253">
                  <w:pPr>
                    <w:pStyle w:val="47"/>
                    <w:jc w:val="center"/>
                    <w:rPr>
                      <w:sz w:val="21"/>
                    </w:rPr>
                  </w:pPr>
                  <w:r>
                    <w:rPr>
                      <w:rFonts w:hint="eastAsia"/>
                      <w:sz w:val="21"/>
                    </w:rPr>
                    <w:t>0.01</w:t>
                  </w:r>
                </w:p>
              </w:tc>
              <w:tc>
                <w:tcPr>
                  <w:tcW w:w="813" w:type="pct"/>
                  <w:vAlign w:val="center"/>
                </w:tcPr>
                <w:p w14:paraId="3AFAD0BB">
                  <w:pPr>
                    <w:pStyle w:val="47"/>
                    <w:jc w:val="center"/>
                    <w:rPr>
                      <w:sz w:val="21"/>
                    </w:rPr>
                  </w:pPr>
                  <w:r>
                    <w:rPr>
                      <w:rFonts w:hint="eastAsia"/>
                      <w:sz w:val="21"/>
                    </w:rPr>
                    <w:t>0.001</w:t>
                  </w:r>
                </w:p>
              </w:tc>
              <w:tc>
                <w:tcPr>
                  <w:tcW w:w="745" w:type="pct"/>
                  <w:vAlign w:val="center"/>
                </w:tcPr>
                <w:p w14:paraId="432662F6">
                  <w:pPr>
                    <w:pStyle w:val="47"/>
                    <w:jc w:val="center"/>
                    <w:rPr>
                      <w:sz w:val="21"/>
                    </w:rPr>
                  </w:pPr>
                  <w:r>
                    <w:rPr>
                      <w:rFonts w:hint="eastAsia"/>
                      <w:sz w:val="21"/>
                    </w:rPr>
                    <w:t>10</w:t>
                  </w:r>
                </w:p>
              </w:tc>
              <w:tc>
                <w:tcPr>
                  <w:tcW w:w="477" w:type="pct"/>
                  <w:vAlign w:val="center"/>
                </w:tcPr>
                <w:p w14:paraId="32AF46B8">
                  <w:pPr>
                    <w:pStyle w:val="47"/>
                    <w:jc w:val="center"/>
                    <w:rPr>
                      <w:sz w:val="21"/>
                    </w:rPr>
                  </w:pPr>
                  <w:r>
                    <w:rPr>
                      <w:sz w:val="21"/>
                    </w:rPr>
                    <w:t>0</w:t>
                  </w:r>
                </w:p>
              </w:tc>
              <w:tc>
                <w:tcPr>
                  <w:tcW w:w="403" w:type="pct"/>
                  <w:vAlign w:val="center"/>
                </w:tcPr>
                <w:p w14:paraId="0938C209">
                  <w:pPr>
                    <w:pStyle w:val="47"/>
                    <w:jc w:val="center"/>
                    <w:rPr>
                      <w:sz w:val="21"/>
                    </w:rPr>
                  </w:pPr>
                  <w:r>
                    <w:rPr>
                      <w:sz w:val="21"/>
                    </w:rPr>
                    <w:t>达标</w:t>
                  </w:r>
                </w:p>
              </w:tc>
            </w:tr>
            <w:tr w14:paraId="6A709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1" w:type="pct"/>
                  <w:vMerge w:val="continue"/>
                  <w:vAlign w:val="center"/>
                </w:tcPr>
                <w:p w14:paraId="5009B3EE">
                  <w:pPr>
                    <w:pStyle w:val="47"/>
                    <w:jc w:val="center"/>
                    <w:rPr>
                      <w:sz w:val="21"/>
                    </w:rPr>
                  </w:pPr>
                </w:p>
              </w:tc>
              <w:tc>
                <w:tcPr>
                  <w:tcW w:w="668" w:type="pct"/>
                  <w:vAlign w:val="center"/>
                </w:tcPr>
                <w:p w14:paraId="1F489DBC">
                  <w:pPr>
                    <w:pStyle w:val="47"/>
                    <w:jc w:val="center"/>
                    <w:rPr>
                      <w:sz w:val="21"/>
                    </w:rPr>
                  </w:pPr>
                  <w:r>
                    <w:rPr>
                      <w:rFonts w:hint="eastAsia"/>
                      <w:sz w:val="21"/>
                    </w:rPr>
                    <w:t>氨</w:t>
                  </w:r>
                </w:p>
              </w:tc>
              <w:tc>
                <w:tcPr>
                  <w:tcW w:w="668" w:type="pct"/>
                  <w:vAlign w:val="center"/>
                </w:tcPr>
                <w:p w14:paraId="3FD7FAD5">
                  <w:pPr>
                    <w:pStyle w:val="47"/>
                    <w:jc w:val="center"/>
                    <w:rPr>
                      <w:sz w:val="21"/>
                    </w:rPr>
                  </w:pPr>
                  <w:r>
                    <w:rPr>
                      <w:rFonts w:hint="eastAsia"/>
                      <w:sz w:val="21"/>
                    </w:rPr>
                    <w:t>1</w:t>
                  </w:r>
                  <w:r>
                    <w:rPr>
                      <w:sz w:val="21"/>
                    </w:rPr>
                    <w:t>小时均值</w:t>
                  </w:r>
                </w:p>
              </w:tc>
              <w:tc>
                <w:tcPr>
                  <w:tcW w:w="745" w:type="pct"/>
                  <w:vAlign w:val="center"/>
                </w:tcPr>
                <w:p w14:paraId="5BBE866F">
                  <w:pPr>
                    <w:pStyle w:val="47"/>
                    <w:jc w:val="center"/>
                    <w:rPr>
                      <w:sz w:val="21"/>
                    </w:rPr>
                  </w:pPr>
                  <w:r>
                    <w:rPr>
                      <w:rFonts w:hint="eastAsia"/>
                      <w:sz w:val="21"/>
                    </w:rPr>
                    <w:t>0.2</w:t>
                  </w:r>
                </w:p>
              </w:tc>
              <w:tc>
                <w:tcPr>
                  <w:tcW w:w="813" w:type="pct"/>
                  <w:vAlign w:val="center"/>
                </w:tcPr>
                <w:p w14:paraId="37382DFC">
                  <w:pPr>
                    <w:pStyle w:val="47"/>
                    <w:jc w:val="center"/>
                    <w:rPr>
                      <w:sz w:val="21"/>
                    </w:rPr>
                  </w:pPr>
                  <w:r>
                    <w:rPr>
                      <w:rFonts w:hint="eastAsia"/>
                      <w:sz w:val="21"/>
                    </w:rPr>
                    <w:t>0.005~0.047</w:t>
                  </w:r>
                </w:p>
              </w:tc>
              <w:tc>
                <w:tcPr>
                  <w:tcW w:w="745" w:type="pct"/>
                  <w:vAlign w:val="center"/>
                </w:tcPr>
                <w:p w14:paraId="0148F857">
                  <w:pPr>
                    <w:pStyle w:val="47"/>
                    <w:jc w:val="center"/>
                    <w:rPr>
                      <w:sz w:val="21"/>
                    </w:rPr>
                  </w:pPr>
                  <w:r>
                    <w:rPr>
                      <w:rFonts w:hint="eastAsia"/>
                      <w:sz w:val="21"/>
                    </w:rPr>
                    <w:t>2.5</w:t>
                  </w:r>
                </w:p>
              </w:tc>
              <w:tc>
                <w:tcPr>
                  <w:tcW w:w="477" w:type="pct"/>
                  <w:vAlign w:val="center"/>
                </w:tcPr>
                <w:p w14:paraId="676BC246">
                  <w:pPr>
                    <w:pStyle w:val="47"/>
                    <w:jc w:val="center"/>
                    <w:rPr>
                      <w:sz w:val="21"/>
                    </w:rPr>
                  </w:pPr>
                  <w:r>
                    <w:rPr>
                      <w:sz w:val="21"/>
                    </w:rPr>
                    <w:t>0</w:t>
                  </w:r>
                </w:p>
              </w:tc>
              <w:tc>
                <w:tcPr>
                  <w:tcW w:w="403" w:type="pct"/>
                  <w:vAlign w:val="center"/>
                </w:tcPr>
                <w:p w14:paraId="2C08D8C4">
                  <w:pPr>
                    <w:pStyle w:val="47"/>
                    <w:jc w:val="center"/>
                    <w:rPr>
                      <w:sz w:val="21"/>
                    </w:rPr>
                  </w:pPr>
                  <w:r>
                    <w:rPr>
                      <w:sz w:val="21"/>
                    </w:rPr>
                    <w:t>达标</w:t>
                  </w:r>
                </w:p>
              </w:tc>
            </w:tr>
            <w:tr w14:paraId="78174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81" w:type="pct"/>
                  <w:vMerge w:val="continue"/>
                  <w:vAlign w:val="center"/>
                </w:tcPr>
                <w:p w14:paraId="676572EB">
                  <w:pPr>
                    <w:pStyle w:val="47"/>
                    <w:jc w:val="center"/>
                    <w:rPr>
                      <w:sz w:val="21"/>
                    </w:rPr>
                  </w:pPr>
                </w:p>
              </w:tc>
              <w:tc>
                <w:tcPr>
                  <w:tcW w:w="668" w:type="pct"/>
                  <w:vAlign w:val="center"/>
                </w:tcPr>
                <w:p w14:paraId="39F686F9">
                  <w:pPr>
                    <w:pStyle w:val="47"/>
                    <w:jc w:val="center"/>
                    <w:rPr>
                      <w:sz w:val="21"/>
                    </w:rPr>
                  </w:pPr>
                  <w:r>
                    <w:rPr>
                      <w:rFonts w:hint="eastAsia"/>
                      <w:sz w:val="21"/>
                    </w:rPr>
                    <w:t>臭气浓度</w:t>
                  </w:r>
                </w:p>
              </w:tc>
              <w:tc>
                <w:tcPr>
                  <w:tcW w:w="668" w:type="pct"/>
                  <w:vAlign w:val="center"/>
                </w:tcPr>
                <w:p w14:paraId="41A4E3FC">
                  <w:pPr>
                    <w:pStyle w:val="47"/>
                    <w:jc w:val="center"/>
                    <w:rPr>
                      <w:sz w:val="21"/>
                    </w:rPr>
                  </w:pPr>
                  <w:r>
                    <w:rPr>
                      <w:rFonts w:hint="eastAsia"/>
                      <w:kern w:val="0"/>
                      <w:sz w:val="21"/>
                    </w:rPr>
                    <w:t>一次值</w:t>
                  </w:r>
                </w:p>
              </w:tc>
              <w:tc>
                <w:tcPr>
                  <w:tcW w:w="745" w:type="pct"/>
                  <w:vAlign w:val="center"/>
                </w:tcPr>
                <w:p w14:paraId="6DCB191B">
                  <w:pPr>
                    <w:pStyle w:val="47"/>
                    <w:jc w:val="center"/>
                    <w:rPr>
                      <w:sz w:val="21"/>
                    </w:rPr>
                  </w:pPr>
                  <w:r>
                    <w:rPr>
                      <w:rFonts w:hint="eastAsia"/>
                      <w:sz w:val="21"/>
                    </w:rPr>
                    <w:t>20(无量纲)</w:t>
                  </w:r>
                </w:p>
              </w:tc>
              <w:tc>
                <w:tcPr>
                  <w:tcW w:w="813" w:type="pct"/>
                  <w:vAlign w:val="center"/>
                </w:tcPr>
                <w:p w14:paraId="238F037E">
                  <w:pPr>
                    <w:pStyle w:val="47"/>
                    <w:jc w:val="center"/>
                    <w:rPr>
                      <w:sz w:val="21"/>
                    </w:rPr>
                  </w:pPr>
                  <w:r>
                    <w:rPr>
                      <w:rFonts w:hint="eastAsia"/>
                      <w:sz w:val="21"/>
                    </w:rPr>
                    <w:t>＜10</w:t>
                  </w:r>
                </w:p>
              </w:tc>
              <w:tc>
                <w:tcPr>
                  <w:tcW w:w="745" w:type="pct"/>
                  <w:vAlign w:val="center"/>
                </w:tcPr>
                <w:p w14:paraId="4085B4CB">
                  <w:pPr>
                    <w:pStyle w:val="47"/>
                    <w:jc w:val="center"/>
                    <w:rPr>
                      <w:sz w:val="21"/>
                    </w:rPr>
                  </w:pPr>
                  <w:r>
                    <w:rPr>
                      <w:rFonts w:hint="eastAsia"/>
                      <w:sz w:val="21"/>
                    </w:rPr>
                    <w:t>/</w:t>
                  </w:r>
                </w:p>
              </w:tc>
              <w:tc>
                <w:tcPr>
                  <w:tcW w:w="477" w:type="pct"/>
                  <w:vAlign w:val="center"/>
                </w:tcPr>
                <w:p w14:paraId="6475962D">
                  <w:pPr>
                    <w:pStyle w:val="47"/>
                    <w:jc w:val="center"/>
                    <w:rPr>
                      <w:sz w:val="21"/>
                    </w:rPr>
                  </w:pPr>
                  <w:r>
                    <w:rPr>
                      <w:sz w:val="21"/>
                    </w:rPr>
                    <w:t>0</w:t>
                  </w:r>
                </w:p>
              </w:tc>
              <w:tc>
                <w:tcPr>
                  <w:tcW w:w="403" w:type="pct"/>
                  <w:vAlign w:val="center"/>
                </w:tcPr>
                <w:p w14:paraId="0E0F32AA">
                  <w:pPr>
                    <w:pStyle w:val="47"/>
                    <w:jc w:val="center"/>
                    <w:rPr>
                      <w:sz w:val="21"/>
                    </w:rPr>
                  </w:pPr>
                  <w:r>
                    <w:rPr>
                      <w:sz w:val="21"/>
                    </w:rPr>
                    <w:t>达标</w:t>
                  </w:r>
                </w:p>
              </w:tc>
            </w:tr>
          </w:tbl>
          <w:p w14:paraId="1866782C">
            <w:pPr>
              <w:tabs>
                <w:tab w:val="left" w:pos="1081"/>
              </w:tabs>
              <w:spacing w:before="120" w:beforeLines="50" w:line="360" w:lineRule="auto"/>
              <w:ind w:firstLine="480" w:firstLineChars="200"/>
              <w:rPr>
                <w:rFonts w:cs="宋体"/>
                <w:sz w:val="24"/>
              </w:rPr>
            </w:pPr>
            <w:r>
              <w:rPr>
                <w:rFonts w:hint="eastAsia" w:cs="宋体"/>
                <w:sz w:val="24"/>
              </w:rPr>
              <w:t>由监测结果可知，项目所在地空气环境中TVOC、硫化氢、氨满足《环境影响评价技术导则</w:t>
            </w:r>
            <w:r>
              <w:rPr>
                <w:rFonts w:cs="宋体"/>
                <w:sz w:val="24"/>
              </w:rPr>
              <w:t xml:space="preserve"> </w:t>
            </w:r>
            <w:r>
              <w:rPr>
                <w:rFonts w:hint="eastAsia" w:cs="宋体"/>
                <w:sz w:val="24"/>
              </w:rPr>
              <w:t>大气环境》（</w:t>
            </w:r>
            <w:r>
              <w:rPr>
                <w:rFonts w:cs="宋体"/>
                <w:sz w:val="24"/>
              </w:rPr>
              <w:t>HJ2.2-2018</w:t>
            </w:r>
            <w:r>
              <w:rPr>
                <w:rFonts w:hint="eastAsia" w:cs="宋体"/>
                <w:sz w:val="24"/>
              </w:rPr>
              <w:t>）附录</w:t>
            </w:r>
            <w:r>
              <w:rPr>
                <w:rFonts w:cs="宋体"/>
                <w:sz w:val="24"/>
              </w:rPr>
              <w:t>D</w:t>
            </w:r>
            <w:r>
              <w:rPr>
                <w:rFonts w:hint="eastAsia" w:cs="宋体"/>
                <w:sz w:val="24"/>
              </w:rPr>
              <w:t>其它污染物空气质量浓度参考限值的要求</w:t>
            </w:r>
            <w:r>
              <w:rPr>
                <w:rFonts w:hint="eastAsia"/>
                <w:sz w:val="24"/>
              </w:rPr>
              <w:t>；</w:t>
            </w:r>
            <w:r>
              <w:rPr>
                <w:rFonts w:hint="eastAsia" w:cs="宋体"/>
                <w:sz w:val="24"/>
              </w:rPr>
              <w:t>臭气浓度满足《恶臭污染物排放标准》（</w:t>
            </w:r>
            <w:r>
              <w:rPr>
                <w:rFonts w:cs="宋体"/>
                <w:sz w:val="24"/>
              </w:rPr>
              <w:t>GB14554-93</w:t>
            </w:r>
            <w:r>
              <w:rPr>
                <w:rFonts w:hint="eastAsia" w:cs="宋体"/>
                <w:sz w:val="24"/>
              </w:rPr>
              <w:t>）恶臭污染物厂界标准值新改扩建二级标准要求。</w:t>
            </w:r>
          </w:p>
          <w:p w14:paraId="2E1CF0CC">
            <w:pPr>
              <w:spacing w:line="360" w:lineRule="auto"/>
              <w:ind w:firstLine="482" w:firstLineChars="200"/>
              <w:rPr>
                <w:b/>
                <w:bCs/>
                <w:sz w:val="24"/>
              </w:rPr>
            </w:pPr>
            <w:r>
              <w:rPr>
                <w:b/>
                <w:bCs/>
                <w:sz w:val="24"/>
              </w:rPr>
              <w:t>2、地表水环境</w:t>
            </w:r>
          </w:p>
          <w:p w14:paraId="6C2A4BA5">
            <w:pPr>
              <w:spacing w:line="360" w:lineRule="auto"/>
              <w:ind w:firstLine="480" w:firstLineChars="200"/>
              <w:rPr>
                <w:bCs/>
                <w:sz w:val="24"/>
              </w:rPr>
            </w:pPr>
            <w:r>
              <w:rPr>
                <w:rFonts w:hint="eastAsia"/>
                <w:bCs/>
                <w:sz w:val="24"/>
              </w:rPr>
              <w:t>本</w:t>
            </w:r>
            <w:r>
              <w:rPr>
                <w:bCs/>
                <w:sz w:val="24"/>
              </w:rPr>
              <w:t>项目</w:t>
            </w:r>
            <w:r>
              <w:rPr>
                <w:rFonts w:hint="eastAsia"/>
                <w:bCs/>
                <w:sz w:val="24"/>
              </w:rPr>
              <w:t>无生产</w:t>
            </w:r>
            <w:r>
              <w:rPr>
                <w:bCs/>
                <w:sz w:val="24"/>
              </w:rPr>
              <w:t>废水</w:t>
            </w:r>
            <w:r>
              <w:rPr>
                <w:rFonts w:hint="eastAsia"/>
                <w:bCs/>
                <w:sz w:val="24"/>
              </w:rPr>
              <w:t>外排。冷凝系统冷凝水、锅炉排污水和软化浓水均回用于现有项目蒸炒，</w:t>
            </w:r>
            <w:r>
              <w:rPr>
                <w:bCs/>
                <w:sz w:val="24"/>
              </w:rPr>
              <w:t>生活污水</w:t>
            </w:r>
            <w:r>
              <w:rPr>
                <w:rFonts w:hint="eastAsia"/>
                <w:bCs/>
                <w:sz w:val="24"/>
              </w:rPr>
              <w:t>依托厂区现有“微生物处理</w:t>
            </w:r>
            <w:r>
              <w:rPr>
                <w:bCs/>
                <w:sz w:val="24"/>
              </w:rPr>
              <w:t>+</w:t>
            </w:r>
            <w:r>
              <w:rPr>
                <w:rFonts w:hint="eastAsia"/>
                <w:bCs/>
                <w:sz w:val="24"/>
              </w:rPr>
              <w:t>人工湿地”系统处理达标后，用于山林灌溉</w:t>
            </w:r>
            <w:r>
              <w:rPr>
                <w:bCs/>
                <w:sz w:val="24"/>
              </w:rPr>
              <w:t>。</w:t>
            </w:r>
          </w:p>
          <w:p w14:paraId="7A6D76A4">
            <w:pPr>
              <w:spacing w:line="360" w:lineRule="auto"/>
              <w:ind w:firstLine="480" w:firstLineChars="200"/>
              <w:rPr>
                <w:bCs/>
                <w:sz w:val="24"/>
              </w:rPr>
            </w:pPr>
            <w:r>
              <w:rPr>
                <w:rFonts w:hint="eastAsia"/>
                <w:bCs/>
                <w:sz w:val="24"/>
              </w:rPr>
              <w:t>本项目周边水体为西北面约1公里的</w:t>
            </w:r>
            <w:r>
              <w:rPr>
                <w:rFonts w:hint="eastAsia"/>
                <w:sz w:val="24"/>
              </w:rPr>
              <w:t>沙河支流陈村河、西面约1.9公里的沙河。</w:t>
            </w:r>
            <w:r>
              <w:rPr>
                <w:sz w:val="24"/>
              </w:rPr>
              <w:t>根据《广东省地表水环境功能区划》，</w:t>
            </w:r>
            <w:r>
              <w:rPr>
                <w:rFonts w:hint="eastAsia"/>
                <w:sz w:val="24"/>
              </w:rPr>
              <w:t>沙河自显岗水库到博罗石湾的水质保护目标为Ⅲ</w:t>
            </w:r>
            <w:r>
              <w:rPr>
                <w:sz w:val="24"/>
              </w:rPr>
              <w:t>类</w:t>
            </w:r>
            <w:r>
              <w:rPr>
                <w:rFonts w:hint="eastAsia"/>
                <w:sz w:val="24"/>
              </w:rPr>
              <w:t>水</w:t>
            </w:r>
            <w:r>
              <w:rPr>
                <w:sz w:val="24"/>
              </w:rPr>
              <w:t>，执行《地表水环境质量标准》（GB3838-2002）中的</w:t>
            </w:r>
            <w:r>
              <w:rPr>
                <w:rFonts w:hint="eastAsia"/>
                <w:sz w:val="24"/>
              </w:rPr>
              <w:t>Ⅲ</w:t>
            </w:r>
            <w:r>
              <w:rPr>
                <w:sz w:val="24"/>
              </w:rPr>
              <w:t>类标准；</w:t>
            </w:r>
            <w:r>
              <w:rPr>
                <w:rFonts w:hint="eastAsia"/>
                <w:sz w:val="24"/>
              </w:rPr>
              <w:t>陈村河</w:t>
            </w:r>
            <w:r>
              <w:rPr>
                <w:sz w:val="24"/>
              </w:rPr>
              <w:t>属小型河流，在《广东省地表水环境功能区划》中没有划定功能区，</w:t>
            </w:r>
            <w:r>
              <w:rPr>
                <w:bCs/>
                <w:sz w:val="24"/>
              </w:rPr>
              <w:t>根据《惠州市2023年水污染防治攻坚工作方案》（惠市环〔2023〕17号），</w:t>
            </w:r>
            <w:r>
              <w:rPr>
                <w:rFonts w:hint="eastAsia"/>
                <w:bCs/>
                <w:sz w:val="24"/>
              </w:rPr>
              <w:t>陈村河</w:t>
            </w:r>
            <w:r>
              <w:rPr>
                <w:bCs/>
                <w:sz w:val="24"/>
              </w:rPr>
              <w:t>水质目标为《地表水环境质量标准》（GB3838-2002）Ⅴ类标准。</w:t>
            </w:r>
          </w:p>
          <w:p w14:paraId="02DBAF21">
            <w:pPr>
              <w:spacing w:line="360" w:lineRule="auto"/>
              <w:ind w:firstLine="480" w:firstLineChars="200"/>
              <w:rPr>
                <w:bCs/>
                <w:sz w:val="24"/>
              </w:rPr>
            </w:pPr>
            <w:r>
              <w:rPr>
                <w:rFonts w:hint="eastAsia" w:cs="宋体"/>
                <w:sz w:val="24"/>
              </w:rPr>
              <w:t>根据惠州市生态环境局公开的《2024年惠州市生态环境状况公报》，2024年，全市9条主要河流（段）中，东江干流（惠州段）、西枝江、增江干流（惠州段）、沙河、公庄河、吉隆河等6条河流水质优，占66.7%；淡水河和淡澳河2条河流水质良好，占22.2%；潼湖水水质轻度污染，占11.1%。与2023年相比，主要河流（段）水质保持稳定。</w:t>
            </w:r>
          </w:p>
          <w:p w14:paraId="031CDA12">
            <w:pPr>
              <w:spacing w:line="360" w:lineRule="auto"/>
              <w:ind w:firstLine="482" w:firstLineChars="200"/>
              <w:rPr>
                <w:b/>
                <w:sz w:val="24"/>
              </w:rPr>
            </w:pPr>
            <w:r>
              <w:rPr>
                <w:b/>
                <w:sz w:val="24"/>
              </w:rPr>
              <w:t>3、声环境</w:t>
            </w:r>
          </w:p>
          <w:p w14:paraId="5A308588">
            <w:pPr>
              <w:snapToGrid w:val="0"/>
              <w:spacing w:line="360" w:lineRule="auto"/>
              <w:ind w:firstLine="480" w:firstLineChars="200"/>
              <w:textAlignment w:val="baseline"/>
              <w:rPr>
                <w:sz w:val="24"/>
              </w:rPr>
            </w:pPr>
            <w:r>
              <w:rPr>
                <w:rFonts w:hint="eastAsia"/>
                <w:sz w:val="24"/>
              </w:rPr>
              <w:t>根据《惠州市生态环境局关于印发&lt;惠州市声环境功能区划分方案（2022年）&gt;的通知》（惠市环〔2022〕33号），本项目所在地位于划分范围以外。根据现有项目环评及批复，项目所在地声环境执行《声环境质量标准》（GB3096-2008）中的2类标准。</w:t>
            </w:r>
          </w:p>
          <w:p w14:paraId="427694A0">
            <w:pPr>
              <w:tabs>
                <w:tab w:val="left" w:pos="1081"/>
              </w:tabs>
              <w:spacing w:line="360" w:lineRule="auto"/>
              <w:ind w:firstLine="480" w:firstLineChars="200"/>
              <w:rPr>
                <w:rFonts w:cs="宋体"/>
                <w:sz w:val="24"/>
                <w:szCs w:val="24"/>
                <w:lang w:bidi="ar"/>
              </w:rPr>
            </w:pPr>
            <w:r>
              <w:rPr>
                <w:rFonts w:hint="eastAsia" w:cs="宋体"/>
                <w:sz w:val="24"/>
                <w:szCs w:val="24"/>
                <w:lang w:bidi="ar"/>
              </w:rPr>
              <w:t>本项目及全厂</w:t>
            </w:r>
            <w:r>
              <w:rPr>
                <w:rFonts w:cs="宋体"/>
                <w:sz w:val="24"/>
                <w:szCs w:val="24"/>
                <w:lang w:bidi="ar"/>
              </w:rPr>
              <w:t>厂界外</w:t>
            </w:r>
            <w:r>
              <w:rPr>
                <w:rFonts w:hint="eastAsia" w:cs="宋体"/>
                <w:sz w:val="24"/>
                <w:szCs w:val="24"/>
                <w:lang w:bidi="ar"/>
              </w:rPr>
              <w:t>周边</w:t>
            </w:r>
            <w:r>
              <w:rPr>
                <w:rFonts w:cs="宋体"/>
                <w:sz w:val="24"/>
                <w:szCs w:val="24"/>
                <w:lang w:bidi="ar"/>
              </w:rPr>
              <w:t>50m范围内不存在声环境保护目标，</w:t>
            </w:r>
            <w:r>
              <w:rPr>
                <w:rFonts w:hint="eastAsia" w:cs="宋体"/>
                <w:sz w:val="24"/>
                <w:szCs w:val="24"/>
                <w:lang w:bidi="ar"/>
              </w:rPr>
              <w:t>因此</w:t>
            </w:r>
            <w:r>
              <w:rPr>
                <w:rFonts w:cs="宋体"/>
                <w:sz w:val="24"/>
                <w:szCs w:val="24"/>
                <w:lang w:bidi="ar"/>
              </w:rPr>
              <w:t>不进行声环境质量现状监测</w:t>
            </w:r>
            <w:r>
              <w:rPr>
                <w:rFonts w:hint="eastAsia" w:cs="宋体"/>
                <w:sz w:val="24"/>
                <w:szCs w:val="24"/>
                <w:lang w:bidi="ar"/>
              </w:rPr>
              <w:t>与评价</w:t>
            </w:r>
            <w:r>
              <w:rPr>
                <w:rFonts w:cs="宋体"/>
                <w:sz w:val="24"/>
                <w:szCs w:val="24"/>
                <w:lang w:bidi="ar"/>
              </w:rPr>
              <w:t>。</w:t>
            </w:r>
          </w:p>
          <w:p w14:paraId="54E8EAEC">
            <w:pPr>
              <w:tabs>
                <w:tab w:val="left" w:pos="1081"/>
              </w:tabs>
              <w:spacing w:line="360" w:lineRule="auto"/>
              <w:ind w:firstLine="482" w:firstLineChars="200"/>
              <w:rPr>
                <w:b/>
                <w:sz w:val="24"/>
              </w:rPr>
            </w:pPr>
            <w:r>
              <w:rPr>
                <w:b/>
                <w:sz w:val="24"/>
              </w:rPr>
              <w:t>4、生态环境</w:t>
            </w:r>
          </w:p>
          <w:p w14:paraId="4BBA6C45">
            <w:pPr>
              <w:tabs>
                <w:tab w:val="left" w:pos="1081"/>
              </w:tabs>
              <w:spacing w:line="360" w:lineRule="auto"/>
              <w:ind w:firstLine="480" w:firstLineChars="200"/>
              <w:rPr>
                <w:kern w:val="0"/>
                <w:sz w:val="24"/>
                <w:szCs w:val="24"/>
              </w:rPr>
            </w:pPr>
            <w:r>
              <w:rPr>
                <w:rFonts w:hint="eastAsia"/>
                <w:kern w:val="0"/>
                <w:sz w:val="24"/>
                <w:szCs w:val="24"/>
              </w:rPr>
              <w:t>改扩建项目新增用地面积约</w:t>
            </w:r>
            <w:r>
              <w:rPr>
                <w:rFonts w:hint="eastAsia"/>
                <w:sz w:val="24"/>
              </w:rPr>
              <w:t>2243</w:t>
            </w:r>
            <w:r>
              <w:rPr>
                <w:rFonts w:cs="宋体"/>
                <w:sz w:val="24"/>
                <w:szCs w:val="24"/>
                <w:lang w:bidi="ar"/>
              </w:rPr>
              <w:t>m</w:t>
            </w:r>
            <w:r>
              <w:rPr>
                <w:rFonts w:hint="eastAsia" w:cs="宋体"/>
                <w:sz w:val="24"/>
                <w:szCs w:val="24"/>
                <w:vertAlign w:val="superscript"/>
                <w:lang w:bidi="ar"/>
              </w:rPr>
              <w:t>2</w:t>
            </w:r>
            <w:r>
              <w:rPr>
                <w:rFonts w:hint="eastAsia"/>
                <w:sz w:val="24"/>
              </w:rPr>
              <w:t>，根据现场勘查，新增用地范围内大部分已水泥混凝土硬底化，用地范围内及项目周边没有生态环境保护目标。</w:t>
            </w:r>
          </w:p>
          <w:p w14:paraId="06892FF3">
            <w:pPr>
              <w:tabs>
                <w:tab w:val="left" w:pos="1081"/>
              </w:tabs>
              <w:spacing w:line="360" w:lineRule="auto"/>
              <w:ind w:firstLine="480" w:firstLineChars="200"/>
              <w:rPr>
                <w:kern w:val="0"/>
                <w:sz w:val="24"/>
                <w:szCs w:val="24"/>
              </w:rPr>
            </w:pPr>
            <w:r>
              <w:rPr>
                <w:kern w:val="0"/>
                <w:sz w:val="24"/>
                <w:szCs w:val="24"/>
              </w:rPr>
              <w:t>根据现状调查，项目租赁现有厂房，无需新建建筑，项目用地范围内且项目所在区域周边附近</w:t>
            </w:r>
            <w:r>
              <w:rPr>
                <w:rFonts w:hint="eastAsia"/>
                <w:kern w:val="0"/>
                <w:sz w:val="24"/>
                <w:szCs w:val="24"/>
              </w:rPr>
              <w:t>均不涉及生态环境保护目标</w:t>
            </w:r>
            <w:r>
              <w:rPr>
                <w:kern w:val="0"/>
                <w:sz w:val="24"/>
                <w:szCs w:val="24"/>
              </w:rPr>
              <w:t>。</w:t>
            </w:r>
          </w:p>
          <w:p w14:paraId="5E5081E5">
            <w:pPr>
              <w:tabs>
                <w:tab w:val="left" w:pos="1081"/>
              </w:tabs>
              <w:spacing w:line="360" w:lineRule="auto"/>
              <w:ind w:firstLine="482" w:firstLineChars="200"/>
              <w:rPr>
                <w:b/>
                <w:kern w:val="0"/>
                <w:sz w:val="24"/>
                <w:szCs w:val="24"/>
              </w:rPr>
            </w:pPr>
            <w:r>
              <w:rPr>
                <w:rFonts w:hint="eastAsia"/>
                <w:b/>
                <w:kern w:val="0"/>
                <w:sz w:val="24"/>
                <w:szCs w:val="24"/>
              </w:rPr>
              <w:t>5</w:t>
            </w:r>
            <w:r>
              <w:rPr>
                <w:b/>
                <w:kern w:val="0"/>
                <w:sz w:val="24"/>
                <w:szCs w:val="24"/>
              </w:rPr>
              <w:t>、地下水、土壤环境</w:t>
            </w:r>
          </w:p>
          <w:p w14:paraId="51940C4D">
            <w:pPr>
              <w:tabs>
                <w:tab w:val="left" w:pos="1081"/>
              </w:tabs>
              <w:spacing w:line="360" w:lineRule="auto"/>
              <w:ind w:firstLine="480" w:firstLineChars="200"/>
              <w:rPr>
                <w:kern w:val="0"/>
                <w:sz w:val="24"/>
                <w:szCs w:val="24"/>
              </w:rPr>
            </w:pPr>
            <w:r>
              <w:rPr>
                <w:kern w:val="0"/>
                <w:sz w:val="24"/>
                <w:szCs w:val="24"/>
              </w:rPr>
              <w:t>根据《建设项目环境影响报告表编制指南（污染影响类）（试行）》，地下水、土壤环境</w:t>
            </w:r>
            <w:r>
              <w:rPr>
                <w:rFonts w:hint="eastAsia"/>
                <w:kern w:val="0"/>
                <w:sz w:val="24"/>
                <w:szCs w:val="24"/>
              </w:rPr>
              <w:t>“</w:t>
            </w:r>
            <w:r>
              <w:rPr>
                <w:kern w:val="0"/>
                <w:sz w:val="24"/>
                <w:szCs w:val="24"/>
              </w:rPr>
              <w:t>原则上不开展环境质量现状调查。建设项目存在土壤、地下水环境污染途径的，应结合污染源、保护目标分布情况开展现状调查以留作背景值。</w:t>
            </w:r>
            <w:r>
              <w:rPr>
                <w:rFonts w:hint="eastAsia"/>
                <w:kern w:val="0"/>
                <w:sz w:val="24"/>
                <w:szCs w:val="24"/>
              </w:rPr>
              <w:t>”</w:t>
            </w:r>
          </w:p>
          <w:p w14:paraId="7151C24D">
            <w:pPr>
              <w:tabs>
                <w:tab w:val="left" w:pos="1081"/>
              </w:tabs>
              <w:spacing w:line="360" w:lineRule="auto"/>
              <w:ind w:firstLine="480" w:firstLineChars="200"/>
              <w:rPr>
                <w:kern w:val="0"/>
                <w:sz w:val="24"/>
                <w:szCs w:val="24"/>
              </w:rPr>
            </w:pPr>
            <w:r>
              <w:rPr>
                <w:kern w:val="0"/>
                <w:sz w:val="24"/>
                <w:szCs w:val="24"/>
              </w:rPr>
              <w:t>本项目用地范围内将做好地面硬底化处理，危险废物暂存间、生产车间及各贮存区等区域均将硬底化，项目产生的污染物将不会与土壤直接接触，故不存在地下水、土壤污染途径，且项目主要污染物为臭气，不属于《土壤环境质量建设用地土壤污染风险管控标准（试行）》（GB36600-2018）中需要控制的污染因子，不会对土壤产生污染累积效应。故本项目</w:t>
            </w:r>
            <w:r>
              <w:rPr>
                <w:rFonts w:hint="eastAsia"/>
                <w:kern w:val="0"/>
                <w:sz w:val="24"/>
                <w:szCs w:val="24"/>
              </w:rPr>
              <w:t>原则上可不开展土壤和地下水环境质量现状调查。保守起见，为了解本项目所在地地下水和土壤环境质量现状情况，本评价委托广东君正检测技术有限公司于2025年8月29日~8月31日对项目所在地的土壤、地下水进行监测（报告编号：</w:t>
            </w:r>
            <w:r>
              <w:rPr>
                <w:kern w:val="0"/>
                <w:sz w:val="24"/>
                <w:szCs w:val="24"/>
              </w:rPr>
              <w:t>JZ2508058，见附件</w:t>
            </w:r>
            <w:r>
              <w:rPr>
                <w:rFonts w:hint="eastAsia"/>
                <w:kern w:val="0"/>
                <w:sz w:val="24"/>
                <w:szCs w:val="24"/>
              </w:rPr>
              <w:t>1</w:t>
            </w:r>
            <w:r>
              <w:rPr>
                <w:rFonts w:hint="eastAsia"/>
                <w:kern w:val="0"/>
                <w:sz w:val="24"/>
                <w:szCs w:val="24"/>
                <w:lang w:val="en-US" w:eastAsia="zh-CN"/>
              </w:rPr>
              <w:t>2</w:t>
            </w:r>
            <w:r>
              <w:rPr>
                <w:rFonts w:hint="eastAsia"/>
                <w:kern w:val="0"/>
                <w:sz w:val="24"/>
                <w:szCs w:val="24"/>
              </w:rPr>
              <w:t>）。</w:t>
            </w:r>
          </w:p>
          <w:p w14:paraId="30A78D67">
            <w:pPr>
              <w:tabs>
                <w:tab w:val="left" w:pos="1081"/>
              </w:tabs>
              <w:spacing w:line="360" w:lineRule="auto"/>
              <w:ind w:firstLine="480" w:firstLineChars="200"/>
              <w:rPr>
                <w:kern w:val="0"/>
                <w:sz w:val="24"/>
                <w:szCs w:val="24"/>
              </w:rPr>
            </w:pPr>
            <w:r>
              <w:rPr>
                <w:rFonts w:hint="eastAsia"/>
                <w:kern w:val="0"/>
                <w:sz w:val="24"/>
                <w:szCs w:val="24"/>
              </w:rPr>
              <w:t>地下水检测结果与评价见表3-2，土地检测结果与评价见表3-3。</w:t>
            </w:r>
          </w:p>
          <w:p w14:paraId="3FFFD335">
            <w:pPr>
              <w:tabs>
                <w:tab w:val="left" w:pos="1081"/>
              </w:tabs>
              <w:spacing w:line="360" w:lineRule="auto"/>
              <w:ind w:firstLine="480" w:firstLineChars="200"/>
              <w:rPr>
                <w:kern w:val="0"/>
                <w:sz w:val="24"/>
                <w:szCs w:val="24"/>
              </w:rPr>
            </w:pPr>
            <w:r>
              <w:rPr>
                <w:rFonts w:hint="eastAsia"/>
                <w:kern w:val="0"/>
                <w:sz w:val="24"/>
                <w:szCs w:val="24"/>
              </w:rPr>
              <w:t>由监测结果可知，监测时段内，项目所在地地下水各检测指标可满足《地下水质量标准》（</w:t>
            </w:r>
            <w:r>
              <w:rPr>
                <w:kern w:val="0"/>
                <w:sz w:val="24"/>
                <w:szCs w:val="24"/>
              </w:rPr>
              <w:t>GB/T14848-2017</w:t>
            </w:r>
            <w:r>
              <w:rPr>
                <w:rFonts w:hint="eastAsia"/>
                <w:kern w:val="0"/>
                <w:sz w:val="24"/>
                <w:szCs w:val="24"/>
              </w:rPr>
              <w:t>）</w:t>
            </w:r>
            <w:r>
              <w:rPr>
                <w:kern w:val="0"/>
                <w:sz w:val="24"/>
                <w:szCs w:val="24"/>
              </w:rPr>
              <w:t>III</w:t>
            </w:r>
            <w:r>
              <w:rPr>
                <w:rFonts w:hint="eastAsia"/>
                <w:kern w:val="0"/>
                <w:sz w:val="24"/>
                <w:szCs w:val="24"/>
              </w:rPr>
              <w:t>类水质标准；土壤各检测指标可满足《土壤环境质量标准建设用地土壤污染风险管控标准》（</w:t>
            </w:r>
            <w:r>
              <w:rPr>
                <w:kern w:val="0"/>
                <w:sz w:val="24"/>
                <w:szCs w:val="24"/>
              </w:rPr>
              <w:t>GB36600-2018</w:t>
            </w:r>
            <w:r>
              <w:rPr>
                <w:rFonts w:hint="eastAsia"/>
                <w:kern w:val="0"/>
                <w:sz w:val="24"/>
                <w:szCs w:val="24"/>
              </w:rPr>
              <w:t>）第二类用地筛选值。</w:t>
            </w:r>
          </w:p>
          <w:p w14:paraId="50AAEDE0">
            <w:pPr>
              <w:pStyle w:val="12"/>
              <w:spacing w:line="360" w:lineRule="auto"/>
              <w:ind w:left="0" w:leftChars="0" w:firstLine="0" w:firstLineChars="0"/>
              <w:jc w:val="center"/>
              <w:rPr>
                <w:b/>
              </w:rPr>
            </w:pPr>
            <w:r>
              <w:rPr>
                <w:rFonts w:hint="eastAsia"/>
                <w:b/>
              </w:rPr>
              <w:t>表3-2地下水质量</w:t>
            </w:r>
            <w:r>
              <w:rPr>
                <w:b/>
              </w:rPr>
              <w:t>监测</w:t>
            </w:r>
            <w:r>
              <w:rPr>
                <w:rFonts w:hint="eastAsia"/>
                <w:b/>
              </w:rPr>
              <w:t>数据</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577"/>
              <w:gridCol w:w="1337"/>
              <w:gridCol w:w="2176"/>
              <w:gridCol w:w="1160"/>
              <w:gridCol w:w="1610"/>
            </w:tblGrid>
            <w:tr w14:paraId="3A284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Align w:val="center"/>
                </w:tcPr>
                <w:p w14:paraId="2AC97F8D">
                  <w:pPr>
                    <w:widowControl/>
                    <w:jc w:val="center"/>
                    <w:rPr>
                      <w:rFonts w:cs="宋体"/>
                      <w:kern w:val="0"/>
                      <w:szCs w:val="22"/>
                    </w:rPr>
                  </w:pPr>
                  <w:r>
                    <w:rPr>
                      <w:rFonts w:hint="eastAsia" w:cs="宋体"/>
                      <w:kern w:val="0"/>
                      <w:szCs w:val="22"/>
                    </w:rPr>
                    <w:t>检测点位</w:t>
                  </w:r>
                </w:p>
              </w:tc>
              <w:tc>
                <w:tcPr>
                  <w:tcW w:w="909" w:type="pct"/>
                  <w:vAlign w:val="center"/>
                </w:tcPr>
                <w:p w14:paraId="0F2F1A8B">
                  <w:pPr>
                    <w:widowControl/>
                    <w:jc w:val="center"/>
                    <w:rPr>
                      <w:rFonts w:cs="Calibri"/>
                      <w:kern w:val="0"/>
                      <w:szCs w:val="22"/>
                    </w:rPr>
                  </w:pPr>
                  <w:r>
                    <w:rPr>
                      <w:rFonts w:cs="Calibri"/>
                      <w:kern w:val="0"/>
                      <w:szCs w:val="22"/>
                    </w:rPr>
                    <w:t>检测项目</w:t>
                  </w:r>
                </w:p>
              </w:tc>
              <w:tc>
                <w:tcPr>
                  <w:tcW w:w="752" w:type="pct"/>
                  <w:vAlign w:val="center"/>
                </w:tcPr>
                <w:p w14:paraId="1D1A0391">
                  <w:pPr>
                    <w:widowControl/>
                    <w:jc w:val="center"/>
                    <w:rPr>
                      <w:rFonts w:cs="Calibri"/>
                      <w:kern w:val="0"/>
                      <w:szCs w:val="22"/>
                    </w:rPr>
                  </w:pPr>
                  <w:r>
                    <w:rPr>
                      <w:rFonts w:cs="Calibri"/>
                      <w:kern w:val="0"/>
                      <w:szCs w:val="22"/>
                    </w:rPr>
                    <w:t>单位</w:t>
                  </w:r>
                </w:p>
              </w:tc>
              <w:tc>
                <w:tcPr>
                  <w:tcW w:w="1252" w:type="pct"/>
                  <w:vAlign w:val="center"/>
                </w:tcPr>
                <w:p w14:paraId="0A078694">
                  <w:pPr>
                    <w:widowControl/>
                    <w:jc w:val="center"/>
                    <w:rPr>
                      <w:rFonts w:cs="Calibri"/>
                      <w:kern w:val="0"/>
                      <w:szCs w:val="22"/>
                    </w:rPr>
                  </w:pPr>
                  <w:r>
                    <w:rPr>
                      <w:rFonts w:cs="Calibri"/>
                      <w:kern w:val="0"/>
                      <w:szCs w:val="22"/>
                    </w:rPr>
                    <w:t>检测点位及检测结果</w:t>
                  </w:r>
                </w:p>
              </w:tc>
              <w:tc>
                <w:tcPr>
                  <w:tcW w:w="669" w:type="pct"/>
                  <w:vAlign w:val="center"/>
                </w:tcPr>
                <w:p w14:paraId="5DC29862">
                  <w:pPr>
                    <w:widowControl/>
                    <w:jc w:val="center"/>
                    <w:rPr>
                      <w:rFonts w:cs="宋体"/>
                      <w:kern w:val="0"/>
                      <w:szCs w:val="22"/>
                    </w:rPr>
                  </w:pPr>
                  <w:r>
                    <w:rPr>
                      <w:rFonts w:hint="eastAsia" w:cs="宋体"/>
                      <w:kern w:val="0"/>
                      <w:szCs w:val="22"/>
                    </w:rPr>
                    <w:t>标准限值</w:t>
                  </w:r>
                </w:p>
              </w:tc>
              <w:tc>
                <w:tcPr>
                  <w:tcW w:w="928" w:type="pct"/>
                  <w:vAlign w:val="center"/>
                </w:tcPr>
                <w:p w14:paraId="0D5CBF6C">
                  <w:pPr>
                    <w:widowControl/>
                    <w:jc w:val="center"/>
                    <w:rPr>
                      <w:rFonts w:cs="宋体"/>
                      <w:kern w:val="0"/>
                      <w:szCs w:val="22"/>
                    </w:rPr>
                  </w:pPr>
                  <w:r>
                    <w:rPr>
                      <w:rFonts w:hint="eastAsia" w:cs="宋体"/>
                      <w:kern w:val="0"/>
                      <w:szCs w:val="22"/>
                    </w:rPr>
                    <w:t>水质标准指数</w:t>
                  </w:r>
                </w:p>
              </w:tc>
            </w:tr>
            <w:tr w14:paraId="76148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restart"/>
                  <w:vAlign w:val="center"/>
                </w:tcPr>
                <w:p w14:paraId="355AB08D">
                  <w:pPr>
                    <w:widowControl/>
                    <w:jc w:val="center"/>
                    <w:rPr>
                      <w:rFonts w:cs="Calibri"/>
                      <w:kern w:val="0"/>
                      <w:szCs w:val="22"/>
                    </w:rPr>
                  </w:pPr>
                  <w:r>
                    <w:rPr>
                      <w:rFonts w:cs="Calibri"/>
                      <w:kern w:val="0"/>
                      <w:szCs w:val="22"/>
                    </w:rPr>
                    <w:t>U1拟建车间东面</w:t>
                  </w:r>
                </w:p>
              </w:tc>
              <w:tc>
                <w:tcPr>
                  <w:tcW w:w="909" w:type="pct"/>
                  <w:vAlign w:val="center"/>
                </w:tcPr>
                <w:p w14:paraId="7333D554">
                  <w:pPr>
                    <w:widowControl/>
                    <w:jc w:val="center"/>
                    <w:rPr>
                      <w:rFonts w:cs="Calibri"/>
                      <w:kern w:val="0"/>
                      <w:szCs w:val="22"/>
                    </w:rPr>
                  </w:pPr>
                  <w:r>
                    <w:rPr>
                      <w:rFonts w:cs="Calibri"/>
                      <w:kern w:val="0"/>
                      <w:szCs w:val="22"/>
                    </w:rPr>
                    <w:t>钠离子(Na</w:t>
                  </w:r>
                  <w:r>
                    <w:rPr>
                      <w:rFonts w:cs="Calibri"/>
                      <w:kern w:val="0"/>
                      <w:szCs w:val="22"/>
                      <w:vertAlign w:val="superscript"/>
                    </w:rPr>
                    <w:t>+</w:t>
                  </w:r>
                  <w:r>
                    <w:rPr>
                      <w:rFonts w:cs="Calibri"/>
                      <w:kern w:val="0"/>
                      <w:szCs w:val="22"/>
                    </w:rPr>
                    <w:t>)</w:t>
                  </w:r>
                </w:p>
              </w:tc>
              <w:tc>
                <w:tcPr>
                  <w:tcW w:w="752" w:type="pct"/>
                  <w:vAlign w:val="center"/>
                </w:tcPr>
                <w:p w14:paraId="268BFBFE">
                  <w:pPr>
                    <w:widowControl/>
                    <w:jc w:val="center"/>
                    <w:rPr>
                      <w:rFonts w:cs="Calibri"/>
                      <w:kern w:val="0"/>
                      <w:szCs w:val="22"/>
                    </w:rPr>
                  </w:pPr>
                  <w:r>
                    <w:rPr>
                      <w:rFonts w:cs="Calibri"/>
                      <w:kern w:val="0"/>
                      <w:szCs w:val="22"/>
                    </w:rPr>
                    <w:t>mg/L</w:t>
                  </w:r>
                </w:p>
              </w:tc>
              <w:tc>
                <w:tcPr>
                  <w:tcW w:w="1252" w:type="pct"/>
                  <w:vAlign w:val="center"/>
                </w:tcPr>
                <w:p w14:paraId="634EF824">
                  <w:pPr>
                    <w:widowControl/>
                    <w:jc w:val="center"/>
                    <w:rPr>
                      <w:rFonts w:cs="Calibri"/>
                      <w:kern w:val="0"/>
                      <w:szCs w:val="22"/>
                    </w:rPr>
                  </w:pPr>
                  <w:r>
                    <w:rPr>
                      <w:rFonts w:cs="Calibri"/>
                      <w:kern w:val="0"/>
                      <w:szCs w:val="22"/>
                    </w:rPr>
                    <w:t>13.9</w:t>
                  </w:r>
                </w:p>
              </w:tc>
              <w:tc>
                <w:tcPr>
                  <w:tcW w:w="669" w:type="pct"/>
                  <w:vAlign w:val="center"/>
                </w:tcPr>
                <w:p w14:paraId="6792781C">
                  <w:pPr>
                    <w:widowControl/>
                    <w:jc w:val="center"/>
                    <w:rPr>
                      <w:rFonts w:cs="Calibri"/>
                      <w:kern w:val="0"/>
                      <w:szCs w:val="22"/>
                    </w:rPr>
                  </w:pPr>
                  <w:r>
                    <w:rPr>
                      <w:rFonts w:cs="Calibri"/>
                      <w:kern w:val="0"/>
                      <w:szCs w:val="22"/>
                    </w:rPr>
                    <w:t>/</w:t>
                  </w:r>
                </w:p>
              </w:tc>
              <w:tc>
                <w:tcPr>
                  <w:tcW w:w="928" w:type="pct"/>
                  <w:vAlign w:val="center"/>
                </w:tcPr>
                <w:p w14:paraId="7916ADC0">
                  <w:pPr>
                    <w:widowControl/>
                    <w:jc w:val="center"/>
                    <w:rPr>
                      <w:rFonts w:cs="Calibri"/>
                      <w:kern w:val="0"/>
                      <w:szCs w:val="22"/>
                    </w:rPr>
                  </w:pPr>
                  <w:r>
                    <w:rPr>
                      <w:rFonts w:cs="Calibri"/>
                      <w:kern w:val="0"/>
                      <w:szCs w:val="22"/>
                    </w:rPr>
                    <w:t>/</w:t>
                  </w:r>
                </w:p>
              </w:tc>
            </w:tr>
            <w:tr w14:paraId="39486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0CB05005">
                  <w:pPr>
                    <w:widowControl/>
                    <w:jc w:val="center"/>
                    <w:rPr>
                      <w:rFonts w:cs="Calibri"/>
                      <w:kern w:val="0"/>
                      <w:szCs w:val="22"/>
                    </w:rPr>
                  </w:pPr>
                </w:p>
              </w:tc>
              <w:tc>
                <w:tcPr>
                  <w:tcW w:w="909" w:type="pct"/>
                  <w:vAlign w:val="center"/>
                </w:tcPr>
                <w:p w14:paraId="62FA8217">
                  <w:pPr>
                    <w:widowControl/>
                    <w:jc w:val="center"/>
                    <w:rPr>
                      <w:rFonts w:cs="Calibri"/>
                      <w:kern w:val="0"/>
                      <w:szCs w:val="22"/>
                    </w:rPr>
                  </w:pPr>
                  <w:r>
                    <w:rPr>
                      <w:rFonts w:cs="Calibri"/>
                      <w:kern w:val="0"/>
                      <w:szCs w:val="22"/>
                    </w:rPr>
                    <w:t>钾离子(K</w:t>
                  </w:r>
                  <w:r>
                    <w:rPr>
                      <w:rFonts w:cs="Calibri"/>
                      <w:kern w:val="0"/>
                      <w:szCs w:val="22"/>
                      <w:vertAlign w:val="superscript"/>
                    </w:rPr>
                    <w:t>+</w:t>
                  </w:r>
                  <w:r>
                    <w:rPr>
                      <w:rFonts w:cs="Calibri"/>
                      <w:kern w:val="0"/>
                      <w:szCs w:val="22"/>
                    </w:rPr>
                    <w:t>)</w:t>
                  </w:r>
                </w:p>
              </w:tc>
              <w:tc>
                <w:tcPr>
                  <w:tcW w:w="752" w:type="pct"/>
                  <w:vAlign w:val="center"/>
                </w:tcPr>
                <w:p w14:paraId="3F5DA7FD">
                  <w:pPr>
                    <w:widowControl/>
                    <w:jc w:val="center"/>
                    <w:rPr>
                      <w:rFonts w:cs="Calibri"/>
                      <w:kern w:val="0"/>
                      <w:szCs w:val="22"/>
                    </w:rPr>
                  </w:pPr>
                  <w:r>
                    <w:rPr>
                      <w:rFonts w:cs="Calibri"/>
                      <w:kern w:val="0"/>
                      <w:szCs w:val="22"/>
                    </w:rPr>
                    <w:t>mg/L</w:t>
                  </w:r>
                </w:p>
              </w:tc>
              <w:tc>
                <w:tcPr>
                  <w:tcW w:w="1252" w:type="pct"/>
                  <w:vAlign w:val="center"/>
                </w:tcPr>
                <w:p w14:paraId="07026384">
                  <w:pPr>
                    <w:widowControl/>
                    <w:jc w:val="center"/>
                    <w:rPr>
                      <w:rFonts w:cs="Calibri"/>
                      <w:kern w:val="0"/>
                      <w:szCs w:val="22"/>
                    </w:rPr>
                  </w:pPr>
                  <w:r>
                    <w:rPr>
                      <w:rFonts w:cs="Calibri"/>
                      <w:kern w:val="0"/>
                      <w:szCs w:val="22"/>
                    </w:rPr>
                    <w:t>3.25</w:t>
                  </w:r>
                </w:p>
              </w:tc>
              <w:tc>
                <w:tcPr>
                  <w:tcW w:w="669" w:type="pct"/>
                  <w:vAlign w:val="center"/>
                </w:tcPr>
                <w:p w14:paraId="01B060D3">
                  <w:pPr>
                    <w:widowControl/>
                    <w:jc w:val="center"/>
                    <w:rPr>
                      <w:rFonts w:cs="Calibri"/>
                      <w:kern w:val="0"/>
                      <w:szCs w:val="22"/>
                    </w:rPr>
                  </w:pPr>
                  <w:r>
                    <w:rPr>
                      <w:rFonts w:cs="Calibri"/>
                      <w:kern w:val="0"/>
                      <w:szCs w:val="22"/>
                    </w:rPr>
                    <w:t>/</w:t>
                  </w:r>
                </w:p>
              </w:tc>
              <w:tc>
                <w:tcPr>
                  <w:tcW w:w="928" w:type="pct"/>
                  <w:vAlign w:val="center"/>
                </w:tcPr>
                <w:p w14:paraId="667F3606">
                  <w:pPr>
                    <w:widowControl/>
                    <w:jc w:val="center"/>
                    <w:rPr>
                      <w:rFonts w:cs="Calibri"/>
                      <w:kern w:val="0"/>
                      <w:szCs w:val="22"/>
                    </w:rPr>
                  </w:pPr>
                  <w:r>
                    <w:rPr>
                      <w:rFonts w:cs="Calibri"/>
                      <w:kern w:val="0"/>
                      <w:szCs w:val="22"/>
                    </w:rPr>
                    <w:t>/</w:t>
                  </w:r>
                </w:p>
              </w:tc>
            </w:tr>
            <w:tr w14:paraId="1DD5A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29A1DF1A">
                  <w:pPr>
                    <w:widowControl/>
                    <w:jc w:val="center"/>
                    <w:rPr>
                      <w:rFonts w:cs="Calibri"/>
                      <w:kern w:val="0"/>
                      <w:szCs w:val="22"/>
                    </w:rPr>
                  </w:pPr>
                </w:p>
              </w:tc>
              <w:tc>
                <w:tcPr>
                  <w:tcW w:w="909" w:type="pct"/>
                  <w:vAlign w:val="center"/>
                </w:tcPr>
                <w:p w14:paraId="41F8C116">
                  <w:pPr>
                    <w:widowControl/>
                    <w:jc w:val="center"/>
                    <w:rPr>
                      <w:rFonts w:cs="Calibri"/>
                      <w:kern w:val="0"/>
                      <w:szCs w:val="22"/>
                    </w:rPr>
                  </w:pPr>
                  <w:r>
                    <w:rPr>
                      <w:rFonts w:cs="Calibri"/>
                      <w:kern w:val="0"/>
                      <w:szCs w:val="22"/>
                    </w:rPr>
                    <w:t>镁离子Mg</w:t>
                  </w:r>
                  <w:r>
                    <w:rPr>
                      <w:rFonts w:cs="Calibri"/>
                      <w:kern w:val="0"/>
                      <w:szCs w:val="22"/>
                      <w:vertAlign w:val="superscript"/>
                    </w:rPr>
                    <w:t>2+</w:t>
                  </w:r>
                  <w:r>
                    <w:rPr>
                      <w:rFonts w:cs="Calibri"/>
                      <w:kern w:val="0"/>
                      <w:szCs w:val="22"/>
                    </w:rPr>
                    <w:t>)</w:t>
                  </w:r>
                </w:p>
              </w:tc>
              <w:tc>
                <w:tcPr>
                  <w:tcW w:w="752" w:type="pct"/>
                  <w:vAlign w:val="center"/>
                </w:tcPr>
                <w:p w14:paraId="7F143E42">
                  <w:pPr>
                    <w:widowControl/>
                    <w:jc w:val="center"/>
                    <w:rPr>
                      <w:rFonts w:cs="Calibri"/>
                      <w:kern w:val="0"/>
                      <w:szCs w:val="22"/>
                    </w:rPr>
                  </w:pPr>
                  <w:r>
                    <w:rPr>
                      <w:rFonts w:cs="Calibri"/>
                      <w:kern w:val="0"/>
                      <w:szCs w:val="22"/>
                    </w:rPr>
                    <w:t>mg/L</w:t>
                  </w:r>
                </w:p>
              </w:tc>
              <w:tc>
                <w:tcPr>
                  <w:tcW w:w="1252" w:type="pct"/>
                  <w:vAlign w:val="center"/>
                </w:tcPr>
                <w:p w14:paraId="46A55EF1">
                  <w:pPr>
                    <w:widowControl/>
                    <w:jc w:val="center"/>
                    <w:rPr>
                      <w:rFonts w:cs="Calibri"/>
                      <w:kern w:val="0"/>
                      <w:szCs w:val="22"/>
                    </w:rPr>
                  </w:pPr>
                  <w:r>
                    <w:rPr>
                      <w:rFonts w:cs="Calibri"/>
                      <w:kern w:val="0"/>
                      <w:szCs w:val="22"/>
                    </w:rPr>
                    <w:t>3.05</w:t>
                  </w:r>
                </w:p>
              </w:tc>
              <w:tc>
                <w:tcPr>
                  <w:tcW w:w="669" w:type="pct"/>
                  <w:vAlign w:val="center"/>
                </w:tcPr>
                <w:p w14:paraId="51380BDB">
                  <w:pPr>
                    <w:widowControl/>
                    <w:jc w:val="center"/>
                    <w:rPr>
                      <w:rFonts w:cs="Calibri"/>
                      <w:kern w:val="0"/>
                      <w:szCs w:val="22"/>
                    </w:rPr>
                  </w:pPr>
                  <w:r>
                    <w:rPr>
                      <w:rFonts w:cs="Calibri"/>
                      <w:kern w:val="0"/>
                      <w:szCs w:val="22"/>
                    </w:rPr>
                    <w:t>/</w:t>
                  </w:r>
                </w:p>
              </w:tc>
              <w:tc>
                <w:tcPr>
                  <w:tcW w:w="928" w:type="pct"/>
                  <w:vAlign w:val="center"/>
                </w:tcPr>
                <w:p w14:paraId="6E2BB542">
                  <w:pPr>
                    <w:widowControl/>
                    <w:jc w:val="center"/>
                    <w:rPr>
                      <w:rFonts w:cs="Calibri"/>
                      <w:kern w:val="0"/>
                      <w:szCs w:val="22"/>
                    </w:rPr>
                  </w:pPr>
                  <w:r>
                    <w:rPr>
                      <w:rFonts w:cs="Calibri"/>
                      <w:kern w:val="0"/>
                      <w:szCs w:val="22"/>
                    </w:rPr>
                    <w:t>/</w:t>
                  </w:r>
                </w:p>
              </w:tc>
            </w:tr>
            <w:tr w14:paraId="6E6F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28E69F2F">
                  <w:pPr>
                    <w:widowControl/>
                    <w:jc w:val="center"/>
                    <w:rPr>
                      <w:rFonts w:cs="Calibri"/>
                      <w:kern w:val="0"/>
                      <w:szCs w:val="22"/>
                    </w:rPr>
                  </w:pPr>
                </w:p>
              </w:tc>
              <w:tc>
                <w:tcPr>
                  <w:tcW w:w="909" w:type="pct"/>
                  <w:vAlign w:val="center"/>
                </w:tcPr>
                <w:p w14:paraId="32758CDE">
                  <w:pPr>
                    <w:widowControl/>
                    <w:jc w:val="center"/>
                    <w:rPr>
                      <w:rFonts w:cs="Calibri"/>
                      <w:kern w:val="0"/>
                      <w:szCs w:val="22"/>
                    </w:rPr>
                  </w:pPr>
                  <w:r>
                    <w:rPr>
                      <w:rFonts w:cs="Calibri"/>
                      <w:kern w:val="0"/>
                      <w:szCs w:val="22"/>
                    </w:rPr>
                    <w:t>钙离子(Ca</w:t>
                  </w:r>
                  <w:r>
                    <w:rPr>
                      <w:rFonts w:cs="Calibri"/>
                      <w:kern w:val="0"/>
                      <w:szCs w:val="22"/>
                      <w:vertAlign w:val="superscript"/>
                    </w:rPr>
                    <w:t>+</w:t>
                  </w:r>
                  <w:r>
                    <w:rPr>
                      <w:rFonts w:cs="Calibri"/>
                      <w:kern w:val="0"/>
                      <w:szCs w:val="22"/>
                    </w:rPr>
                    <w:t>)</w:t>
                  </w:r>
                </w:p>
              </w:tc>
              <w:tc>
                <w:tcPr>
                  <w:tcW w:w="752" w:type="pct"/>
                  <w:vAlign w:val="center"/>
                </w:tcPr>
                <w:p w14:paraId="62A9DC5D">
                  <w:pPr>
                    <w:widowControl/>
                    <w:jc w:val="center"/>
                    <w:rPr>
                      <w:rFonts w:cs="Calibri"/>
                      <w:kern w:val="0"/>
                      <w:szCs w:val="22"/>
                    </w:rPr>
                  </w:pPr>
                  <w:r>
                    <w:rPr>
                      <w:rFonts w:cs="Calibri"/>
                      <w:kern w:val="0"/>
                      <w:szCs w:val="22"/>
                    </w:rPr>
                    <w:t>mg/L</w:t>
                  </w:r>
                </w:p>
              </w:tc>
              <w:tc>
                <w:tcPr>
                  <w:tcW w:w="1252" w:type="pct"/>
                  <w:vAlign w:val="center"/>
                </w:tcPr>
                <w:p w14:paraId="2977D313">
                  <w:pPr>
                    <w:widowControl/>
                    <w:jc w:val="center"/>
                    <w:rPr>
                      <w:rFonts w:cs="Calibri"/>
                      <w:kern w:val="0"/>
                      <w:szCs w:val="22"/>
                    </w:rPr>
                  </w:pPr>
                  <w:r>
                    <w:rPr>
                      <w:rFonts w:cs="Calibri"/>
                      <w:kern w:val="0"/>
                      <w:szCs w:val="22"/>
                    </w:rPr>
                    <w:t>31.3</w:t>
                  </w:r>
                </w:p>
              </w:tc>
              <w:tc>
                <w:tcPr>
                  <w:tcW w:w="669" w:type="pct"/>
                  <w:vAlign w:val="center"/>
                </w:tcPr>
                <w:p w14:paraId="74E939F8">
                  <w:pPr>
                    <w:widowControl/>
                    <w:jc w:val="center"/>
                    <w:rPr>
                      <w:rFonts w:cs="Calibri"/>
                      <w:kern w:val="0"/>
                      <w:szCs w:val="22"/>
                    </w:rPr>
                  </w:pPr>
                  <w:r>
                    <w:rPr>
                      <w:rFonts w:cs="Calibri"/>
                      <w:kern w:val="0"/>
                      <w:szCs w:val="22"/>
                    </w:rPr>
                    <w:t>/</w:t>
                  </w:r>
                </w:p>
              </w:tc>
              <w:tc>
                <w:tcPr>
                  <w:tcW w:w="928" w:type="pct"/>
                  <w:vAlign w:val="center"/>
                </w:tcPr>
                <w:p w14:paraId="3261D688">
                  <w:pPr>
                    <w:widowControl/>
                    <w:jc w:val="center"/>
                    <w:rPr>
                      <w:rFonts w:cs="Calibri"/>
                      <w:kern w:val="0"/>
                      <w:szCs w:val="22"/>
                    </w:rPr>
                  </w:pPr>
                  <w:r>
                    <w:rPr>
                      <w:rFonts w:cs="Calibri"/>
                      <w:kern w:val="0"/>
                      <w:szCs w:val="22"/>
                    </w:rPr>
                    <w:t>/</w:t>
                  </w:r>
                </w:p>
              </w:tc>
            </w:tr>
            <w:tr w14:paraId="0BE32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56135614">
                  <w:pPr>
                    <w:widowControl/>
                    <w:jc w:val="center"/>
                    <w:rPr>
                      <w:rFonts w:cs="Calibri"/>
                      <w:kern w:val="0"/>
                      <w:szCs w:val="22"/>
                    </w:rPr>
                  </w:pPr>
                </w:p>
              </w:tc>
              <w:tc>
                <w:tcPr>
                  <w:tcW w:w="909" w:type="pct"/>
                  <w:vAlign w:val="center"/>
                </w:tcPr>
                <w:p w14:paraId="3EDA244B">
                  <w:pPr>
                    <w:widowControl/>
                    <w:jc w:val="center"/>
                    <w:rPr>
                      <w:rFonts w:cs="Calibri"/>
                      <w:kern w:val="0"/>
                      <w:szCs w:val="22"/>
                    </w:rPr>
                  </w:pPr>
                  <w:r>
                    <w:rPr>
                      <w:rFonts w:cs="Calibri"/>
                      <w:kern w:val="0"/>
                      <w:szCs w:val="22"/>
                    </w:rPr>
                    <w:t>碳酸盐</w:t>
                  </w:r>
                </w:p>
              </w:tc>
              <w:tc>
                <w:tcPr>
                  <w:tcW w:w="752" w:type="pct"/>
                  <w:vAlign w:val="center"/>
                </w:tcPr>
                <w:p w14:paraId="51AF21B8">
                  <w:pPr>
                    <w:widowControl/>
                    <w:jc w:val="center"/>
                    <w:rPr>
                      <w:rFonts w:cs="Calibri"/>
                      <w:kern w:val="0"/>
                      <w:szCs w:val="22"/>
                    </w:rPr>
                  </w:pPr>
                  <w:r>
                    <w:rPr>
                      <w:rFonts w:cs="Calibri"/>
                      <w:kern w:val="0"/>
                      <w:szCs w:val="22"/>
                    </w:rPr>
                    <w:t>mg/L</w:t>
                  </w:r>
                </w:p>
              </w:tc>
              <w:tc>
                <w:tcPr>
                  <w:tcW w:w="1252" w:type="pct"/>
                  <w:vAlign w:val="center"/>
                </w:tcPr>
                <w:p w14:paraId="46AD6CD4">
                  <w:pPr>
                    <w:widowControl/>
                    <w:jc w:val="center"/>
                    <w:rPr>
                      <w:rFonts w:cs="Calibri"/>
                      <w:kern w:val="0"/>
                      <w:szCs w:val="22"/>
                    </w:rPr>
                  </w:pPr>
                  <w:r>
                    <w:rPr>
                      <w:rFonts w:cs="Calibri"/>
                      <w:kern w:val="0"/>
                      <w:szCs w:val="22"/>
                    </w:rPr>
                    <w:t>1.0L</w:t>
                  </w:r>
                </w:p>
              </w:tc>
              <w:tc>
                <w:tcPr>
                  <w:tcW w:w="669" w:type="pct"/>
                  <w:vAlign w:val="center"/>
                </w:tcPr>
                <w:p w14:paraId="0634EAD1">
                  <w:pPr>
                    <w:widowControl/>
                    <w:jc w:val="center"/>
                    <w:rPr>
                      <w:rFonts w:cs="Calibri"/>
                      <w:kern w:val="0"/>
                      <w:szCs w:val="22"/>
                    </w:rPr>
                  </w:pPr>
                  <w:r>
                    <w:rPr>
                      <w:rFonts w:cs="Calibri"/>
                      <w:kern w:val="0"/>
                      <w:szCs w:val="22"/>
                    </w:rPr>
                    <w:t>/</w:t>
                  </w:r>
                </w:p>
              </w:tc>
              <w:tc>
                <w:tcPr>
                  <w:tcW w:w="928" w:type="pct"/>
                  <w:vAlign w:val="center"/>
                </w:tcPr>
                <w:p w14:paraId="372119AF">
                  <w:pPr>
                    <w:widowControl/>
                    <w:jc w:val="center"/>
                    <w:rPr>
                      <w:rFonts w:cs="Calibri"/>
                      <w:kern w:val="0"/>
                      <w:szCs w:val="22"/>
                    </w:rPr>
                  </w:pPr>
                  <w:r>
                    <w:rPr>
                      <w:rFonts w:cs="Calibri"/>
                      <w:kern w:val="0"/>
                      <w:szCs w:val="22"/>
                    </w:rPr>
                    <w:t>/</w:t>
                  </w:r>
                </w:p>
              </w:tc>
            </w:tr>
            <w:tr w14:paraId="3C695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25305512">
                  <w:pPr>
                    <w:widowControl/>
                    <w:jc w:val="center"/>
                    <w:rPr>
                      <w:rFonts w:cs="Calibri"/>
                      <w:kern w:val="0"/>
                      <w:szCs w:val="22"/>
                    </w:rPr>
                  </w:pPr>
                </w:p>
              </w:tc>
              <w:tc>
                <w:tcPr>
                  <w:tcW w:w="909" w:type="pct"/>
                  <w:vAlign w:val="center"/>
                </w:tcPr>
                <w:p w14:paraId="4A3C4A16">
                  <w:pPr>
                    <w:widowControl/>
                    <w:jc w:val="center"/>
                    <w:rPr>
                      <w:rFonts w:cs="Calibri"/>
                      <w:kern w:val="0"/>
                      <w:szCs w:val="22"/>
                    </w:rPr>
                  </w:pPr>
                  <w:r>
                    <w:rPr>
                      <w:rFonts w:cs="Calibri"/>
                      <w:kern w:val="0"/>
                      <w:szCs w:val="22"/>
                    </w:rPr>
                    <w:t>重碳酸盐</w:t>
                  </w:r>
                </w:p>
              </w:tc>
              <w:tc>
                <w:tcPr>
                  <w:tcW w:w="752" w:type="pct"/>
                  <w:vAlign w:val="center"/>
                </w:tcPr>
                <w:p w14:paraId="05F310D4">
                  <w:pPr>
                    <w:widowControl/>
                    <w:jc w:val="center"/>
                    <w:rPr>
                      <w:rFonts w:cs="Calibri"/>
                      <w:kern w:val="0"/>
                      <w:szCs w:val="22"/>
                    </w:rPr>
                  </w:pPr>
                  <w:r>
                    <w:rPr>
                      <w:rFonts w:cs="Calibri"/>
                      <w:kern w:val="0"/>
                      <w:szCs w:val="22"/>
                    </w:rPr>
                    <w:t>mg/L</w:t>
                  </w:r>
                </w:p>
              </w:tc>
              <w:tc>
                <w:tcPr>
                  <w:tcW w:w="1252" w:type="pct"/>
                  <w:vAlign w:val="center"/>
                </w:tcPr>
                <w:p w14:paraId="58D93888">
                  <w:pPr>
                    <w:widowControl/>
                    <w:jc w:val="center"/>
                    <w:rPr>
                      <w:rFonts w:cs="Calibri"/>
                      <w:kern w:val="0"/>
                      <w:szCs w:val="22"/>
                    </w:rPr>
                  </w:pPr>
                  <w:r>
                    <w:rPr>
                      <w:rFonts w:cs="Calibri"/>
                      <w:kern w:val="0"/>
                      <w:szCs w:val="22"/>
                    </w:rPr>
                    <w:t>136</w:t>
                  </w:r>
                </w:p>
              </w:tc>
              <w:tc>
                <w:tcPr>
                  <w:tcW w:w="669" w:type="pct"/>
                  <w:vAlign w:val="center"/>
                </w:tcPr>
                <w:p w14:paraId="205A96FE">
                  <w:pPr>
                    <w:widowControl/>
                    <w:jc w:val="center"/>
                    <w:rPr>
                      <w:rFonts w:cs="Calibri"/>
                      <w:kern w:val="0"/>
                      <w:szCs w:val="22"/>
                    </w:rPr>
                  </w:pPr>
                  <w:r>
                    <w:rPr>
                      <w:rFonts w:cs="Calibri"/>
                      <w:kern w:val="0"/>
                      <w:szCs w:val="22"/>
                    </w:rPr>
                    <w:t>/</w:t>
                  </w:r>
                </w:p>
              </w:tc>
              <w:tc>
                <w:tcPr>
                  <w:tcW w:w="928" w:type="pct"/>
                  <w:vAlign w:val="center"/>
                </w:tcPr>
                <w:p w14:paraId="4E5F6317">
                  <w:pPr>
                    <w:widowControl/>
                    <w:jc w:val="center"/>
                    <w:rPr>
                      <w:rFonts w:cs="Calibri"/>
                      <w:kern w:val="0"/>
                      <w:szCs w:val="22"/>
                    </w:rPr>
                  </w:pPr>
                  <w:r>
                    <w:rPr>
                      <w:rFonts w:cs="Calibri"/>
                      <w:kern w:val="0"/>
                      <w:szCs w:val="22"/>
                    </w:rPr>
                    <w:t>/</w:t>
                  </w:r>
                </w:p>
              </w:tc>
            </w:tr>
            <w:tr w14:paraId="0CA89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30CFFDF8">
                  <w:pPr>
                    <w:widowControl/>
                    <w:jc w:val="center"/>
                    <w:rPr>
                      <w:rFonts w:cs="Calibri"/>
                      <w:kern w:val="0"/>
                      <w:szCs w:val="22"/>
                    </w:rPr>
                  </w:pPr>
                </w:p>
              </w:tc>
              <w:tc>
                <w:tcPr>
                  <w:tcW w:w="909" w:type="pct"/>
                  <w:vAlign w:val="center"/>
                </w:tcPr>
                <w:p w14:paraId="364EEE95">
                  <w:pPr>
                    <w:widowControl/>
                    <w:jc w:val="center"/>
                    <w:rPr>
                      <w:rFonts w:cs="Calibri"/>
                      <w:kern w:val="0"/>
                      <w:szCs w:val="22"/>
                    </w:rPr>
                  </w:pPr>
                  <w:r>
                    <w:rPr>
                      <w:rFonts w:cs="Calibri"/>
                      <w:kern w:val="0"/>
                      <w:szCs w:val="22"/>
                    </w:rPr>
                    <w:t>硫酸盐</w:t>
                  </w:r>
                </w:p>
              </w:tc>
              <w:tc>
                <w:tcPr>
                  <w:tcW w:w="752" w:type="pct"/>
                  <w:vAlign w:val="center"/>
                </w:tcPr>
                <w:p w14:paraId="0D239BA8">
                  <w:pPr>
                    <w:widowControl/>
                    <w:jc w:val="center"/>
                    <w:rPr>
                      <w:rFonts w:cs="Calibri"/>
                      <w:kern w:val="0"/>
                      <w:szCs w:val="22"/>
                    </w:rPr>
                  </w:pPr>
                  <w:r>
                    <w:rPr>
                      <w:rFonts w:cs="Calibri"/>
                      <w:kern w:val="0"/>
                      <w:szCs w:val="22"/>
                    </w:rPr>
                    <w:t>mg/L</w:t>
                  </w:r>
                </w:p>
              </w:tc>
              <w:tc>
                <w:tcPr>
                  <w:tcW w:w="1252" w:type="pct"/>
                  <w:vAlign w:val="center"/>
                </w:tcPr>
                <w:p w14:paraId="2A17211F">
                  <w:pPr>
                    <w:widowControl/>
                    <w:jc w:val="center"/>
                    <w:rPr>
                      <w:rFonts w:cs="Calibri"/>
                      <w:kern w:val="0"/>
                      <w:szCs w:val="22"/>
                    </w:rPr>
                  </w:pPr>
                  <w:r>
                    <w:rPr>
                      <w:rFonts w:cs="Calibri"/>
                      <w:kern w:val="0"/>
                      <w:szCs w:val="22"/>
                    </w:rPr>
                    <w:t>3.89</w:t>
                  </w:r>
                </w:p>
              </w:tc>
              <w:tc>
                <w:tcPr>
                  <w:tcW w:w="669" w:type="pct"/>
                  <w:vAlign w:val="center"/>
                </w:tcPr>
                <w:p w14:paraId="545E78BA">
                  <w:pPr>
                    <w:widowControl/>
                    <w:jc w:val="center"/>
                    <w:rPr>
                      <w:rFonts w:cs="Calibri"/>
                      <w:kern w:val="0"/>
                      <w:szCs w:val="22"/>
                    </w:rPr>
                  </w:pPr>
                  <w:r>
                    <w:rPr>
                      <w:rFonts w:cs="Calibri"/>
                      <w:kern w:val="0"/>
                      <w:szCs w:val="22"/>
                    </w:rPr>
                    <w:t>250</w:t>
                  </w:r>
                </w:p>
              </w:tc>
              <w:tc>
                <w:tcPr>
                  <w:tcW w:w="928" w:type="pct"/>
                  <w:vAlign w:val="center"/>
                </w:tcPr>
                <w:p w14:paraId="474A68F0">
                  <w:pPr>
                    <w:widowControl/>
                    <w:jc w:val="center"/>
                    <w:rPr>
                      <w:rFonts w:cs="宋体"/>
                      <w:kern w:val="0"/>
                      <w:szCs w:val="22"/>
                    </w:rPr>
                  </w:pPr>
                  <w:r>
                    <w:rPr>
                      <w:rFonts w:hint="eastAsia" w:cs="宋体"/>
                      <w:kern w:val="0"/>
                      <w:szCs w:val="22"/>
                    </w:rPr>
                    <w:t xml:space="preserve">0.016 </w:t>
                  </w:r>
                </w:p>
              </w:tc>
            </w:tr>
            <w:tr w14:paraId="5EEB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39FDDEFC">
                  <w:pPr>
                    <w:widowControl/>
                    <w:jc w:val="center"/>
                    <w:rPr>
                      <w:rFonts w:cs="Calibri"/>
                      <w:kern w:val="0"/>
                      <w:szCs w:val="22"/>
                    </w:rPr>
                  </w:pPr>
                </w:p>
              </w:tc>
              <w:tc>
                <w:tcPr>
                  <w:tcW w:w="909" w:type="pct"/>
                  <w:vAlign w:val="center"/>
                </w:tcPr>
                <w:p w14:paraId="5B603A51">
                  <w:pPr>
                    <w:widowControl/>
                    <w:jc w:val="center"/>
                    <w:rPr>
                      <w:rFonts w:cs="Calibri"/>
                      <w:kern w:val="0"/>
                      <w:szCs w:val="22"/>
                    </w:rPr>
                  </w:pPr>
                  <w:r>
                    <w:rPr>
                      <w:rFonts w:cs="Calibri"/>
                      <w:kern w:val="0"/>
                      <w:szCs w:val="22"/>
                    </w:rPr>
                    <w:t>氯化物</w:t>
                  </w:r>
                </w:p>
              </w:tc>
              <w:tc>
                <w:tcPr>
                  <w:tcW w:w="752" w:type="pct"/>
                  <w:vAlign w:val="center"/>
                </w:tcPr>
                <w:p w14:paraId="15AA2E4A">
                  <w:pPr>
                    <w:widowControl/>
                    <w:jc w:val="center"/>
                    <w:rPr>
                      <w:rFonts w:cs="Calibri"/>
                      <w:kern w:val="0"/>
                      <w:szCs w:val="22"/>
                    </w:rPr>
                  </w:pPr>
                  <w:r>
                    <w:rPr>
                      <w:rFonts w:cs="Calibri"/>
                      <w:kern w:val="0"/>
                      <w:szCs w:val="22"/>
                    </w:rPr>
                    <w:t>mg/L</w:t>
                  </w:r>
                </w:p>
              </w:tc>
              <w:tc>
                <w:tcPr>
                  <w:tcW w:w="1252" w:type="pct"/>
                  <w:vAlign w:val="center"/>
                </w:tcPr>
                <w:p w14:paraId="3CBE7FD6">
                  <w:pPr>
                    <w:widowControl/>
                    <w:jc w:val="center"/>
                    <w:rPr>
                      <w:rFonts w:cs="Calibri"/>
                      <w:kern w:val="0"/>
                      <w:szCs w:val="22"/>
                    </w:rPr>
                  </w:pPr>
                  <w:r>
                    <w:rPr>
                      <w:rFonts w:cs="Calibri"/>
                      <w:kern w:val="0"/>
                      <w:szCs w:val="22"/>
                    </w:rPr>
                    <w:t>5.2</w:t>
                  </w:r>
                </w:p>
              </w:tc>
              <w:tc>
                <w:tcPr>
                  <w:tcW w:w="669" w:type="pct"/>
                  <w:vAlign w:val="center"/>
                </w:tcPr>
                <w:p w14:paraId="733AFBFF">
                  <w:pPr>
                    <w:widowControl/>
                    <w:jc w:val="center"/>
                    <w:rPr>
                      <w:rFonts w:cs="Calibri"/>
                      <w:kern w:val="0"/>
                      <w:szCs w:val="22"/>
                    </w:rPr>
                  </w:pPr>
                  <w:r>
                    <w:rPr>
                      <w:rFonts w:cs="Calibri"/>
                      <w:kern w:val="0"/>
                      <w:szCs w:val="22"/>
                    </w:rPr>
                    <w:t>250</w:t>
                  </w:r>
                </w:p>
              </w:tc>
              <w:tc>
                <w:tcPr>
                  <w:tcW w:w="928" w:type="pct"/>
                  <w:vAlign w:val="center"/>
                </w:tcPr>
                <w:p w14:paraId="38E25BE0">
                  <w:pPr>
                    <w:widowControl/>
                    <w:jc w:val="center"/>
                    <w:rPr>
                      <w:rFonts w:cs="宋体"/>
                      <w:kern w:val="0"/>
                      <w:szCs w:val="22"/>
                    </w:rPr>
                  </w:pPr>
                  <w:r>
                    <w:rPr>
                      <w:rFonts w:hint="eastAsia" w:cs="宋体"/>
                      <w:kern w:val="0"/>
                      <w:szCs w:val="22"/>
                    </w:rPr>
                    <w:t xml:space="preserve">0.021 </w:t>
                  </w:r>
                </w:p>
              </w:tc>
            </w:tr>
            <w:tr w14:paraId="18F52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089FF9F8">
                  <w:pPr>
                    <w:widowControl/>
                    <w:jc w:val="center"/>
                    <w:rPr>
                      <w:rFonts w:cs="Calibri"/>
                      <w:kern w:val="0"/>
                      <w:szCs w:val="22"/>
                    </w:rPr>
                  </w:pPr>
                </w:p>
              </w:tc>
              <w:tc>
                <w:tcPr>
                  <w:tcW w:w="909" w:type="pct"/>
                  <w:vAlign w:val="center"/>
                </w:tcPr>
                <w:p w14:paraId="7C45599C">
                  <w:pPr>
                    <w:widowControl/>
                    <w:jc w:val="center"/>
                    <w:rPr>
                      <w:rFonts w:cs="Calibri"/>
                      <w:kern w:val="0"/>
                      <w:szCs w:val="22"/>
                    </w:rPr>
                  </w:pPr>
                  <w:r>
                    <w:rPr>
                      <w:rFonts w:cs="Calibri"/>
                      <w:kern w:val="0"/>
                      <w:szCs w:val="22"/>
                    </w:rPr>
                    <w:t>色度</w:t>
                  </w:r>
                </w:p>
              </w:tc>
              <w:tc>
                <w:tcPr>
                  <w:tcW w:w="752" w:type="pct"/>
                  <w:vAlign w:val="center"/>
                </w:tcPr>
                <w:p w14:paraId="0B8BB08F">
                  <w:pPr>
                    <w:widowControl/>
                    <w:jc w:val="center"/>
                    <w:rPr>
                      <w:rFonts w:cs="Calibri"/>
                      <w:kern w:val="0"/>
                      <w:szCs w:val="22"/>
                    </w:rPr>
                  </w:pPr>
                  <w:r>
                    <w:rPr>
                      <w:rFonts w:cs="Calibri"/>
                      <w:kern w:val="0"/>
                      <w:szCs w:val="22"/>
                    </w:rPr>
                    <w:t>度</w:t>
                  </w:r>
                </w:p>
              </w:tc>
              <w:tc>
                <w:tcPr>
                  <w:tcW w:w="1252" w:type="pct"/>
                  <w:vAlign w:val="center"/>
                </w:tcPr>
                <w:p w14:paraId="09010D3C">
                  <w:pPr>
                    <w:widowControl/>
                    <w:jc w:val="center"/>
                    <w:rPr>
                      <w:rFonts w:cs="Calibri"/>
                      <w:kern w:val="0"/>
                      <w:szCs w:val="22"/>
                    </w:rPr>
                  </w:pPr>
                  <w:r>
                    <w:rPr>
                      <w:rFonts w:cs="Calibri"/>
                      <w:kern w:val="0"/>
                      <w:szCs w:val="22"/>
                    </w:rPr>
                    <w:t>5L</w:t>
                  </w:r>
                </w:p>
              </w:tc>
              <w:tc>
                <w:tcPr>
                  <w:tcW w:w="669" w:type="pct"/>
                  <w:vAlign w:val="center"/>
                </w:tcPr>
                <w:p w14:paraId="08655B84">
                  <w:pPr>
                    <w:widowControl/>
                    <w:jc w:val="center"/>
                    <w:rPr>
                      <w:rFonts w:cs="Calibri"/>
                      <w:kern w:val="0"/>
                      <w:szCs w:val="22"/>
                    </w:rPr>
                  </w:pPr>
                  <w:r>
                    <w:rPr>
                      <w:rFonts w:cs="Calibri"/>
                      <w:kern w:val="0"/>
                      <w:szCs w:val="22"/>
                    </w:rPr>
                    <w:t>15</w:t>
                  </w:r>
                </w:p>
              </w:tc>
              <w:tc>
                <w:tcPr>
                  <w:tcW w:w="928" w:type="pct"/>
                  <w:vAlign w:val="center"/>
                </w:tcPr>
                <w:p w14:paraId="33748A94">
                  <w:pPr>
                    <w:widowControl/>
                    <w:jc w:val="center"/>
                    <w:rPr>
                      <w:rFonts w:cs="Calibri"/>
                      <w:kern w:val="0"/>
                      <w:szCs w:val="22"/>
                    </w:rPr>
                  </w:pPr>
                  <w:r>
                    <w:rPr>
                      <w:rFonts w:cs="Calibri"/>
                      <w:kern w:val="0"/>
                      <w:szCs w:val="22"/>
                    </w:rPr>
                    <w:t>/</w:t>
                  </w:r>
                </w:p>
              </w:tc>
            </w:tr>
            <w:tr w14:paraId="421A6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11274707">
                  <w:pPr>
                    <w:widowControl/>
                    <w:jc w:val="center"/>
                    <w:rPr>
                      <w:rFonts w:cs="Calibri"/>
                      <w:kern w:val="0"/>
                      <w:szCs w:val="22"/>
                    </w:rPr>
                  </w:pPr>
                </w:p>
              </w:tc>
              <w:tc>
                <w:tcPr>
                  <w:tcW w:w="909" w:type="pct"/>
                  <w:vAlign w:val="center"/>
                </w:tcPr>
                <w:p w14:paraId="2ADC8028">
                  <w:pPr>
                    <w:widowControl/>
                    <w:jc w:val="center"/>
                    <w:rPr>
                      <w:rFonts w:cs="Calibri"/>
                      <w:kern w:val="0"/>
                      <w:szCs w:val="22"/>
                    </w:rPr>
                  </w:pPr>
                  <w:r>
                    <w:rPr>
                      <w:rFonts w:cs="Calibri"/>
                      <w:kern w:val="0"/>
                      <w:szCs w:val="22"/>
                    </w:rPr>
                    <w:t>浊度</w:t>
                  </w:r>
                </w:p>
              </w:tc>
              <w:tc>
                <w:tcPr>
                  <w:tcW w:w="752" w:type="pct"/>
                  <w:vAlign w:val="center"/>
                </w:tcPr>
                <w:p w14:paraId="682D433D">
                  <w:pPr>
                    <w:widowControl/>
                    <w:jc w:val="center"/>
                    <w:rPr>
                      <w:rFonts w:cs="Calibri"/>
                      <w:kern w:val="0"/>
                      <w:szCs w:val="22"/>
                    </w:rPr>
                  </w:pPr>
                  <w:r>
                    <w:rPr>
                      <w:rFonts w:cs="Calibri"/>
                      <w:kern w:val="0"/>
                      <w:szCs w:val="22"/>
                    </w:rPr>
                    <w:t>NTU</w:t>
                  </w:r>
                </w:p>
              </w:tc>
              <w:tc>
                <w:tcPr>
                  <w:tcW w:w="1252" w:type="pct"/>
                  <w:vAlign w:val="center"/>
                </w:tcPr>
                <w:p w14:paraId="2B796AA8">
                  <w:pPr>
                    <w:widowControl/>
                    <w:jc w:val="center"/>
                    <w:rPr>
                      <w:rFonts w:cs="Calibri"/>
                      <w:kern w:val="0"/>
                      <w:szCs w:val="22"/>
                    </w:rPr>
                  </w:pPr>
                  <w:r>
                    <w:rPr>
                      <w:rFonts w:cs="Calibri"/>
                      <w:kern w:val="0"/>
                      <w:szCs w:val="22"/>
                    </w:rPr>
                    <w:t>2.8</w:t>
                  </w:r>
                </w:p>
              </w:tc>
              <w:tc>
                <w:tcPr>
                  <w:tcW w:w="669" w:type="pct"/>
                  <w:vAlign w:val="center"/>
                </w:tcPr>
                <w:p w14:paraId="6BFD6D4B">
                  <w:pPr>
                    <w:widowControl/>
                    <w:jc w:val="center"/>
                    <w:rPr>
                      <w:rFonts w:cs="Calibri"/>
                      <w:kern w:val="0"/>
                      <w:szCs w:val="22"/>
                    </w:rPr>
                  </w:pPr>
                  <w:r>
                    <w:rPr>
                      <w:rFonts w:cs="Calibri"/>
                      <w:kern w:val="0"/>
                      <w:szCs w:val="22"/>
                    </w:rPr>
                    <w:t>3</w:t>
                  </w:r>
                </w:p>
              </w:tc>
              <w:tc>
                <w:tcPr>
                  <w:tcW w:w="928" w:type="pct"/>
                  <w:vAlign w:val="center"/>
                </w:tcPr>
                <w:p w14:paraId="7456D446">
                  <w:pPr>
                    <w:widowControl/>
                    <w:jc w:val="center"/>
                    <w:rPr>
                      <w:rFonts w:cs="宋体"/>
                      <w:kern w:val="0"/>
                      <w:szCs w:val="22"/>
                    </w:rPr>
                  </w:pPr>
                  <w:r>
                    <w:rPr>
                      <w:rFonts w:hint="eastAsia" w:cs="宋体"/>
                      <w:kern w:val="0"/>
                      <w:szCs w:val="22"/>
                    </w:rPr>
                    <w:t xml:space="preserve">0.93 </w:t>
                  </w:r>
                </w:p>
              </w:tc>
            </w:tr>
            <w:tr w14:paraId="2741B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0B2E9528">
                  <w:pPr>
                    <w:widowControl/>
                    <w:jc w:val="center"/>
                    <w:rPr>
                      <w:rFonts w:cs="Calibri"/>
                      <w:kern w:val="0"/>
                      <w:szCs w:val="22"/>
                    </w:rPr>
                  </w:pPr>
                </w:p>
              </w:tc>
              <w:tc>
                <w:tcPr>
                  <w:tcW w:w="909" w:type="pct"/>
                  <w:vAlign w:val="center"/>
                </w:tcPr>
                <w:p w14:paraId="151CE19F">
                  <w:pPr>
                    <w:widowControl/>
                    <w:jc w:val="center"/>
                    <w:rPr>
                      <w:rFonts w:cs="Calibri"/>
                      <w:kern w:val="0"/>
                      <w:szCs w:val="22"/>
                    </w:rPr>
                  </w:pPr>
                  <w:r>
                    <w:rPr>
                      <w:rFonts w:cs="Calibri"/>
                      <w:kern w:val="0"/>
                      <w:szCs w:val="22"/>
                    </w:rPr>
                    <w:t>pH值</w:t>
                  </w:r>
                </w:p>
              </w:tc>
              <w:tc>
                <w:tcPr>
                  <w:tcW w:w="752" w:type="pct"/>
                  <w:vAlign w:val="center"/>
                </w:tcPr>
                <w:p w14:paraId="10084C2F">
                  <w:pPr>
                    <w:widowControl/>
                    <w:jc w:val="center"/>
                    <w:rPr>
                      <w:rFonts w:cs="Calibri"/>
                      <w:kern w:val="0"/>
                      <w:szCs w:val="22"/>
                    </w:rPr>
                  </w:pPr>
                  <w:r>
                    <w:rPr>
                      <w:rFonts w:cs="Calibri"/>
                      <w:kern w:val="0"/>
                      <w:szCs w:val="22"/>
                    </w:rPr>
                    <w:t>无量纲</w:t>
                  </w:r>
                </w:p>
              </w:tc>
              <w:tc>
                <w:tcPr>
                  <w:tcW w:w="1252" w:type="pct"/>
                  <w:vAlign w:val="center"/>
                </w:tcPr>
                <w:p w14:paraId="295F5C20">
                  <w:pPr>
                    <w:widowControl/>
                    <w:jc w:val="center"/>
                    <w:rPr>
                      <w:rFonts w:cs="Calibri"/>
                      <w:kern w:val="0"/>
                      <w:szCs w:val="22"/>
                    </w:rPr>
                  </w:pPr>
                  <w:r>
                    <w:rPr>
                      <w:rFonts w:cs="Calibri"/>
                      <w:kern w:val="0"/>
                      <w:szCs w:val="22"/>
                    </w:rPr>
                    <w:t>7.2</w:t>
                  </w:r>
                </w:p>
              </w:tc>
              <w:tc>
                <w:tcPr>
                  <w:tcW w:w="669" w:type="pct"/>
                  <w:vAlign w:val="center"/>
                </w:tcPr>
                <w:p w14:paraId="4A5E022E">
                  <w:pPr>
                    <w:widowControl/>
                    <w:jc w:val="center"/>
                    <w:rPr>
                      <w:rFonts w:cs="Calibri"/>
                      <w:kern w:val="0"/>
                      <w:szCs w:val="22"/>
                    </w:rPr>
                  </w:pPr>
                  <w:r>
                    <w:rPr>
                      <w:rFonts w:cs="Calibri"/>
                      <w:kern w:val="0"/>
                      <w:szCs w:val="22"/>
                    </w:rPr>
                    <w:t>6.5-8.5</w:t>
                  </w:r>
                </w:p>
              </w:tc>
              <w:tc>
                <w:tcPr>
                  <w:tcW w:w="928" w:type="pct"/>
                  <w:vAlign w:val="center"/>
                </w:tcPr>
                <w:p w14:paraId="13866E4A">
                  <w:pPr>
                    <w:widowControl/>
                    <w:jc w:val="center"/>
                    <w:rPr>
                      <w:rFonts w:cs="宋体"/>
                      <w:kern w:val="0"/>
                      <w:szCs w:val="22"/>
                    </w:rPr>
                  </w:pPr>
                  <w:r>
                    <w:rPr>
                      <w:rFonts w:hint="eastAsia" w:cs="宋体"/>
                      <w:kern w:val="0"/>
                      <w:szCs w:val="22"/>
                    </w:rPr>
                    <w:t xml:space="preserve">0.13 </w:t>
                  </w:r>
                </w:p>
              </w:tc>
            </w:tr>
            <w:tr w14:paraId="243A3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1FEDA190">
                  <w:pPr>
                    <w:widowControl/>
                    <w:jc w:val="center"/>
                    <w:rPr>
                      <w:rFonts w:cs="Calibri"/>
                      <w:kern w:val="0"/>
                      <w:szCs w:val="22"/>
                    </w:rPr>
                  </w:pPr>
                </w:p>
              </w:tc>
              <w:tc>
                <w:tcPr>
                  <w:tcW w:w="909" w:type="pct"/>
                  <w:vAlign w:val="center"/>
                </w:tcPr>
                <w:p w14:paraId="7A5BD292">
                  <w:pPr>
                    <w:widowControl/>
                    <w:jc w:val="center"/>
                    <w:rPr>
                      <w:rFonts w:cs="Calibri"/>
                      <w:kern w:val="0"/>
                      <w:szCs w:val="22"/>
                    </w:rPr>
                  </w:pPr>
                  <w:r>
                    <w:rPr>
                      <w:rFonts w:cs="Calibri"/>
                      <w:kern w:val="0"/>
                      <w:szCs w:val="22"/>
                    </w:rPr>
                    <w:t>总硬度</w:t>
                  </w:r>
                </w:p>
              </w:tc>
              <w:tc>
                <w:tcPr>
                  <w:tcW w:w="752" w:type="pct"/>
                  <w:vAlign w:val="center"/>
                </w:tcPr>
                <w:p w14:paraId="2FAA3343">
                  <w:pPr>
                    <w:widowControl/>
                    <w:jc w:val="center"/>
                    <w:rPr>
                      <w:rFonts w:cs="Calibri"/>
                      <w:kern w:val="0"/>
                      <w:szCs w:val="22"/>
                    </w:rPr>
                  </w:pPr>
                  <w:r>
                    <w:rPr>
                      <w:rFonts w:cs="Calibri"/>
                      <w:kern w:val="0"/>
                      <w:szCs w:val="22"/>
                    </w:rPr>
                    <w:t>mg/L</w:t>
                  </w:r>
                </w:p>
              </w:tc>
              <w:tc>
                <w:tcPr>
                  <w:tcW w:w="1252" w:type="pct"/>
                  <w:vAlign w:val="center"/>
                </w:tcPr>
                <w:p w14:paraId="2F7D4D82">
                  <w:pPr>
                    <w:widowControl/>
                    <w:jc w:val="center"/>
                    <w:rPr>
                      <w:rFonts w:cs="Calibri"/>
                      <w:kern w:val="0"/>
                      <w:szCs w:val="22"/>
                    </w:rPr>
                  </w:pPr>
                  <w:r>
                    <w:rPr>
                      <w:rFonts w:cs="Calibri"/>
                      <w:kern w:val="0"/>
                      <w:szCs w:val="22"/>
                    </w:rPr>
                    <w:t>90.8</w:t>
                  </w:r>
                </w:p>
              </w:tc>
              <w:tc>
                <w:tcPr>
                  <w:tcW w:w="669" w:type="pct"/>
                  <w:vAlign w:val="center"/>
                </w:tcPr>
                <w:p w14:paraId="75134898">
                  <w:pPr>
                    <w:widowControl/>
                    <w:jc w:val="center"/>
                    <w:rPr>
                      <w:rFonts w:cs="Calibri"/>
                      <w:kern w:val="0"/>
                      <w:szCs w:val="22"/>
                    </w:rPr>
                  </w:pPr>
                  <w:r>
                    <w:rPr>
                      <w:rFonts w:cs="Calibri"/>
                      <w:kern w:val="0"/>
                      <w:szCs w:val="22"/>
                    </w:rPr>
                    <w:t>450</w:t>
                  </w:r>
                </w:p>
              </w:tc>
              <w:tc>
                <w:tcPr>
                  <w:tcW w:w="928" w:type="pct"/>
                  <w:vAlign w:val="center"/>
                </w:tcPr>
                <w:p w14:paraId="7FD4DD49">
                  <w:pPr>
                    <w:widowControl/>
                    <w:jc w:val="center"/>
                    <w:rPr>
                      <w:rFonts w:cs="宋体"/>
                      <w:kern w:val="0"/>
                      <w:szCs w:val="22"/>
                    </w:rPr>
                  </w:pPr>
                  <w:r>
                    <w:rPr>
                      <w:rFonts w:hint="eastAsia" w:cs="宋体"/>
                      <w:kern w:val="0"/>
                      <w:szCs w:val="22"/>
                    </w:rPr>
                    <w:t xml:space="preserve">0.20 </w:t>
                  </w:r>
                </w:p>
              </w:tc>
            </w:tr>
            <w:tr w14:paraId="0BD7A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67CE0B13">
                  <w:pPr>
                    <w:widowControl/>
                    <w:jc w:val="center"/>
                    <w:rPr>
                      <w:rFonts w:cs="Calibri"/>
                      <w:kern w:val="0"/>
                      <w:szCs w:val="22"/>
                    </w:rPr>
                  </w:pPr>
                </w:p>
              </w:tc>
              <w:tc>
                <w:tcPr>
                  <w:tcW w:w="909" w:type="pct"/>
                  <w:vAlign w:val="center"/>
                </w:tcPr>
                <w:p w14:paraId="668BC166">
                  <w:pPr>
                    <w:widowControl/>
                    <w:jc w:val="center"/>
                    <w:rPr>
                      <w:rFonts w:cs="Calibri"/>
                      <w:kern w:val="0"/>
                      <w:szCs w:val="22"/>
                    </w:rPr>
                  </w:pPr>
                  <w:r>
                    <w:rPr>
                      <w:rFonts w:cs="Calibri"/>
                      <w:kern w:val="0"/>
                      <w:szCs w:val="22"/>
                    </w:rPr>
                    <w:t>溶解性总固体</w:t>
                  </w:r>
                </w:p>
              </w:tc>
              <w:tc>
                <w:tcPr>
                  <w:tcW w:w="752" w:type="pct"/>
                  <w:vAlign w:val="center"/>
                </w:tcPr>
                <w:p w14:paraId="1A875CAB">
                  <w:pPr>
                    <w:widowControl/>
                    <w:jc w:val="center"/>
                    <w:rPr>
                      <w:rFonts w:cs="Calibri"/>
                      <w:kern w:val="0"/>
                      <w:szCs w:val="22"/>
                    </w:rPr>
                  </w:pPr>
                  <w:r>
                    <w:rPr>
                      <w:rFonts w:cs="Calibri"/>
                      <w:kern w:val="0"/>
                      <w:szCs w:val="22"/>
                    </w:rPr>
                    <w:t>mg/L</w:t>
                  </w:r>
                </w:p>
              </w:tc>
              <w:tc>
                <w:tcPr>
                  <w:tcW w:w="1252" w:type="pct"/>
                  <w:vAlign w:val="center"/>
                </w:tcPr>
                <w:p w14:paraId="55FAD433">
                  <w:pPr>
                    <w:widowControl/>
                    <w:jc w:val="center"/>
                    <w:rPr>
                      <w:rFonts w:cs="Calibri"/>
                      <w:kern w:val="0"/>
                      <w:szCs w:val="22"/>
                    </w:rPr>
                  </w:pPr>
                  <w:r>
                    <w:rPr>
                      <w:rFonts w:cs="Calibri"/>
                      <w:kern w:val="0"/>
                      <w:szCs w:val="22"/>
                    </w:rPr>
                    <w:t>151</w:t>
                  </w:r>
                </w:p>
              </w:tc>
              <w:tc>
                <w:tcPr>
                  <w:tcW w:w="669" w:type="pct"/>
                  <w:vAlign w:val="center"/>
                </w:tcPr>
                <w:p w14:paraId="12AB9EB1">
                  <w:pPr>
                    <w:widowControl/>
                    <w:jc w:val="center"/>
                    <w:rPr>
                      <w:rFonts w:cs="Calibri"/>
                      <w:kern w:val="0"/>
                      <w:szCs w:val="22"/>
                    </w:rPr>
                  </w:pPr>
                  <w:r>
                    <w:rPr>
                      <w:rFonts w:cs="Calibri"/>
                      <w:kern w:val="0"/>
                      <w:szCs w:val="22"/>
                    </w:rPr>
                    <w:t>1000</w:t>
                  </w:r>
                </w:p>
              </w:tc>
              <w:tc>
                <w:tcPr>
                  <w:tcW w:w="928" w:type="pct"/>
                  <w:vAlign w:val="center"/>
                </w:tcPr>
                <w:p w14:paraId="5CF3B0EF">
                  <w:pPr>
                    <w:widowControl/>
                    <w:jc w:val="center"/>
                    <w:rPr>
                      <w:rFonts w:cs="宋体"/>
                      <w:kern w:val="0"/>
                      <w:szCs w:val="22"/>
                    </w:rPr>
                  </w:pPr>
                  <w:r>
                    <w:rPr>
                      <w:rFonts w:hint="eastAsia" w:cs="宋体"/>
                      <w:kern w:val="0"/>
                      <w:szCs w:val="22"/>
                    </w:rPr>
                    <w:t xml:space="preserve">0.15 </w:t>
                  </w:r>
                </w:p>
              </w:tc>
            </w:tr>
            <w:tr w14:paraId="5A8E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6B88A414">
                  <w:pPr>
                    <w:widowControl/>
                    <w:jc w:val="center"/>
                    <w:rPr>
                      <w:rFonts w:cs="Calibri"/>
                      <w:kern w:val="0"/>
                      <w:szCs w:val="22"/>
                    </w:rPr>
                  </w:pPr>
                </w:p>
              </w:tc>
              <w:tc>
                <w:tcPr>
                  <w:tcW w:w="909" w:type="pct"/>
                  <w:vAlign w:val="center"/>
                </w:tcPr>
                <w:p w14:paraId="740B90EB">
                  <w:pPr>
                    <w:widowControl/>
                    <w:jc w:val="center"/>
                    <w:rPr>
                      <w:rFonts w:cs="Calibri"/>
                      <w:kern w:val="0"/>
                      <w:szCs w:val="22"/>
                    </w:rPr>
                  </w:pPr>
                  <w:r>
                    <w:rPr>
                      <w:rFonts w:cs="Calibri"/>
                      <w:kern w:val="0"/>
                      <w:szCs w:val="22"/>
                    </w:rPr>
                    <w:t>铁</w:t>
                  </w:r>
                </w:p>
              </w:tc>
              <w:tc>
                <w:tcPr>
                  <w:tcW w:w="752" w:type="pct"/>
                  <w:vAlign w:val="center"/>
                </w:tcPr>
                <w:p w14:paraId="7AC378BC">
                  <w:pPr>
                    <w:widowControl/>
                    <w:jc w:val="center"/>
                    <w:rPr>
                      <w:rFonts w:cs="Calibri"/>
                      <w:kern w:val="0"/>
                      <w:szCs w:val="22"/>
                    </w:rPr>
                  </w:pPr>
                  <w:r>
                    <w:rPr>
                      <w:rFonts w:cs="Calibri"/>
                      <w:kern w:val="0"/>
                      <w:szCs w:val="22"/>
                    </w:rPr>
                    <w:t>mg/L</w:t>
                  </w:r>
                </w:p>
              </w:tc>
              <w:tc>
                <w:tcPr>
                  <w:tcW w:w="1252" w:type="pct"/>
                  <w:vAlign w:val="center"/>
                </w:tcPr>
                <w:p w14:paraId="37FBBDC2">
                  <w:pPr>
                    <w:widowControl/>
                    <w:jc w:val="center"/>
                    <w:rPr>
                      <w:rFonts w:cs="Calibri"/>
                      <w:kern w:val="0"/>
                      <w:szCs w:val="22"/>
                    </w:rPr>
                  </w:pPr>
                  <w:r>
                    <w:rPr>
                      <w:rFonts w:cs="Calibri"/>
                      <w:kern w:val="0"/>
                      <w:szCs w:val="22"/>
                    </w:rPr>
                    <w:t>0.15</w:t>
                  </w:r>
                </w:p>
              </w:tc>
              <w:tc>
                <w:tcPr>
                  <w:tcW w:w="669" w:type="pct"/>
                  <w:vAlign w:val="center"/>
                </w:tcPr>
                <w:p w14:paraId="4FAB7FE3">
                  <w:pPr>
                    <w:widowControl/>
                    <w:jc w:val="center"/>
                    <w:rPr>
                      <w:rFonts w:cs="Calibri"/>
                      <w:kern w:val="0"/>
                      <w:szCs w:val="22"/>
                    </w:rPr>
                  </w:pPr>
                  <w:r>
                    <w:rPr>
                      <w:rFonts w:cs="Calibri"/>
                      <w:kern w:val="0"/>
                      <w:szCs w:val="22"/>
                    </w:rPr>
                    <w:t>0.3</w:t>
                  </w:r>
                </w:p>
              </w:tc>
              <w:tc>
                <w:tcPr>
                  <w:tcW w:w="928" w:type="pct"/>
                  <w:vAlign w:val="center"/>
                </w:tcPr>
                <w:p w14:paraId="0155FB17">
                  <w:pPr>
                    <w:widowControl/>
                    <w:jc w:val="center"/>
                    <w:rPr>
                      <w:rFonts w:cs="宋体"/>
                      <w:kern w:val="0"/>
                      <w:szCs w:val="22"/>
                    </w:rPr>
                  </w:pPr>
                  <w:r>
                    <w:rPr>
                      <w:rFonts w:hint="eastAsia" w:cs="宋体"/>
                      <w:kern w:val="0"/>
                      <w:szCs w:val="22"/>
                    </w:rPr>
                    <w:t>0.5</w:t>
                  </w:r>
                </w:p>
              </w:tc>
            </w:tr>
            <w:tr w14:paraId="1B58E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1FAFD432">
                  <w:pPr>
                    <w:widowControl/>
                    <w:jc w:val="center"/>
                    <w:rPr>
                      <w:rFonts w:cs="Calibri"/>
                      <w:kern w:val="0"/>
                      <w:szCs w:val="22"/>
                    </w:rPr>
                  </w:pPr>
                </w:p>
              </w:tc>
              <w:tc>
                <w:tcPr>
                  <w:tcW w:w="909" w:type="pct"/>
                  <w:vAlign w:val="center"/>
                </w:tcPr>
                <w:p w14:paraId="376C3CC2">
                  <w:pPr>
                    <w:widowControl/>
                    <w:jc w:val="center"/>
                    <w:rPr>
                      <w:rFonts w:cs="宋体"/>
                      <w:kern w:val="0"/>
                      <w:szCs w:val="22"/>
                    </w:rPr>
                  </w:pPr>
                  <w:r>
                    <w:rPr>
                      <w:rFonts w:hint="eastAsia" w:cs="宋体"/>
                      <w:kern w:val="0"/>
                      <w:szCs w:val="22"/>
                    </w:rPr>
                    <w:t>锰</w:t>
                  </w:r>
                </w:p>
              </w:tc>
              <w:tc>
                <w:tcPr>
                  <w:tcW w:w="752" w:type="pct"/>
                  <w:vAlign w:val="center"/>
                </w:tcPr>
                <w:p w14:paraId="4E63B9F7">
                  <w:pPr>
                    <w:widowControl/>
                    <w:jc w:val="center"/>
                    <w:rPr>
                      <w:rFonts w:cs="Calibri"/>
                      <w:kern w:val="0"/>
                      <w:szCs w:val="22"/>
                    </w:rPr>
                  </w:pPr>
                  <w:r>
                    <w:rPr>
                      <w:rFonts w:cs="Calibri"/>
                      <w:kern w:val="0"/>
                      <w:szCs w:val="22"/>
                    </w:rPr>
                    <w:t>mg/L</w:t>
                  </w:r>
                </w:p>
              </w:tc>
              <w:tc>
                <w:tcPr>
                  <w:tcW w:w="1252" w:type="pct"/>
                  <w:vAlign w:val="center"/>
                </w:tcPr>
                <w:p w14:paraId="62E20A40">
                  <w:pPr>
                    <w:widowControl/>
                    <w:jc w:val="center"/>
                    <w:rPr>
                      <w:rFonts w:cs="Calibri"/>
                      <w:kern w:val="0"/>
                      <w:szCs w:val="22"/>
                    </w:rPr>
                  </w:pPr>
                  <w:r>
                    <w:rPr>
                      <w:rFonts w:cs="Calibri"/>
                      <w:kern w:val="0"/>
                      <w:szCs w:val="22"/>
                    </w:rPr>
                    <w:t>0.01L</w:t>
                  </w:r>
                </w:p>
              </w:tc>
              <w:tc>
                <w:tcPr>
                  <w:tcW w:w="669" w:type="pct"/>
                  <w:vAlign w:val="center"/>
                </w:tcPr>
                <w:p w14:paraId="14B02B12">
                  <w:pPr>
                    <w:widowControl/>
                    <w:jc w:val="center"/>
                    <w:rPr>
                      <w:rFonts w:cs="Calibri"/>
                      <w:kern w:val="0"/>
                      <w:szCs w:val="22"/>
                    </w:rPr>
                  </w:pPr>
                  <w:r>
                    <w:rPr>
                      <w:rFonts w:cs="Calibri"/>
                      <w:kern w:val="0"/>
                      <w:szCs w:val="22"/>
                    </w:rPr>
                    <w:t>0.1</w:t>
                  </w:r>
                </w:p>
              </w:tc>
              <w:tc>
                <w:tcPr>
                  <w:tcW w:w="928" w:type="pct"/>
                  <w:vAlign w:val="center"/>
                </w:tcPr>
                <w:p w14:paraId="457101A5">
                  <w:pPr>
                    <w:widowControl/>
                    <w:jc w:val="center"/>
                    <w:rPr>
                      <w:rFonts w:cs="宋体"/>
                      <w:kern w:val="0"/>
                      <w:szCs w:val="22"/>
                    </w:rPr>
                  </w:pPr>
                  <w:r>
                    <w:rPr>
                      <w:rFonts w:hint="eastAsia" w:cs="宋体"/>
                      <w:kern w:val="0"/>
                      <w:szCs w:val="22"/>
                    </w:rPr>
                    <w:t>0.5</w:t>
                  </w:r>
                </w:p>
              </w:tc>
            </w:tr>
            <w:tr w14:paraId="6869E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3BE0D3EF">
                  <w:pPr>
                    <w:widowControl/>
                    <w:jc w:val="center"/>
                    <w:rPr>
                      <w:rFonts w:cs="Calibri"/>
                      <w:kern w:val="0"/>
                      <w:szCs w:val="22"/>
                    </w:rPr>
                  </w:pPr>
                </w:p>
              </w:tc>
              <w:tc>
                <w:tcPr>
                  <w:tcW w:w="909" w:type="pct"/>
                  <w:vAlign w:val="center"/>
                </w:tcPr>
                <w:p w14:paraId="3B2F5B8E">
                  <w:pPr>
                    <w:widowControl/>
                    <w:jc w:val="center"/>
                    <w:rPr>
                      <w:rFonts w:cs="Calibri"/>
                      <w:kern w:val="0"/>
                      <w:szCs w:val="22"/>
                    </w:rPr>
                  </w:pPr>
                  <w:r>
                    <w:rPr>
                      <w:rFonts w:cs="Calibri"/>
                      <w:kern w:val="0"/>
                      <w:szCs w:val="22"/>
                    </w:rPr>
                    <w:t>铜</w:t>
                  </w:r>
                </w:p>
              </w:tc>
              <w:tc>
                <w:tcPr>
                  <w:tcW w:w="752" w:type="pct"/>
                  <w:vAlign w:val="center"/>
                </w:tcPr>
                <w:p w14:paraId="22D8275C">
                  <w:pPr>
                    <w:widowControl/>
                    <w:jc w:val="center"/>
                    <w:rPr>
                      <w:rFonts w:cs="Calibri"/>
                      <w:kern w:val="0"/>
                      <w:szCs w:val="22"/>
                    </w:rPr>
                  </w:pPr>
                  <w:r>
                    <w:rPr>
                      <w:rFonts w:cs="Calibri"/>
                      <w:kern w:val="0"/>
                      <w:szCs w:val="22"/>
                    </w:rPr>
                    <w:t>mg/L</w:t>
                  </w:r>
                </w:p>
              </w:tc>
              <w:tc>
                <w:tcPr>
                  <w:tcW w:w="1252" w:type="pct"/>
                  <w:vAlign w:val="center"/>
                </w:tcPr>
                <w:p w14:paraId="596AC6EB">
                  <w:pPr>
                    <w:widowControl/>
                    <w:jc w:val="center"/>
                    <w:rPr>
                      <w:rFonts w:cs="Calibri"/>
                      <w:kern w:val="0"/>
                      <w:szCs w:val="22"/>
                    </w:rPr>
                  </w:pPr>
                  <w:r>
                    <w:rPr>
                      <w:rFonts w:cs="Calibri"/>
                      <w:kern w:val="0"/>
                      <w:szCs w:val="22"/>
                    </w:rPr>
                    <w:t>0.05L</w:t>
                  </w:r>
                </w:p>
              </w:tc>
              <w:tc>
                <w:tcPr>
                  <w:tcW w:w="669" w:type="pct"/>
                  <w:vAlign w:val="center"/>
                </w:tcPr>
                <w:p w14:paraId="705DFEAF">
                  <w:pPr>
                    <w:widowControl/>
                    <w:jc w:val="center"/>
                    <w:rPr>
                      <w:rFonts w:cs="Calibri"/>
                      <w:kern w:val="0"/>
                      <w:szCs w:val="22"/>
                    </w:rPr>
                  </w:pPr>
                  <w:r>
                    <w:rPr>
                      <w:rFonts w:cs="Calibri"/>
                      <w:kern w:val="0"/>
                      <w:szCs w:val="22"/>
                    </w:rPr>
                    <w:t>1</w:t>
                  </w:r>
                </w:p>
              </w:tc>
              <w:tc>
                <w:tcPr>
                  <w:tcW w:w="928" w:type="pct"/>
                  <w:vAlign w:val="center"/>
                </w:tcPr>
                <w:p w14:paraId="61006D31">
                  <w:pPr>
                    <w:widowControl/>
                    <w:jc w:val="center"/>
                    <w:rPr>
                      <w:rFonts w:cs="宋体"/>
                      <w:kern w:val="0"/>
                      <w:szCs w:val="22"/>
                    </w:rPr>
                  </w:pPr>
                  <w:r>
                    <w:rPr>
                      <w:rFonts w:hint="eastAsia" w:cs="宋体"/>
                      <w:kern w:val="0"/>
                      <w:szCs w:val="22"/>
                    </w:rPr>
                    <w:t>0.025</w:t>
                  </w:r>
                </w:p>
              </w:tc>
            </w:tr>
            <w:tr w14:paraId="463A8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41D4161B">
                  <w:pPr>
                    <w:widowControl/>
                    <w:jc w:val="center"/>
                    <w:rPr>
                      <w:rFonts w:cs="Calibri"/>
                      <w:kern w:val="0"/>
                      <w:szCs w:val="22"/>
                    </w:rPr>
                  </w:pPr>
                </w:p>
              </w:tc>
              <w:tc>
                <w:tcPr>
                  <w:tcW w:w="909" w:type="pct"/>
                  <w:vAlign w:val="center"/>
                </w:tcPr>
                <w:p w14:paraId="0060EA18">
                  <w:pPr>
                    <w:widowControl/>
                    <w:jc w:val="center"/>
                    <w:rPr>
                      <w:rFonts w:cs="宋体"/>
                      <w:kern w:val="0"/>
                      <w:szCs w:val="22"/>
                    </w:rPr>
                  </w:pPr>
                  <w:r>
                    <w:rPr>
                      <w:rFonts w:hint="eastAsia" w:cs="宋体"/>
                      <w:kern w:val="0"/>
                      <w:szCs w:val="22"/>
                    </w:rPr>
                    <w:t>锌</w:t>
                  </w:r>
                </w:p>
              </w:tc>
              <w:tc>
                <w:tcPr>
                  <w:tcW w:w="752" w:type="pct"/>
                  <w:vAlign w:val="center"/>
                </w:tcPr>
                <w:p w14:paraId="21015DDB">
                  <w:pPr>
                    <w:widowControl/>
                    <w:jc w:val="center"/>
                    <w:rPr>
                      <w:rFonts w:cs="Calibri"/>
                      <w:kern w:val="0"/>
                      <w:szCs w:val="22"/>
                    </w:rPr>
                  </w:pPr>
                  <w:r>
                    <w:rPr>
                      <w:rFonts w:cs="Calibri"/>
                      <w:kern w:val="0"/>
                      <w:szCs w:val="22"/>
                    </w:rPr>
                    <w:t>mg/L</w:t>
                  </w:r>
                </w:p>
              </w:tc>
              <w:tc>
                <w:tcPr>
                  <w:tcW w:w="1252" w:type="pct"/>
                  <w:vAlign w:val="center"/>
                </w:tcPr>
                <w:p w14:paraId="4C7A6ACF">
                  <w:pPr>
                    <w:widowControl/>
                    <w:jc w:val="center"/>
                    <w:rPr>
                      <w:rFonts w:cs="Calibri"/>
                      <w:kern w:val="0"/>
                      <w:szCs w:val="22"/>
                    </w:rPr>
                  </w:pPr>
                  <w:r>
                    <w:rPr>
                      <w:rFonts w:cs="Calibri"/>
                      <w:kern w:val="0"/>
                      <w:szCs w:val="22"/>
                    </w:rPr>
                    <w:t>0.02L</w:t>
                  </w:r>
                </w:p>
              </w:tc>
              <w:tc>
                <w:tcPr>
                  <w:tcW w:w="669" w:type="pct"/>
                  <w:vAlign w:val="center"/>
                </w:tcPr>
                <w:p w14:paraId="0F605DAB">
                  <w:pPr>
                    <w:widowControl/>
                    <w:jc w:val="center"/>
                    <w:rPr>
                      <w:rFonts w:cs="Calibri"/>
                      <w:kern w:val="0"/>
                      <w:szCs w:val="22"/>
                    </w:rPr>
                  </w:pPr>
                  <w:r>
                    <w:rPr>
                      <w:rFonts w:cs="Calibri"/>
                      <w:kern w:val="0"/>
                      <w:szCs w:val="22"/>
                    </w:rPr>
                    <w:t>1</w:t>
                  </w:r>
                </w:p>
              </w:tc>
              <w:tc>
                <w:tcPr>
                  <w:tcW w:w="928" w:type="pct"/>
                  <w:vAlign w:val="center"/>
                </w:tcPr>
                <w:p w14:paraId="7EF6341F">
                  <w:pPr>
                    <w:widowControl/>
                    <w:jc w:val="center"/>
                    <w:rPr>
                      <w:rFonts w:cs="宋体"/>
                      <w:kern w:val="0"/>
                      <w:szCs w:val="22"/>
                    </w:rPr>
                  </w:pPr>
                  <w:r>
                    <w:rPr>
                      <w:rFonts w:hint="eastAsia" w:cs="宋体"/>
                      <w:kern w:val="0"/>
                      <w:szCs w:val="22"/>
                    </w:rPr>
                    <w:t>0.01</w:t>
                  </w:r>
                </w:p>
              </w:tc>
            </w:tr>
            <w:tr w14:paraId="4916B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4DB2D7AC">
                  <w:pPr>
                    <w:widowControl/>
                    <w:jc w:val="center"/>
                    <w:rPr>
                      <w:rFonts w:cs="Calibri"/>
                      <w:kern w:val="0"/>
                      <w:szCs w:val="22"/>
                    </w:rPr>
                  </w:pPr>
                </w:p>
              </w:tc>
              <w:tc>
                <w:tcPr>
                  <w:tcW w:w="909" w:type="pct"/>
                  <w:vAlign w:val="center"/>
                </w:tcPr>
                <w:p w14:paraId="6108B241">
                  <w:pPr>
                    <w:widowControl/>
                    <w:jc w:val="center"/>
                    <w:rPr>
                      <w:rFonts w:cs="Calibri"/>
                      <w:kern w:val="0"/>
                      <w:szCs w:val="22"/>
                    </w:rPr>
                  </w:pPr>
                  <w:r>
                    <w:rPr>
                      <w:rFonts w:cs="Calibri"/>
                      <w:kern w:val="0"/>
                      <w:szCs w:val="22"/>
                    </w:rPr>
                    <w:t>铝</w:t>
                  </w:r>
                </w:p>
              </w:tc>
              <w:tc>
                <w:tcPr>
                  <w:tcW w:w="752" w:type="pct"/>
                  <w:vAlign w:val="center"/>
                </w:tcPr>
                <w:p w14:paraId="25AB6079">
                  <w:pPr>
                    <w:widowControl/>
                    <w:jc w:val="center"/>
                    <w:rPr>
                      <w:rFonts w:cs="Calibri"/>
                      <w:kern w:val="0"/>
                      <w:szCs w:val="22"/>
                    </w:rPr>
                  </w:pPr>
                  <w:r>
                    <w:rPr>
                      <w:rFonts w:cs="Calibri"/>
                      <w:kern w:val="0"/>
                      <w:szCs w:val="22"/>
                    </w:rPr>
                    <w:t>mg/L</w:t>
                  </w:r>
                </w:p>
              </w:tc>
              <w:tc>
                <w:tcPr>
                  <w:tcW w:w="1252" w:type="pct"/>
                  <w:vAlign w:val="center"/>
                </w:tcPr>
                <w:p w14:paraId="3AA0DB46">
                  <w:pPr>
                    <w:widowControl/>
                    <w:jc w:val="center"/>
                    <w:rPr>
                      <w:rFonts w:cs="Calibri"/>
                      <w:kern w:val="0"/>
                      <w:szCs w:val="22"/>
                    </w:rPr>
                  </w:pPr>
                  <w:r>
                    <w:rPr>
                      <w:rFonts w:cs="Calibri"/>
                      <w:kern w:val="0"/>
                      <w:szCs w:val="22"/>
                    </w:rPr>
                    <w:t>0.042</w:t>
                  </w:r>
                </w:p>
              </w:tc>
              <w:tc>
                <w:tcPr>
                  <w:tcW w:w="669" w:type="pct"/>
                  <w:vAlign w:val="center"/>
                </w:tcPr>
                <w:p w14:paraId="4808D3B0">
                  <w:pPr>
                    <w:widowControl/>
                    <w:jc w:val="center"/>
                    <w:rPr>
                      <w:rFonts w:cs="Calibri"/>
                      <w:kern w:val="0"/>
                      <w:szCs w:val="22"/>
                    </w:rPr>
                  </w:pPr>
                  <w:r>
                    <w:rPr>
                      <w:rFonts w:cs="Calibri"/>
                      <w:kern w:val="0"/>
                      <w:szCs w:val="22"/>
                    </w:rPr>
                    <w:t>0.2</w:t>
                  </w:r>
                </w:p>
              </w:tc>
              <w:tc>
                <w:tcPr>
                  <w:tcW w:w="928" w:type="pct"/>
                  <w:vAlign w:val="center"/>
                </w:tcPr>
                <w:p w14:paraId="15ADD6D0">
                  <w:pPr>
                    <w:widowControl/>
                    <w:jc w:val="center"/>
                    <w:rPr>
                      <w:rFonts w:cs="宋体"/>
                      <w:kern w:val="0"/>
                      <w:szCs w:val="22"/>
                    </w:rPr>
                  </w:pPr>
                  <w:r>
                    <w:rPr>
                      <w:rFonts w:hint="eastAsia" w:cs="宋体"/>
                      <w:kern w:val="0"/>
                      <w:szCs w:val="22"/>
                    </w:rPr>
                    <w:t>0.21</w:t>
                  </w:r>
                </w:p>
              </w:tc>
            </w:tr>
            <w:tr w14:paraId="50D7B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0730F0AA">
                  <w:pPr>
                    <w:widowControl/>
                    <w:jc w:val="center"/>
                    <w:rPr>
                      <w:rFonts w:cs="Calibri"/>
                      <w:kern w:val="0"/>
                      <w:szCs w:val="22"/>
                    </w:rPr>
                  </w:pPr>
                </w:p>
              </w:tc>
              <w:tc>
                <w:tcPr>
                  <w:tcW w:w="909" w:type="pct"/>
                  <w:vAlign w:val="center"/>
                </w:tcPr>
                <w:p w14:paraId="7B8D6C84">
                  <w:pPr>
                    <w:widowControl/>
                    <w:jc w:val="center"/>
                    <w:rPr>
                      <w:rFonts w:cs="Calibri"/>
                      <w:kern w:val="0"/>
                      <w:szCs w:val="22"/>
                    </w:rPr>
                  </w:pPr>
                  <w:r>
                    <w:rPr>
                      <w:rFonts w:cs="Calibri"/>
                      <w:kern w:val="0"/>
                      <w:szCs w:val="22"/>
                    </w:rPr>
                    <w:t>挥发酚</w:t>
                  </w:r>
                </w:p>
              </w:tc>
              <w:tc>
                <w:tcPr>
                  <w:tcW w:w="752" w:type="pct"/>
                  <w:vAlign w:val="center"/>
                </w:tcPr>
                <w:p w14:paraId="7B88FE15">
                  <w:pPr>
                    <w:widowControl/>
                    <w:jc w:val="center"/>
                    <w:rPr>
                      <w:rFonts w:cs="Calibri"/>
                      <w:kern w:val="0"/>
                      <w:szCs w:val="22"/>
                    </w:rPr>
                  </w:pPr>
                  <w:r>
                    <w:rPr>
                      <w:rFonts w:cs="Calibri"/>
                      <w:kern w:val="0"/>
                      <w:szCs w:val="22"/>
                    </w:rPr>
                    <w:t>mg/L</w:t>
                  </w:r>
                </w:p>
              </w:tc>
              <w:tc>
                <w:tcPr>
                  <w:tcW w:w="1252" w:type="pct"/>
                  <w:vAlign w:val="center"/>
                </w:tcPr>
                <w:p w14:paraId="51886ED4">
                  <w:pPr>
                    <w:widowControl/>
                    <w:jc w:val="center"/>
                    <w:rPr>
                      <w:rFonts w:cs="Calibri"/>
                      <w:kern w:val="0"/>
                      <w:szCs w:val="22"/>
                    </w:rPr>
                  </w:pPr>
                  <w:r>
                    <w:rPr>
                      <w:rFonts w:cs="Calibri"/>
                      <w:kern w:val="0"/>
                      <w:szCs w:val="22"/>
                    </w:rPr>
                    <w:t>0.0003L</w:t>
                  </w:r>
                </w:p>
              </w:tc>
              <w:tc>
                <w:tcPr>
                  <w:tcW w:w="669" w:type="pct"/>
                  <w:vAlign w:val="center"/>
                </w:tcPr>
                <w:p w14:paraId="7A1096F3">
                  <w:pPr>
                    <w:widowControl/>
                    <w:jc w:val="center"/>
                    <w:rPr>
                      <w:rFonts w:cs="Calibri"/>
                      <w:kern w:val="0"/>
                      <w:szCs w:val="22"/>
                    </w:rPr>
                  </w:pPr>
                  <w:r>
                    <w:rPr>
                      <w:rFonts w:cs="Calibri"/>
                      <w:kern w:val="0"/>
                      <w:szCs w:val="22"/>
                    </w:rPr>
                    <w:t>0.002</w:t>
                  </w:r>
                </w:p>
              </w:tc>
              <w:tc>
                <w:tcPr>
                  <w:tcW w:w="928" w:type="pct"/>
                  <w:vAlign w:val="center"/>
                </w:tcPr>
                <w:p w14:paraId="697BE39B">
                  <w:pPr>
                    <w:widowControl/>
                    <w:jc w:val="center"/>
                    <w:rPr>
                      <w:rFonts w:cs="宋体"/>
                      <w:kern w:val="0"/>
                      <w:szCs w:val="22"/>
                    </w:rPr>
                  </w:pPr>
                  <w:r>
                    <w:rPr>
                      <w:rFonts w:hint="eastAsia" w:cs="宋体"/>
                      <w:kern w:val="0"/>
                      <w:szCs w:val="22"/>
                    </w:rPr>
                    <w:t xml:space="preserve">0.038 </w:t>
                  </w:r>
                </w:p>
              </w:tc>
            </w:tr>
            <w:tr w14:paraId="760F7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7DAAC14B">
                  <w:pPr>
                    <w:widowControl/>
                    <w:jc w:val="center"/>
                    <w:rPr>
                      <w:rFonts w:cs="Calibri"/>
                      <w:kern w:val="0"/>
                      <w:szCs w:val="22"/>
                    </w:rPr>
                  </w:pPr>
                </w:p>
              </w:tc>
              <w:tc>
                <w:tcPr>
                  <w:tcW w:w="909" w:type="pct"/>
                  <w:vAlign w:val="center"/>
                </w:tcPr>
                <w:p w14:paraId="1AC6549B">
                  <w:pPr>
                    <w:widowControl/>
                    <w:jc w:val="center"/>
                    <w:rPr>
                      <w:rFonts w:cs="Calibri"/>
                      <w:kern w:val="0"/>
                      <w:szCs w:val="22"/>
                    </w:rPr>
                  </w:pPr>
                  <w:r>
                    <w:rPr>
                      <w:rFonts w:cs="Calibri"/>
                      <w:kern w:val="0"/>
                      <w:szCs w:val="22"/>
                    </w:rPr>
                    <w:t>阴离子表面活性剂</w:t>
                  </w:r>
                </w:p>
              </w:tc>
              <w:tc>
                <w:tcPr>
                  <w:tcW w:w="752" w:type="pct"/>
                  <w:vAlign w:val="center"/>
                </w:tcPr>
                <w:p w14:paraId="45A8899D">
                  <w:pPr>
                    <w:widowControl/>
                    <w:jc w:val="center"/>
                    <w:rPr>
                      <w:rFonts w:cs="Calibri"/>
                      <w:kern w:val="0"/>
                      <w:szCs w:val="22"/>
                    </w:rPr>
                  </w:pPr>
                  <w:r>
                    <w:rPr>
                      <w:rFonts w:cs="Calibri"/>
                      <w:kern w:val="0"/>
                      <w:szCs w:val="22"/>
                    </w:rPr>
                    <w:t>mg/L</w:t>
                  </w:r>
                </w:p>
              </w:tc>
              <w:tc>
                <w:tcPr>
                  <w:tcW w:w="1252" w:type="pct"/>
                  <w:vAlign w:val="center"/>
                </w:tcPr>
                <w:p w14:paraId="6DB41490">
                  <w:pPr>
                    <w:widowControl/>
                    <w:jc w:val="center"/>
                    <w:rPr>
                      <w:rFonts w:cs="Calibri"/>
                      <w:kern w:val="0"/>
                      <w:szCs w:val="22"/>
                    </w:rPr>
                  </w:pPr>
                  <w:r>
                    <w:rPr>
                      <w:rFonts w:cs="Calibri"/>
                      <w:kern w:val="0"/>
                      <w:szCs w:val="22"/>
                    </w:rPr>
                    <w:t>0.05L</w:t>
                  </w:r>
                </w:p>
              </w:tc>
              <w:tc>
                <w:tcPr>
                  <w:tcW w:w="669" w:type="pct"/>
                  <w:vAlign w:val="center"/>
                </w:tcPr>
                <w:p w14:paraId="3085D1EC">
                  <w:pPr>
                    <w:widowControl/>
                    <w:jc w:val="center"/>
                    <w:rPr>
                      <w:rFonts w:cs="Calibri"/>
                      <w:kern w:val="0"/>
                      <w:szCs w:val="22"/>
                    </w:rPr>
                  </w:pPr>
                  <w:r>
                    <w:rPr>
                      <w:rFonts w:cs="Calibri"/>
                      <w:kern w:val="0"/>
                      <w:szCs w:val="22"/>
                    </w:rPr>
                    <w:t>0.3</w:t>
                  </w:r>
                </w:p>
              </w:tc>
              <w:tc>
                <w:tcPr>
                  <w:tcW w:w="928" w:type="pct"/>
                  <w:vAlign w:val="center"/>
                </w:tcPr>
                <w:p w14:paraId="18D31D15">
                  <w:pPr>
                    <w:widowControl/>
                    <w:jc w:val="center"/>
                    <w:rPr>
                      <w:rFonts w:cs="宋体"/>
                      <w:kern w:val="0"/>
                      <w:szCs w:val="22"/>
                    </w:rPr>
                  </w:pPr>
                  <w:r>
                    <w:rPr>
                      <w:rFonts w:hint="eastAsia" w:cs="宋体"/>
                      <w:kern w:val="0"/>
                      <w:szCs w:val="22"/>
                    </w:rPr>
                    <w:t xml:space="preserve">0.083 </w:t>
                  </w:r>
                </w:p>
              </w:tc>
            </w:tr>
            <w:tr w14:paraId="79E84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4AC86E3A">
                  <w:pPr>
                    <w:widowControl/>
                    <w:jc w:val="center"/>
                    <w:rPr>
                      <w:rFonts w:cs="Calibri"/>
                      <w:kern w:val="0"/>
                      <w:szCs w:val="22"/>
                    </w:rPr>
                  </w:pPr>
                </w:p>
              </w:tc>
              <w:tc>
                <w:tcPr>
                  <w:tcW w:w="909" w:type="pct"/>
                  <w:vAlign w:val="center"/>
                </w:tcPr>
                <w:p w14:paraId="06397646">
                  <w:pPr>
                    <w:widowControl/>
                    <w:jc w:val="center"/>
                    <w:rPr>
                      <w:rFonts w:cs="Calibri"/>
                      <w:kern w:val="0"/>
                      <w:szCs w:val="22"/>
                    </w:rPr>
                  </w:pPr>
                  <w:r>
                    <w:rPr>
                      <w:rFonts w:cs="Calibri"/>
                      <w:kern w:val="0"/>
                      <w:szCs w:val="22"/>
                    </w:rPr>
                    <w:t>高锰酸盐指数</w:t>
                  </w:r>
                </w:p>
              </w:tc>
              <w:tc>
                <w:tcPr>
                  <w:tcW w:w="752" w:type="pct"/>
                  <w:vAlign w:val="center"/>
                </w:tcPr>
                <w:p w14:paraId="657B0EAE">
                  <w:pPr>
                    <w:widowControl/>
                    <w:jc w:val="center"/>
                    <w:rPr>
                      <w:rFonts w:cs="Calibri"/>
                      <w:kern w:val="0"/>
                      <w:szCs w:val="22"/>
                    </w:rPr>
                  </w:pPr>
                  <w:r>
                    <w:rPr>
                      <w:rFonts w:cs="Calibri"/>
                      <w:kern w:val="0"/>
                      <w:szCs w:val="22"/>
                    </w:rPr>
                    <w:t>mg/L</w:t>
                  </w:r>
                </w:p>
              </w:tc>
              <w:tc>
                <w:tcPr>
                  <w:tcW w:w="1252" w:type="pct"/>
                  <w:vAlign w:val="center"/>
                </w:tcPr>
                <w:p w14:paraId="3CEF0C57">
                  <w:pPr>
                    <w:widowControl/>
                    <w:jc w:val="center"/>
                    <w:rPr>
                      <w:rFonts w:cs="Calibri"/>
                      <w:kern w:val="0"/>
                      <w:szCs w:val="22"/>
                    </w:rPr>
                  </w:pPr>
                  <w:r>
                    <w:rPr>
                      <w:rFonts w:cs="Calibri"/>
                      <w:kern w:val="0"/>
                      <w:szCs w:val="22"/>
                    </w:rPr>
                    <w:t>1.8</w:t>
                  </w:r>
                </w:p>
              </w:tc>
              <w:tc>
                <w:tcPr>
                  <w:tcW w:w="669" w:type="pct"/>
                  <w:vAlign w:val="center"/>
                </w:tcPr>
                <w:p w14:paraId="39B94B5C">
                  <w:pPr>
                    <w:widowControl/>
                    <w:jc w:val="center"/>
                    <w:rPr>
                      <w:rFonts w:cs="Calibri"/>
                      <w:kern w:val="0"/>
                      <w:szCs w:val="22"/>
                    </w:rPr>
                  </w:pPr>
                  <w:r>
                    <w:rPr>
                      <w:rFonts w:cs="Calibri"/>
                      <w:kern w:val="0"/>
                      <w:szCs w:val="22"/>
                    </w:rPr>
                    <w:t>3</w:t>
                  </w:r>
                </w:p>
              </w:tc>
              <w:tc>
                <w:tcPr>
                  <w:tcW w:w="928" w:type="pct"/>
                  <w:vAlign w:val="center"/>
                </w:tcPr>
                <w:p w14:paraId="148CD587">
                  <w:pPr>
                    <w:widowControl/>
                    <w:jc w:val="center"/>
                    <w:rPr>
                      <w:rFonts w:cs="宋体"/>
                      <w:kern w:val="0"/>
                      <w:szCs w:val="22"/>
                    </w:rPr>
                  </w:pPr>
                  <w:r>
                    <w:rPr>
                      <w:rFonts w:hint="eastAsia" w:cs="宋体"/>
                      <w:kern w:val="0"/>
                      <w:szCs w:val="22"/>
                    </w:rPr>
                    <w:t>0.6</w:t>
                  </w:r>
                </w:p>
              </w:tc>
            </w:tr>
            <w:tr w14:paraId="1A8E4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5FB85911">
                  <w:pPr>
                    <w:widowControl/>
                    <w:jc w:val="center"/>
                    <w:rPr>
                      <w:rFonts w:cs="Calibri"/>
                      <w:kern w:val="0"/>
                      <w:szCs w:val="22"/>
                    </w:rPr>
                  </w:pPr>
                </w:p>
              </w:tc>
              <w:tc>
                <w:tcPr>
                  <w:tcW w:w="909" w:type="pct"/>
                  <w:vAlign w:val="center"/>
                </w:tcPr>
                <w:p w14:paraId="3E3DBC84">
                  <w:pPr>
                    <w:widowControl/>
                    <w:jc w:val="center"/>
                    <w:rPr>
                      <w:rFonts w:cs="Calibri"/>
                      <w:kern w:val="0"/>
                      <w:szCs w:val="22"/>
                    </w:rPr>
                  </w:pPr>
                  <w:r>
                    <w:rPr>
                      <w:rFonts w:cs="Calibri"/>
                      <w:kern w:val="0"/>
                      <w:szCs w:val="22"/>
                    </w:rPr>
                    <w:t>氨氮</w:t>
                  </w:r>
                </w:p>
              </w:tc>
              <w:tc>
                <w:tcPr>
                  <w:tcW w:w="752" w:type="pct"/>
                  <w:vAlign w:val="center"/>
                </w:tcPr>
                <w:p w14:paraId="6175D789">
                  <w:pPr>
                    <w:widowControl/>
                    <w:jc w:val="center"/>
                    <w:rPr>
                      <w:rFonts w:cs="Calibri"/>
                      <w:kern w:val="0"/>
                      <w:szCs w:val="22"/>
                    </w:rPr>
                  </w:pPr>
                  <w:r>
                    <w:rPr>
                      <w:rFonts w:cs="Calibri"/>
                      <w:kern w:val="0"/>
                      <w:szCs w:val="22"/>
                    </w:rPr>
                    <w:t>mg/L</w:t>
                  </w:r>
                </w:p>
              </w:tc>
              <w:tc>
                <w:tcPr>
                  <w:tcW w:w="1252" w:type="pct"/>
                  <w:vAlign w:val="center"/>
                </w:tcPr>
                <w:p w14:paraId="00DA9CD5">
                  <w:pPr>
                    <w:widowControl/>
                    <w:jc w:val="center"/>
                    <w:rPr>
                      <w:rFonts w:cs="Calibri"/>
                      <w:kern w:val="0"/>
                      <w:szCs w:val="22"/>
                    </w:rPr>
                  </w:pPr>
                  <w:r>
                    <w:rPr>
                      <w:rFonts w:cs="Calibri"/>
                      <w:kern w:val="0"/>
                      <w:szCs w:val="22"/>
                    </w:rPr>
                    <w:t>0.495</w:t>
                  </w:r>
                </w:p>
              </w:tc>
              <w:tc>
                <w:tcPr>
                  <w:tcW w:w="669" w:type="pct"/>
                  <w:vAlign w:val="center"/>
                </w:tcPr>
                <w:p w14:paraId="5DBF46BB">
                  <w:pPr>
                    <w:widowControl/>
                    <w:jc w:val="center"/>
                    <w:rPr>
                      <w:rFonts w:cs="Calibri"/>
                      <w:kern w:val="0"/>
                      <w:szCs w:val="22"/>
                    </w:rPr>
                  </w:pPr>
                  <w:r>
                    <w:rPr>
                      <w:rFonts w:cs="Calibri"/>
                      <w:kern w:val="0"/>
                      <w:szCs w:val="22"/>
                    </w:rPr>
                    <w:t>0.5</w:t>
                  </w:r>
                </w:p>
              </w:tc>
              <w:tc>
                <w:tcPr>
                  <w:tcW w:w="928" w:type="pct"/>
                  <w:vAlign w:val="center"/>
                </w:tcPr>
                <w:p w14:paraId="0E096C59">
                  <w:pPr>
                    <w:widowControl/>
                    <w:jc w:val="center"/>
                    <w:rPr>
                      <w:rFonts w:cs="宋体"/>
                      <w:kern w:val="0"/>
                      <w:szCs w:val="22"/>
                    </w:rPr>
                  </w:pPr>
                  <w:r>
                    <w:rPr>
                      <w:rFonts w:hint="eastAsia" w:cs="宋体"/>
                      <w:kern w:val="0"/>
                      <w:szCs w:val="22"/>
                    </w:rPr>
                    <w:t>0.99</w:t>
                  </w:r>
                </w:p>
              </w:tc>
            </w:tr>
            <w:tr w14:paraId="4FC65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60385AF0">
                  <w:pPr>
                    <w:widowControl/>
                    <w:jc w:val="center"/>
                    <w:rPr>
                      <w:rFonts w:cs="Calibri"/>
                      <w:kern w:val="0"/>
                      <w:szCs w:val="22"/>
                    </w:rPr>
                  </w:pPr>
                </w:p>
              </w:tc>
              <w:tc>
                <w:tcPr>
                  <w:tcW w:w="909" w:type="pct"/>
                  <w:vAlign w:val="center"/>
                </w:tcPr>
                <w:p w14:paraId="6D058C77">
                  <w:pPr>
                    <w:widowControl/>
                    <w:jc w:val="center"/>
                    <w:rPr>
                      <w:rFonts w:cs="Calibri"/>
                      <w:kern w:val="0"/>
                      <w:szCs w:val="22"/>
                    </w:rPr>
                  </w:pPr>
                  <w:r>
                    <w:rPr>
                      <w:rFonts w:cs="Calibri"/>
                      <w:kern w:val="0"/>
                      <w:szCs w:val="22"/>
                    </w:rPr>
                    <w:t>硫化物</w:t>
                  </w:r>
                </w:p>
              </w:tc>
              <w:tc>
                <w:tcPr>
                  <w:tcW w:w="752" w:type="pct"/>
                  <w:vAlign w:val="center"/>
                </w:tcPr>
                <w:p w14:paraId="08EAA4EC">
                  <w:pPr>
                    <w:widowControl/>
                    <w:jc w:val="center"/>
                    <w:rPr>
                      <w:rFonts w:cs="Calibri"/>
                      <w:kern w:val="0"/>
                      <w:szCs w:val="22"/>
                    </w:rPr>
                  </w:pPr>
                  <w:r>
                    <w:rPr>
                      <w:rFonts w:cs="Calibri"/>
                      <w:kern w:val="0"/>
                      <w:szCs w:val="22"/>
                    </w:rPr>
                    <w:t>mg/L</w:t>
                  </w:r>
                </w:p>
              </w:tc>
              <w:tc>
                <w:tcPr>
                  <w:tcW w:w="1252" w:type="pct"/>
                  <w:vAlign w:val="center"/>
                </w:tcPr>
                <w:p w14:paraId="2CC5B698">
                  <w:pPr>
                    <w:widowControl/>
                    <w:jc w:val="center"/>
                    <w:rPr>
                      <w:rFonts w:cs="Calibri"/>
                      <w:kern w:val="0"/>
                      <w:szCs w:val="22"/>
                    </w:rPr>
                  </w:pPr>
                  <w:r>
                    <w:rPr>
                      <w:rFonts w:cs="Calibri"/>
                      <w:kern w:val="0"/>
                      <w:szCs w:val="22"/>
                    </w:rPr>
                    <w:t>0.003L</w:t>
                  </w:r>
                </w:p>
              </w:tc>
              <w:tc>
                <w:tcPr>
                  <w:tcW w:w="669" w:type="pct"/>
                  <w:vAlign w:val="center"/>
                </w:tcPr>
                <w:p w14:paraId="37FABC49">
                  <w:pPr>
                    <w:widowControl/>
                    <w:jc w:val="center"/>
                    <w:rPr>
                      <w:rFonts w:cs="Calibri"/>
                      <w:kern w:val="0"/>
                      <w:szCs w:val="22"/>
                    </w:rPr>
                  </w:pPr>
                  <w:r>
                    <w:rPr>
                      <w:rFonts w:cs="Calibri"/>
                      <w:kern w:val="0"/>
                      <w:szCs w:val="22"/>
                    </w:rPr>
                    <w:t>0.02</w:t>
                  </w:r>
                </w:p>
              </w:tc>
              <w:tc>
                <w:tcPr>
                  <w:tcW w:w="928" w:type="pct"/>
                  <w:vAlign w:val="center"/>
                </w:tcPr>
                <w:p w14:paraId="291618E8">
                  <w:pPr>
                    <w:widowControl/>
                    <w:jc w:val="center"/>
                    <w:rPr>
                      <w:rFonts w:cs="宋体"/>
                      <w:kern w:val="0"/>
                      <w:szCs w:val="22"/>
                    </w:rPr>
                  </w:pPr>
                  <w:r>
                    <w:rPr>
                      <w:rFonts w:hint="eastAsia" w:cs="宋体"/>
                      <w:kern w:val="0"/>
                      <w:szCs w:val="22"/>
                    </w:rPr>
                    <w:t xml:space="preserve">0.0038 </w:t>
                  </w:r>
                </w:p>
              </w:tc>
            </w:tr>
            <w:tr w14:paraId="0E1EF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06AC1765">
                  <w:pPr>
                    <w:widowControl/>
                    <w:jc w:val="center"/>
                    <w:rPr>
                      <w:rFonts w:cs="Calibri"/>
                      <w:kern w:val="0"/>
                      <w:szCs w:val="22"/>
                    </w:rPr>
                  </w:pPr>
                </w:p>
              </w:tc>
              <w:tc>
                <w:tcPr>
                  <w:tcW w:w="909" w:type="pct"/>
                  <w:vAlign w:val="center"/>
                </w:tcPr>
                <w:p w14:paraId="130A324B">
                  <w:pPr>
                    <w:widowControl/>
                    <w:jc w:val="center"/>
                    <w:rPr>
                      <w:rFonts w:cs="Calibri"/>
                      <w:kern w:val="0"/>
                      <w:szCs w:val="22"/>
                    </w:rPr>
                  </w:pPr>
                  <w:r>
                    <w:rPr>
                      <w:rFonts w:cs="Calibri"/>
                      <w:kern w:val="0"/>
                      <w:szCs w:val="22"/>
                    </w:rPr>
                    <w:t>总大肠菌群</w:t>
                  </w:r>
                </w:p>
              </w:tc>
              <w:tc>
                <w:tcPr>
                  <w:tcW w:w="752" w:type="pct"/>
                  <w:vAlign w:val="center"/>
                </w:tcPr>
                <w:p w14:paraId="09382E5B">
                  <w:pPr>
                    <w:widowControl/>
                    <w:jc w:val="center"/>
                    <w:rPr>
                      <w:rFonts w:cs="Calibri"/>
                      <w:kern w:val="0"/>
                      <w:szCs w:val="22"/>
                    </w:rPr>
                  </w:pPr>
                  <w:r>
                    <w:rPr>
                      <w:rFonts w:cs="Calibri"/>
                      <w:kern w:val="0"/>
                      <w:szCs w:val="22"/>
                    </w:rPr>
                    <w:t>MPN/100mL</w:t>
                  </w:r>
                </w:p>
              </w:tc>
              <w:tc>
                <w:tcPr>
                  <w:tcW w:w="1252" w:type="pct"/>
                  <w:vAlign w:val="center"/>
                </w:tcPr>
                <w:p w14:paraId="4B571AFF">
                  <w:pPr>
                    <w:widowControl/>
                    <w:jc w:val="center"/>
                    <w:rPr>
                      <w:rFonts w:cs="Calibri"/>
                      <w:kern w:val="0"/>
                      <w:szCs w:val="22"/>
                    </w:rPr>
                  </w:pPr>
                  <w:r>
                    <w:rPr>
                      <w:rFonts w:cs="Calibri"/>
                      <w:kern w:val="0"/>
                      <w:szCs w:val="22"/>
                    </w:rPr>
                    <w:t>&lt;2</w:t>
                  </w:r>
                </w:p>
              </w:tc>
              <w:tc>
                <w:tcPr>
                  <w:tcW w:w="669" w:type="pct"/>
                  <w:vAlign w:val="center"/>
                </w:tcPr>
                <w:p w14:paraId="67B37C7B">
                  <w:pPr>
                    <w:widowControl/>
                    <w:jc w:val="center"/>
                    <w:rPr>
                      <w:rFonts w:cs="Calibri"/>
                      <w:kern w:val="0"/>
                      <w:szCs w:val="22"/>
                    </w:rPr>
                  </w:pPr>
                  <w:r>
                    <w:rPr>
                      <w:rFonts w:cs="Calibri"/>
                      <w:kern w:val="0"/>
                      <w:szCs w:val="22"/>
                    </w:rPr>
                    <w:t>3</w:t>
                  </w:r>
                </w:p>
              </w:tc>
              <w:tc>
                <w:tcPr>
                  <w:tcW w:w="928" w:type="pct"/>
                  <w:vAlign w:val="center"/>
                </w:tcPr>
                <w:p w14:paraId="6BBB5E56">
                  <w:pPr>
                    <w:widowControl/>
                    <w:jc w:val="center"/>
                    <w:rPr>
                      <w:rFonts w:cs="宋体"/>
                      <w:kern w:val="0"/>
                      <w:szCs w:val="22"/>
                    </w:rPr>
                  </w:pPr>
                  <w:r>
                    <w:rPr>
                      <w:rFonts w:hint="eastAsia" w:cs="宋体"/>
                      <w:kern w:val="0"/>
                      <w:szCs w:val="22"/>
                    </w:rPr>
                    <w:t xml:space="preserve">0.67 </w:t>
                  </w:r>
                </w:p>
              </w:tc>
            </w:tr>
            <w:tr w14:paraId="50ACA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555307D6">
                  <w:pPr>
                    <w:widowControl/>
                    <w:jc w:val="center"/>
                    <w:rPr>
                      <w:rFonts w:cs="Calibri"/>
                      <w:kern w:val="0"/>
                      <w:szCs w:val="22"/>
                    </w:rPr>
                  </w:pPr>
                </w:p>
              </w:tc>
              <w:tc>
                <w:tcPr>
                  <w:tcW w:w="909" w:type="pct"/>
                  <w:vAlign w:val="center"/>
                </w:tcPr>
                <w:p w14:paraId="6D607CA6">
                  <w:pPr>
                    <w:widowControl/>
                    <w:jc w:val="center"/>
                    <w:rPr>
                      <w:rFonts w:cs="Calibri"/>
                      <w:kern w:val="0"/>
                      <w:szCs w:val="22"/>
                    </w:rPr>
                  </w:pPr>
                  <w:r>
                    <w:rPr>
                      <w:rFonts w:cs="Calibri"/>
                      <w:kern w:val="0"/>
                      <w:szCs w:val="22"/>
                    </w:rPr>
                    <w:t>亚硝酸盐</w:t>
                  </w:r>
                </w:p>
              </w:tc>
              <w:tc>
                <w:tcPr>
                  <w:tcW w:w="752" w:type="pct"/>
                  <w:vAlign w:val="center"/>
                </w:tcPr>
                <w:p w14:paraId="299AD954">
                  <w:pPr>
                    <w:widowControl/>
                    <w:jc w:val="center"/>
                    <w:rPr>
                      <w:rFonts w:cs="Calibri"/>
                      <w:kern w:val="0"/>
                      <w:szCs w:val="22"/>
                    </w:rPr>
                  </w:pPr>
                  <w:r>
                    <w:rPr>
                      <w:rFonts w:cs="Calibri"/>
                      <w:kern w:val="0"/>
                      <w:szCs w:val="22"/>
                    </w:rPr>
                    <w:t>mg/L</w:t>
                  </w:r>
                </w:p>
              </w:tc>
              <w:tc>
                <w:tcPr>
                  <w:tcW w:w="1252" w:type="pct"/>
                  <w:vAlign w:val="center"/>
                </w:tcPr>
                <w:p w14:paraId="34902A15">
                  <w:pPr>
                    <w:widowControl/>
                    <w:jc w:val="center"/>
                    <w:rPr>
                      <w:rFonts w:cs="Calibri"/>
                      <w:kern w:val="0"/>
                      <w:szCs w:val="22"/>
                    </w:rPr>
                  </w:pPr>
                  <w:r>
                    <w:rPr>
                      <w:rFonts w:cs="Calibri"/>
                      <w:kern w:val="0"/>
                      <w:szCs w:val="22"/>
                    </w:rPr>
                    <w:t>0.024</w:t>
                  </w:r>
                </w:p>
              </w:tc>
              <w:tc>
                <w:tcPr>
                  <w:tcW w:w="669" w:type="pct"/>
                  <w:vAlign w:val="center"/>
                </w:tcPr>
                <w:p w14:paraId="19AB34CF">
                  <w:pPr>
                    <w:widowControl/>
                    <w:jc w:val="center"/>
                    <w:rPr>
                      <w:rFonts w:cs="Calibri"/>
                      <w:kern w:val="0"/>
                      <w:szCs w:val="22"/>
                    </w:rPr>
                  </w:pPr>
                  <w:r>
                    <w:rPr>
                      <w:rFonts w:cs="Calibri"/>
                      <w:kern w:val="0"/>
                      <w:szCs w:val="22"/>
                    </w:rPr>
                    <w:t>1</w:t>
                  </w:r>
                </w:p>
              </w:tc>
              <w:tc>
                <w:tcPr>
                  <w:tcW w:w="928" w:type="pct"/>
                  <w:vAlign w:val="center"/>
                </w:tcPr>
                <w:p w14:paraId="5815A01F">
                  <w:pPr>
                    <w:widowControl/>
                    <w:jc w:val="center"/>
                    <w:rPr>
                      <w:rFonts w:cs="宋体"/>
                      <w:kern w:val="0"/>
                      <w:szCs w:val="22"/>
                    </w:rPr>
                  </w:pPr>
                  <w:r>
                    <w:rPr>
                      <w:rFonts w:hint="eastAsia" w:cs="宋体"/>
                      <w:kern w:val="0"/>
                      <w:szCs w:val="22"/>
                    </w:rPr>
                    <w:t>0.024</w:t>
                  </w:r>
                </w:p>
              </w:tc>
            </w:tr>
            <w:tr w14:paraId="5BAA8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0A3250AE">
                  <w:pPr>
                    <w:widowControl/>
                    <w:jc w:val="center"/>
                    <w:rPr>
                      <w:rFonts w:cs="Calibri"/>
                      <w:kern w:val="0"/>
                      <w:szCs w:val="22"/>
                    </w:rPr>
                  </w:pPr>
                </w:p>
              </w:tc>
              <w:tc>
                <w:tcPr>
                  <w:tcW w:w="909" w:type="pct"/>
                  <w:vAlign w:val="center"/>
                </w:tcPr>
                <w:p w14:paraId="474DDC4E">
                  <w:pPr>
                    <w:widowControl/>
                    <w:jc w:val="center"/>
                    <w:rPr>
                      <w:rFonts w:cs="Calibri"/>
                      <w:kern w:val="0"/>
                      <w:szCs w:val="22"/>
                    </w:rPr>
                  </w:pPr>
                  <w:r>
                    <w:rPr>
                      <w:rFonts w:cs="Calibri"/>
                      <w:kern w:val="0"/>
                      <w:szCs w:val="22"/>
                    </w:rPr>
                    <w:t>硝酸盐</w:t>
                  </w:r>
                </w:p>
              </w:tc>
              <w:tc>
                <w:tcPr>
                  <w:tcW w:w="752" w:type="pct"/>
                  <w:vAlign w:val="center"/>
                </w:tcPr>
                <w:p w14:paraId="110985EA">
                  <w:pPr>
                    <w:widowControl/>
                    <w:jc w:val="center"/>
                    <w:rPr>
                      <w:rFonts w:cs="Calibri"/>
                      <w:kern w:val="0"/>
                      <w:szCs w:val="22"/>
                    </w:rPr>
                  </w:pPr>
                  <w:r>
                    <w:rPr>
                      <w:rFonts w:cs="Calibri"/>
                      <w:kern w:val="0"/>
                      <w:szCs w:val="22"/>
                    </w:rPr>
                    <w:t>mg/L</w:t>
                  </w:r>
                </w:p>
              </w:tc>
              <w:tc>
                <w:tcPr>
                  <w:tcW w:w="1252" w:type="pct"/>
                  <w:vAlign w:val="center"/>
                </w:tcPr>
                <w:p w14:paraId="356312DD">
                  <w:pPr>
                    <w:widowControl/>
                    <w:jc w:val="center"/>
                    <w:rPr>
                      <w:rFonts w:cs="Calibri"/>
                      <w:kern w:val="0"/>
                      <w:szCs w:val="22"/>
                    </w:rPr>
                  </w:pPr>
                  <w:r>
                    <w:rPr>
                      <w:rFonts w:cs="Calibri"/>
                      <w:kern w:val="0"/>
                      <w:szCs w:val="22"/>
                    </w:rPr>
                    <w:t>2.38</w:t>
                  </w:r>
                </w:p>
              </w:tc>
              <w:tc>
                <w:tcPr>
                  <w:tcW w:w="669" w:type="pct"/>
                  <w:vAlign w:val="center"/>
                </w:tcPr>
                <w:p w14:paraId="34D76C3F">
                  <w:pPr>
                    <w:widowControl/>
                    <w:jc w:val="center"/>
                    <w:rPr>
                      <w:rFonts w:cs="Calibri"/>
                      <w:kern w:val="0"/>
                      <w:szCs w:val="22"/>
                    </w:rPr>
                  </w:pPr>
                  <w:r>
                    <w:rPr>
                      <w:rFonts w:cs="Calibri"/>
                      <w:kern w:val="0"/>
                      <w:szCs w:val="22"/>
                    </w:rPr>
                    <w:t>20</w:t>
                  </w:r>
                </w:p>
              </w:tc>
              <w:tc>
                <w:tcPr>
                  <w:tcW w:w="928" w:type="pct"/>
                  <w:vAlign w:val="center"/>
                </w:tcPr>
                <w:p w14:paraId="47607D0F">
                  <w:pPr>
                    <w:widowControl/>
                    <w:jc w:val="center"/>
                    <w:rPr>
                      <w:rFonts w:cs="宋体"/>
                      <w:kern w:val="0"/>
                      <w:szCs w:val="22"/>
                    </w:rPr>
                  </w:pPr>
                  <w:r>
                    <w:rPr>
                      <w:rFonts w:hint="eastAsia" w:cs="宋体"/>
                      <w:kern w:val="0"/>
                      <w:szCs w:val="22"/>
                    </w:rPr>
                    <w:t xml:space="preserve">0.12 </w:t>
                  </w:r>
                </w:p>
              </w:tc>
            </w:tr>
            <w:tr w14:paraId="5946A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39604B05">
                  <w:pPr>
                    <w:widowControl/>
                    <w:jc w:val="center"/>
                    <w:rPr>
                      <w:rFonts w:cs="Calibri"/>
                      <w:kern w:val="0"/>
                      <w:szCs w:val="22"/>
                    </w:rPr>
                  </w:pPr>
                </w:p>
              </w:tc>
              <w:tc>
                <w:tcPr>
                  <w:tcW w:w="909" w:type="pct"/>
                  <w:vAlign w:val="center"/>
                </w:tcPr>
                <w:p w14:paraId="3E2AC314">
                  <w:pPr>
                    <w:widowControl/>
                    <w:jc w:val="center"/>
                    <w:rPr>
                      <w:rFonts w:cs="Calibri"/>
                      <w:kern w:val="0"/>
                      <w:szCs w:val="22"/>
                    </w:rPr>
                  </w:pPr>
                  <w:r>
                    <w:rPr>
                      <w:rFonts w:cs="Calibri"/>
                      <w:kern w:val="0"/>
                      <w:szCs w:val="22"/>
                    </w:rPr>
                    <w:t>氰化物</w:t>
                  </w:r>
                </w:p>
              </w:tc>
              <w:tc>
                <w:tcPr>
                  <w:tcW w:w="752" w:type="pct"/>
                  <w:vAlign w:val="center"/>
                </w:tcPr>
                <w:p w14:paraId="098A9BF4">
                  <w:pPr>
                    <w:widowControl/>
                    <w:jc w:val="center"/>
                    <w:rPr>
                      <w:rFonts w:cs="Calibri"/>
                      <w:kern w:val="0"/>
                      <w:szCs w:val="22"/>
                    </w:rPr>
                  </w:pPr>
                  <w:r>
                    <w:rPr>
                      <w:rFonts w:cs="Calibri"/>
                      <w:kern w:val="0"/>
                      <w:szCs w:val="22"/>
                    </w:rPr>
                    <w:t>mg/L</w:t>
                  </w:r>
                </w:p>
              </w:tc>
              <w:tc>
                <w:tcPr>
                  <w:tcW w:w="1252" w:type="pct"/>
                  <w:vAlign w:val="center"/>
                </w:tcPr>
                <w:p w14:paraId="258D9045">
                  <w:pPr>
                    <w:widowControl/>
                    <w:jc w:val="center"/>
                    <w:rPr>
                      <w:rFonts w:cs="Calibri"/>
                      <w:kern w:val="0"/>
                      <w:szCs w:val="22"/>
                    </w:rPr>
                  </w:pPr>
                  <w:r>
                    <w:rPr>
                      <w:rFonts w:cs="Calibri"/>
                      <w:kern w:val="0"/>
                      <w:szCs w:val="22"/>
                    </w:rPr>
                    <w:t>0.002L</w:t>
                  </w:r>
                </w:p>
              </w:tc>
              <w:tc>
                <w:tcPr>
                  <w:tcW w:w="669" w:type="pct"/>
                  <w:vAlign w:val="center"/>
                </w:tcPr>
                <w:p w14:paraId="42E47C7C">
                  <w:pPr>
                    <w:widowControl/>
                    <w:jc w:val="center"/>
                    <w:rPr>
                      <w:rFonts w:cs="Calibri"/>
                      <w:kern w:val="0"/>
                      <w:szCs w:val="22"/>
                    </w:rPr>
                  </w:pPr>
                  <w:r>
                    <w:rPr>
                      <w:rFonts w:cs="Calibri"/>
                      <w:kern w:val="0"/>
                      <w:szCs w:val="22"/>
                    </w:rPr>
                    <w:t>0.05</w:t>
                  </w:r>
                </w:p>
              </w:tc>
              <w:tc>
                <w:tcPr>
                  <w:tcW w:w="928" w:type="pct"/>
                  <w:vAlign w:val="center"/>
                </w:tcPr>
                <w:p w14:paraId="52887D95">
                  <w:pPr>
                    <w:widowControl/>
                    <w:jc w:val="center"/>
                    <w:rPr>
                      <w:rFonts w:cs="宋体"/>
                      <w:kern w:val="0"/>
                      <w:szCs w:val="22"/>
                    </w:rPr>
                  </w:pPr>
                  <w:r>
                    <w:rPr>
                      <w:rFonts w:hint="eastAsia" w:cs="宋体"/>
                      <w:kern w:val="0"/>
                      <w:szCs w:val="22"/>
                    </w:rPr>
                    <w:t>0.02</w:t>
                  </w:r>
                </w:p>
              </w:tc>
            </w:tr>
            <w:tr w14:paraId="121DA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05FA842C">
                  <w:pPr>
                    <w:widowControl/>
                    <w:jc w:val="center"/>
                    <w:rPr>
                      <w:rFonts w:cs="Calibri"/>
                      <w:kern w:val="0"/>
                      <w:szCs w:val="22"/>
                    </w:rPr>
                  </w:pPr>
                </w:p>
              </w:tc>
              <w:tc>
                <w:tcPr>
                  <w:tcW w:w="909" w:type="pct"/>
                  <w:vAlign w:val="center"/>
                </w:tcPr>
                <w:p w14:paraId="76AD4155">
                  <w:pPr>
                    <w:widowControl/>
                    <w:jc w:val="center"/>
                    <w:rPr>
                      <w:rFonts w:cs="Calibri"/>
                      <w:kern w:val="0"/>
                      <w:szCs w:val="22"/>
                    </w:rPr>
                  </w:pPr>
                  <w:r>
                    <w:rPr>
                      <w:rFonts w:cs="Calibri"/>
                      <w:kern w:val="0"/>
                      <w:szCs w:val="22"/>
                    </w:rPr>
                    <w:t>氟化物</w:t>
                  </w:r>
                </w:p>
              </w:tc>
              <w:tc>
                <w:tcPr>
                  <w:tcW w:w="752" w:type="pct"/>
                  <w:vAlign w:val="center"/>
                </w:tcPr>
                <w:p w14:paraId="6FB0404E">
                  <w:pPr>
                    <w:widowControl/>
                    <w:jc w:val="center"/>
                    <w:rPr>
                      <w:rFonts w:cs="Calibri"/>
                      <w:kern w:val="0"/>
                      <w:szCs w:val="22"/>
                    </w:rPr>
                  </w:pPr>
                  <w:r>
                    <w:rPr>
                      <w:rFonts w:cs="Calibri"/>
                      <w:kern w:val="0"/>
                      <w:szCs w:val="22"/>
                    </w:rPr>
                    <w:t>mg/L</w:t>
                  </w:r>
                </w:p>
              </w:tc>
              <w:tc>
                <w:tcPr>
                  <w:tcW w:w="1252" w:type="pct"/>
                  <w:vAlign w:val="center"/>
                </w:tcPr>
                <w:p w14:paraId="579FD5DD">
                  <w:pPr>
                    <w:widowControl/>
                    <w:jc w:val="center"/>
                    <w:rPr>
                      <w:rFonts w:cs="Calibri"/>
                      <w:kern w:val="0"/>
                      <w:szCs w:val="22"/>
                    </w:rPr>
                  </w:pPr>
                  <w:r>
                    <w:rPr>
                      <w:rFonts w:cs="Calibri"/>
                      <w:kern w:val="0"/>
                      <w:szCs w:val="22"/>
                    </w:rPr>
                    <w:t>0.144</w:t>
                  </w:r>
                </w:p>
              </w:tc>
              <w:tc>
                <w:tcPr>
                  <w:tcW w:w="669" w:type="pct"/>
                  <w:vAlign w:val="center"/>
                </w:tcPr>
                <w:p w14:paraId="29DC5DEC">
                  <w:pPr>
                    <w:widowControl/>
                    <w:jc w:val="center"/>
                    <w:rPr>
                      <w:rFonts w:cs="Calibri"/>
                      <w:kern w:val="0"/>
                      <w:szCs w:val="22"/>
                    </w:rPr>
                  </w:pPr>
                  <w:r>
                    <w:rPr>
                      <w:rFonts w:cs="Calibri"/>
                      <w:kern w:val="0"/>
                      <w:szCs w:val="22"/>
                    </w:rPr>
                    <w:t>1</w:t>
                  </w:r>
                </w:p>
              </w:tc>
              <w:tc>
                <w:tcPr>
                  <w:tcW w:w="928" w:type="pct"/>
                  <w:vAlign w:val="center"/>
                </w:tcPr>
                <w:p w14:paraId="060BEA06">
                  <w:pPr>
                    <w:widowControl/>
                    <w:jc w:val="center"/>
                    <w:rPr>
                      <w:rFonts w:cs="宋体"/>
                      <w:kern w:val="0"/>
                      <w:szCs w:val="22"/>
                    </w:rPr>
                  </w:pPr>
                  <w:r>
                    <w:rPr>
                      <w:rFonts w:hint="eastAsia" w:cs="宋体"/>
                      <w:kern w:val="0"/>
                      <w:szCs w:val="22"/>
                    </w:rPr>
                    <w:t xml:space="preserve">0.14 </w:t>
                  </w:r>
                </w:p>
              </w:tc>
            </w:tr>
            <w:tr w14:paraId="36F3F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15900635">
                  <w:pPr>
                    <w:widowControl/>
                    <w:jc w:val="center"/>
                    <w:rPr>
                      <w:rFonts w:cs="Calibri"/>
                      <w:kern w:val="0"/>
                      <w:szCs w:val="22"/>
                    </w:rPr>
                  </w:pPr>
                </w:p>
              </w:tc>
              <w:tc>
                <w:tcPr>
                  <w:tcW w:w="909" w:type="pct"/>
                  <w:vAlign w:val="center"/>
                </w:tcPr>
                <w:p w14:paraId="514AC970">
                  <w:pPr>
                    <w:widowControl/>
                    <w:jc w:val="center"/>
                    <w:rPr>
                      <w:rFonts w:cs="Calibri"/>
                      <w:kern w:val="0"/>
                      <w:szCs w:val="22"/>
                    </w:rPr>
                  </w:pPr>
                  <w:r>
                    <w:rPr>
                      <w:rFonts w:cs="Calibri"/>
                      <w:kern w:val="0"/>
                      <w:szCs w:val="22"/>
                    </w:rPr>
                    <w:t>汞</w:t>
                  </w:r>
                </w:p>
              </w:tc>
              <w:tc>
                <w:tcPr>
                  <w:tcW w:w="752" w:type="pct"/>
                  <w:vAlign w:val="center"/>
                </w:tcPr>
                <w:p w14:paraId="3D1EB1A4">
                  <w:pPr>
                    <w:widowControl/>
                    <w:jc w:val="center"/>
                    <w:rPr>
                      <w:rFonts w:cs="Calibri"/>
                      <w:kern w:val="0"/>
                      <w:szCs w:val="22"/>
                    </w:rPr>
                  </w:pPr>
                  <w:r>
                    <w:rPr>
                      <w:rFonts w:cs="Calibri"/>
                      <w:kern w:val="0"/>
                      <w:szCs w:val="22"/>
                    </w:rPr>
                    <w:t>mg/L</w:t>
                  </w:r>
                </w:p>
              </w:tc>
              <w:tc>
                <w:tcPr>
                  <w:tcW w:w="1252" w:type="pct"/>
                  <w:vAlign w:val="center"/>
                </w:tcPr>
                <w:p w14:paraId="5D91C641">
                  <w:pPr>
                    <w:widowControl/>
                    <w:jc w:val="center"/>
                    <w:rPr>
                      <w:rFonts w:cs="Calibri"/>
                      <w:kern w:val="0"/>
                      <w:szCs w:val="22"/>
                    </w:rPr>
                  </w:pPr>
                  <w:r>
                    <w:rPr>
                      <w:rFonts w:cs="Calibri"/>
                      <w:kern w:val="0"/>
                      <w:szCs w:val="22"/>
                    </w:rPr>
                    <w:t>4</w:t>
                  </w:r>
                  <w:r>
                    <w:t>×</w:t>
                  </w:r>
                  <w:r>
                    <w:rPr>
                      <w:rFonts w:cs="Calibri"/>
                      <w:kern w:val="0"/>
                      <w:szCs w:val="22"/>
                    </w:rPr>
                    <w:t>10</w:t>
                  </w:r>
                  <w:r>
                    <w:rPr>
                      <w:rFonts w:cs="Calibri"/>
                      <w:kern w:val="0"/>
                      <w:szCs w:val="22"/>
                      <w:vertAlign w:val="superscript"/>
                    </w:rPr>
                    <w:t>-5</w:t>
                  </w:r>
                  <w:r>
                    <w:rPr>
                      <w:rFonts w:cs="Calibri"/>
                      <w:kern w:val="0"/>
                      <w:szCs w:val="22"/>
                    </w:rPr>
                    <w:t>L</w:t>
                  </w:r>
                </w:p>
              </w:tc>
              <w:tc>
                <w:tcPr>
                  <w:tcW w:w="669" w:type="pct"/>
                  <w:vAlign w:val="center"/>
                </w:tcPr>
                <w:p w14:paraId="3C6F981C">
                  <w:pPr>
                    <w:widowControl/>
                    <w:jc w:val="center"/>
                    <w:rPr>
                      <w:rFonts w:cs="Calibri"/>
                      <w:kern w:val="0"/>
                      <w:szCs w:val="22"/>
                    </w:rPr>
                  </w:pPr>
                  <w:r>
                    <w:rPr>
                      <w:rFonts w:cs="Calibri"/>
                      <w:kern w:val="0"/>
                      <w:szCs w:val="22"/>
                    </w:rPr>
                    <w:t>0.001</w:t>
                  </w:r>
                </w:p>
              </w:tc>
              <w:tc>
                <w:tcPr>
                  <w:tcW w:w="928" w:type="pct"/>
                  <w:vAlign w:val="center"/>
                </w:tcPr>
                <w:p w14:paraId="202B449D">
                  <w:pPr>
                    <w:widowControl/>
                    <w:jc w:val="center"/>
                    <w:rPr>
                      <w:rFonts w:cs="宋体"/>
                      <w:kern w:val="0"/>
                      <w:szCs w:val="22"/>
                    </w:rPr>
                  </w:pPr>
                  <w:r>
                    <w:rPr>
                      <w:rFonts w:hint="eastAsia" w:cs="宋体"/>
                      <w:kern w:val="0"/>
                      <w:szCs w:val="22"/>
                    </w:rPr>
                    <w:t>0.02</w:t>
                  </w:r>
                </w:p>
              </w:tc>
            </w:tr>
            <w:tr w14:paraId="6F954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4873795B">
                  <w:pPr>
                    <w:widowControl/>
                    <w:jc w:val="center"/>
                    <w:rPr>
                      <w:rFonts w:cs="Calibri"/>
                      <w:kern w:val="0"/>
                      <w:szCs w:val="22"/>
                    </w:rPr>
                  </w:pPr>
                </w:p>
              </w:tc>
              <w:tc>
                <w:tcPr>
                  <w:tcW w:w="909" w:type="pct"/>
                  <w:vAlign w:val="center"/>
                </w:tcPr>
                <w:p w14:paraId="11036949">
                  <w:pPr>
                    <w:widowControl/>
                    <w:jc w:val="center"/>
                    <w:rPr>
                      <w:rFonts w:cs="Calibri"/>
                      <w:kern w:val="0"/>
                      <w:szCs w:val="22"/>
                    </w:rPr>
                  </w:pPr>
                  <w:r>
                    <w:rPr>
                      <w:rFonts w:cs="Calibri"/>
                      <w:kern w:val="0"/>
                      <w:szCs w:val="22"/>
                    </w:rPr>
                    <w:t>砷</w:t>
                  </w:r>
                </w:p>
              </w:tc>
              <w:tc>
                <w:tcPr>
                  <w:tcW w:w="752" w:type="pct"/>
                  <w:vAlign w:val="center"/>
                </w:tcPr>
                <w:p w14:paraId="4AEAC519">
                  <w:pPr>
                    <w:widowControl/>
                    <w:jc w:val="center"/>
                    <w:rPr>
                      <w:rFonts w:cs="Calibri"/>
                      <w:kern w:val="0"/>
                      <w:szCs w:val="22"/>
                    </w:rPr>
                  </w:pPr>
                  <w:r>
                    <w:rPr>
                      <w:rFonts w:cs="Calibri"/>
                      <w:kern w:val="0"/>
                      <w:szCs w:val="22"/>
                    </w:rPr>
                    <w:t>mg/L</w:t>
                  </w:r>
                </w:p>
              </w:tc>
              <w:tc>
                <w:tcPr>
                  <w:tcW w:w="1252" w:type="pct"/>
                  <w:vAlign w:val="center"/>
                </w:tcPr>
                <w:p w14:paraId="2B983709">
                  <w:pPr>
                    <w:widowControl/>
                    <w:jc w:val="center"/>
                    <w:rPr>
                      <w:rFonts w:cs="Calibri"/>
                      <w:kern w:val="0"/>
                      <w:szCs w:val="22"/>
                    </w:rPr>
                  </w:pPr>
                  <w:r>
                    <w:rPr>
                      <w:rFonts w:cs="Calibri"/>
                      <w:kern w:val="0"/>
                      <w:szCs w:val="22"/>
                    </w:rPr>
                    <w:t>1.2</w:t>
                  </w:r>
                  <w:r>
                    <w:t>×</w:t>
                  </w:r>
                  <w:r>
                    <w:rPr>
                      <w:rFonts w:cs="Calibri"/>
                      <w:kern w:val="0"/>
                      <w:szCs w:val="22"/>
                    </w:rPr>
                    <w:t>10</w:t>
                  </w:r>
                  <w:r>
                    <w:rPr>
                      <w:rFonts w:cs="Calibri"/>
                      <w:kern w:val="0"/>
                      <w:szCs w:val="22"/>
                      <w:vertAlign w:val="superscript"/>
                    </w:rPr>
                    <w:t>-3</w:t>
                  </w:r>
                </w:p>
              </w:tc>
              <w:tc>
                <w:tcPr>
                  <w:tcW w:w="669" w:type="pct"/>
                  <w:vAlign w:val="center"/>
                </w:tcPr>
                <w:p w14:paraId="09841DC7">
                  <w:pPr>
                    <w:widowControl/>
                    <w:jc w:val="center"/>
                    <w:rPr>
                      <w:rFonts w:cs="Calibri"/>
                      <w:kern w:val="0"/>
                      <w:szCs w:val="22"/>
                    </w:rPr>
                  </w:pPr>
                  <w:r>
                    <w:rPr>
                      <w:rFonts w:cs="Calibri"/>
                      <w:kern w:val="0"/>
                      <w:szCs w:val="22"/>
                    </w:rPr>
                    <w:t>0.01</w:t>
                  </w:r>
                </w:p>
              </w:tc>
              <w:tc>
                <w:tcPr>
                  <w:tcW w:w="928" w:type="pct"/>
                  <w:vAlign w:val="center"/>
                </w:tcPr>
                <w:p w14:paraId="2C77160A">
                  <w:pPr>
                    <w:widowControl/>
                    <w:jc w:val="center"/>
                    <w:rPr>
                      <w:rFonts w:cs="宋体"/>
                      <w:kern w:val="0"/>
                      <w:szCs w:val="22"/>
                    </w:rPr>
                  </w:pPr>
                  <w:r>
                    <w:rPr>
                      <w:rFonts w:hint="eastAsia" w:cs="宋体"/>
                      <w:kern w:val="0"/>
                      <w:szCs w:val="22"/>
                    </w:rPr>
                    <w:t>0.12</w:t>
                  </w:r>
                </w:p>
              </w:tc>
            </w:tr>
            <w:tr w14:paraId="22DDD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4BDFB5F2">
                  <w:pPr>
                    <w:widowControl/>
                    <w:jc w:val="center"/>
                    <w:rPr>
                      <w:rFonts w:cs="Calibri"/>
                      <w:kern w:val="0"/>
                      <w:szCs w:val="22"/>
                    </w:rPr>
                  </w:pPr>
                </w:p>
              </w:tc>
              <w:tc>
                <w:tcPr>
                  <w:tcW w:w="909" w:type="pct"/>
                  <w:vAlign w:val="center"/>
                </w:tcPr>
                <w:p w14:paraId="6053D144">
                  <w:pPr>
                    <w:widowControl/>
                    <w:jc w:val="center"/>
                    <w:rPr>
                      <w:rFonts w:cs="Calibri"/>
                      <w:kern w:val="0"/>
                      <w:szCs w:val="22"/>
                    </w:rPr>
                  </w:pPr>
                  <w:r>
                    <w:rPr>
                      <w:rFonts w:cs="Calibri"/>
                      <w:kern w:val="0"/>
                      <w:szCs w:val="22"/>
                    </w:rPr>
                    <w:t>镉</w:t>
                  </w:r>
                </w:p>
              </w:tc>
              <w:tc>
                <w:tcPr>
                  <w:tcW w:w="752" w:type="pct"/>
                  <w:vAlign w:val="center"/>
                </w:tcPr>
                <w:p w14:paraId="0A8FFB11">
                  <w:pPr>
                    <w:widowControl/>
                    <w:jc w:val="center"/>
                    <w:rPr>
                      <w:rFonts w:cs="Calibri"/>
                      <w:kern w:val="0"/>
                      <w:szCs w:val="22"/>
                    </w:rPr>
                  </w:pPr>
                  <w:r>
                    <w:rPr>
                      <w:rFonts w:cs="Calibri"/>
                      <w:kern w:val="0"/>
                      <w:szCs w:val="22"/>
                    </w:rPr>
                    <w:t>mg/L</w:t>
                  </w:r>
                </w:p>
              </w:tc>
              <w:tc>
                <w:tcPr>
                  <w:tcW w:w="1252" w:type="pct"/>
                  <w:vAlign w:val="center"/>
                </w:tcPr>
                <w:p w14:paraId="509F7B17">
                  <w:pPr>
                    <w:widowControl/>
                    <w:jc w:val="center"/>
                    <w:rPr>
                      <w:rFonts w:cs="Calibri"/>
                      <w:kern w:val="0"/>
                      <w:szCs w:val="22"/>
                    </w:rPr>
                  </w:pPr>
                  <w:r>
                    <w:rPr>
                      <w:rFonts w:cs="Calibri"/>
                      <w:kern w:val="0"/>
                      <w:szCs w:val="22"/>
                    </w:rPr>
                    <w:t>5</w:t>
                  </w:r>
                  <w:r>
                    <w:t>×</w:t>
                  </w:r>
                  <w:r>
                    <w:rPr>
                      <w:rFonts w:cs="Calibri"/>
                      <w:kern w:val="0"/>
                      <w:szCs w:val="22"/>
                    </w:rPr>
                    <w:t>10</w:t>
                  </w:r>
                  <w:r>
                    <w:rPr>
                      <w:rFonts w:cs="Calibri"/>
                      <w:kern w:val="0"/>
                      <w:szCs w:val="22"/>
                      <w:vertAlign w:val="superscript"/>
                    </w:rPr>
                    <w:t>-4</w:t>
                  </w:r>
                  <w:r>
                    <w:rPr>
                      <w:rFonts w:cs="Calibri"/>
                      <w:kern w:val="0"/>
                      <w:szCs w:val="22"/>
                    </w:rPr>
                    <w:t>L</w:t>
                  </w:r>
                </w:p>
              </w:tc>
              <w:tc>
                <w:tcPr>
                  <w:tcW w:w="669" w:type="pct"/>
                  <w:vAlign w:val="center"/>
                </w:tcPr>
                <w:p w14:paraId="1141F8E0">
                  <w:pPr>
                    <w:widowControl/>
                    <w:jc w:val="center"/>
                    <w:rPr>
                      <w:rFonts w:cs="Calibri"/>
                      <w:kern w:val="0"/>
                      <w:szCs w:val="22"/>
                    </w:rPr>
                  </w:pPr>
                  <w:r>
                    <w:rPr>
                      <w:rFonts w:cs="Calibri"/>
                      <w:kern w:val="0"/>
                      <w:szCs w:val="22"/>
                    </w:rPr>
                    <w:t>0.005</w:t>
                  </w:r>
                </w:p>
              </w:tc>
              <w:tc>
                <w:tcPr>
                  <w:tcW w:w="928" w:type="pct"/>
                  <w:vAlign w:val="center"/>
                </w:tcPr>
                <w:p w14:paraId="2AF562D9">
                  <w:pPr>
                    <w:widowControl/>
                    <w:jc w:val="center"/>
                    <w:rPr>
                      <w:rFonts w:cs="宋体"/>
                      <w:kern w:val="0"/>
                      <w:szCs w:val="22"/>
                    </w:rPr>
                  </w:pPr>
                  <w:r>
                    <w:rPr>
                      <w:rFonts w:hint="eastAsia" w:cs="宋体"/>
                      <w:kern w:val="0"/>
                      <w:szCs w:val="22"/>
                    </w:rPr>
                    <w:t>0.05</w:t>
                  </w:r>
                </w:p>
              </w:tc>
            </w:tr>
            <w:tr w14:paraId="2010B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34AE7D4B">
                  <w:pPr>
                    <w:widowControl/>
                    <w:jc w:val="center"/>
                    <w:rPr>
                      <w:rFonts w:cs="Calibri"/>
                      <w:kern w:val="0"/>
                      <w:szCs w:val="22"/>
                    </w:rPr>
                  </w:pPr>
                </w:p>
              </w:tc>
              <w:tc>
                <w:tcPr>
                  <w:tcW w:w="909" w:type="pct"/>
                  <w:vAlign w:val="center"/>
                </w:tcPr>
                <w:p w14:paraId="25096C15">
                  <w:pPr>
                    <w:widowControl/>
                    <w:jc w:val="center"/>
                    <w:rPr>
                      <w:rFonts w:cs="Calibri"/>
                      <w:kern w:val="0"/>
                      <w:szCs w:val="22"/>
                    </w:rPr>
                  </w:pPr>
                  <w:r>
                    <w:rPr>
                      <w:rFonts w:cs="Calibri"/>
                      <w:kern w:val="0"/>
                      <w:szCs w:val="22"/>
                    </w:rPr>
                    <w:t>六价铬</w:t>
                  </w:r>
                </w:p>
              </w:tc>
              <w:tc>
                <w:tcPr>
                  <w:tcW w:w="752" w:type="pct"/>
                  <w:vAlign w:val="center"/>
                </w:tcPr>
                <w:p w14:paraId="75842031">
                  <w:pPr>
                    <w:widowControl/>
                    <w:jc w:val="center"/>
                    <w:rPr>
                      <w:rFonts w:cs="Calibri"/>
                      <w:kern w:val="0"/>
                      <w:szCs w:val="22"/>
                    </w:rPr>
                  </w:pPr>
                  <w:r>
                    <w:rPr>
                      <w:rFonts w:cs="Calibri"/>
                      <w:kern w:val="0"/>
                      <w:szCs w:val="22"/>
                    </w:rPr>
                    <w:t>mg/L</w:t>
                  </w:r>
                </w:p>
              </w:tc>
              <w:tc>
                <w:tcPr>
                  <w:tcW w:w="1252" w:type="pct"/>
                  <w:vAlign w:val="center"/>
                </w:tcPr>
                <w:p w14:paraId="68D3EB57">
                  <w:pPr>
                    <w:widowControl/>
                    <w:jc w:val="center"/>
                    <w:rPr>
                      <w:rFonts w:cs="Calibri"/>
                      <w:kern w:val="0"/>
                      <w:szCs w:val="22"/>
                    </w:rPr>
                  </w:pPr>
                  <w:r>
                    <w:rPr>
                      <w:rFonts w:cs="Calibri"/>
                      <w:kern w:val="0"/>
                      <w:szCs w:val="22"/>
                    </w:rPr>
                    <w:t>0.032</w:t>
                  </w:r>
                </w:p>
              </w:tc>
              <w:tc>
                <w:tcPr>
                  <w:tcW w:w="669" w:type="pct"/>
                  <w:vAlign w:val="center"/>
                </w:tcPr>
                <w:p w14:paraId="24F8460B">
                  <w:pPr>
                    <w:widowControl/>
                    <w:jc w:val="center"/>
                    <w:rPr>
                      <w:rFonts w:cs="Calibri"/>
                      <w:kern w:val="0"/>
                      <w:szCs w:val="22"/>
                    </w:rPr>
                  </w:pPr>
                  <w:r>
                    <w:rPr>
                      <w:rFonts w:cs="Calibri"/>
                      <w:kern w:val="0"/>
                      <w:szCs w:val="22"/>
                    </w:rPr>
                    <w:t>0.05</w:t>
                  </w:r>
                </w:p>
              </w:tc>
              <w:tc>
                <w:tcPr>
                  <w:tcW w:w="928" w:type="pct"/>
                  <w:vAlign w:val="center"/>
                </w:tcPr>
                <w:p w14:paraId="63A3DAE0">
                  <w:pPr>
                    <w:widowControl/>
                    <w:jc w:val="center"/>
                    <w:rPr>
                      <w:rFonts w:cs="宋体"/>
                      <w:kern w:val="0"/>
                      <w:szCs w:val="22"/>
                    </w:rPr>
                  </w:pPr>
                  <w:r>
                    <w:rPr>
                      <w:rFonts w:hint="eastAsia" w:cs="宋体"/>
                      <w:kern w:val="0"/>
                      <w:szCs w:val="22"/>
                    </w:rPr>
                    <w:t>0.64</w:t>
                  </w:r>
                </w:p>
              </w:tc>
            </w:tr>
            <w:tr w14:paraId="6E66C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3D34A18F">
                  <w:pPr>
                    <w:widowControl/>
                    <w:jc w:val="center"/>
                    <w:rPr>
                      <w:rFonts w:cs="Calibri"/>
                      <w:kern w:val="0"/>
                      <w:szCs w:val="22"/>
                    </w:rPr>
                  </w:pPr>
                </w:p>
              </w:tc>
              <w:tc>
                <w:tcPr>
                  <w:tcW w:w="909" w:type="pct"/>
                  <w:vAlign w:val="center"/>
                </w:tcPr>
                <w:p w14:paraId="2726CD7B">
                  <w:pPr>
                    <w:widowControl/>
                    <w:jc w:val="center"/>
                    <w:rPr>
                      <w:rFonts w:cs="Calibri"/>
                      <w:kern w:val="0"/>
                      <w:szCs w:val="22"/>
                    </w:rPr>
                  </w:pPr>
                  <w:r>
                    <w:rPr>
                      <w:rFonts w:cs="Calibri"/>
                      <w:kern w:val="0"/>
                      <w:szCs w:val="22"/>
                    </w:rPr>
                    <w:t>铅</w:t>
                  </w:r>
                </w:p>
              </w:tc>
              <w:tc>
                <w:tcPr>
                  <w:tcW w:w="752" w:type="pct"/>
                  <w:vAlign w:val="center"/>
                </w:tcPr>
                <w:p w14:paraId="16A5BC0E">
                  <w:pPr>
                    <w:widowControl/>
                    <w:jc w:val="center"/>
                    <w:rPr>
                      <w:rFonts w:cs="Calibri"/>
                      <w:kern w:val="0"/>
                      <w:szCs w:val="22"/>
                    </w:rPr>
                  </w:pPr>
                  <w:r>
                    <w:rPr>
                      <w:rFonts w:cs="Calibri"/>
                      <w:kern w:val="0"/>
                      <w:szCs w:val="22"/>
                    </w:rPr>
                    <w:t>mg/L</w:t>
                  </w:r>
                </w:p>
              </w:tc>
              <w:tc>
                <w:tcPr>
                  <w:tcW w:w="1252" w:type="pct"/>
                  <w:vAlign w:val="center"/>
                </w:tcPr>
                <w:p w14:paraId="6F2C2CCA">
                  <w:pPr>
                    <w:widowControl/>
                    <w:jc w:val="center"/>
                    <w:rPr>
                      <w:rFonts w:cs="Calibri"/>
                      <w:kern w:val="0"/>
                      <w:szCs w:val="22"/>
                    </w:rPr>
                  </w:pPr>
                  <w:r>
                    <w:rPr>
                      <w:rFonts w:cs="Calibri"/>
                      <w:kern w:val="0"/>
                      <w:szCs w:val="22"/>
                    </w:rPr>
                    <w:t>5.7</w:t>
                  </w:r>
                  <w:r>
                    <w:t>×</w:t>
                  </w:r>
                  <w:r>
                    <w:rPr>
                      <w:rFonts w:cs="Calibri"/>
                      <w:kern w:val="0"/>
                      <w:szCs w:val="22"/>
                    </w:rPr>
                    <w:t>10</w:t>
                  </w:r>
                  <w:r>
                    <w:rPr>
                      <w:rFonts w:cs="Calibri"/>
                      <w:kern w:val="0"/>
                      <w:szCs w:val="22"/>
                      <w:vertAlign w:val="superscript"/>
                    </w:rPr>
                    <w:t>-3</w:t>
                  </w:r>
                </w:p>
              </w:tc>
              <w:tc>
                <w:tcPr>
                  <w:tcW w:w="669" w:type="pct"/>
                  <w:vAlign w:val="center"/>
                </w:tcPr>
                <w:p w14:paraId="0CBF3B12">
                  <w:pPr>
                    <w:widowControl/>
                    <w:jc w:val="center"/>
                    <w:rPr>
                      <w:rFonts w:cs="Calibri"/>
                      <w:kern w:val="0"/>
                      <w:szCs w:val="22"/>
                    </w:rPr>
                  </w:pPr>
                  <w:r>
                    <w:rPr>
                      <w:rFonts w:cs="Calibri"/>
                      <w:kern w:val="0"/>
                      <w:szCs w:val="22"/>
                    </w:rPr>
                    <w:t>0.01</w:t>
                  </w:r>
                </w:p>
              </w:tc>
              <w:tc>
                <w:tcPr>
                  <w:tcW w:w="928" w:type="pct"/>
                  <w:vAlign w:val="center"/>
                </w:tcPr>
                <w:p w14:paraId="1F49D46B">
                  <w:pPr>
                    <w:widowControl/>
                    <w:jc w:val="center"/>
                    <w:rPr>
                      <w:rFonts w:cs="宋体"/>
                      <w:kern w:val="0"/>
                      <w:szCs w:val="22"/>
                    </w:rPr>
                  </w:pPr>
                  <w:r>
                    <w:rPr>
                      <w:rFonts w:hint="eastAsia" w:cs="宋体"/>
                      <w:kern w:val="0"/>
                      <w:szCs w:val="22"/>
                    </w:rPr>
                    <w:t>0.57</w:t>
                  </w:r>
                </w:p>
              </w:tc>
            </w:tr>
            <w:tr w14:paraId="7DB90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91" w:type="pct"/>
                  <w:vMerge w:val="continue"/>
                  <w:vAlign w:val="center"/>
                </w:tcPr>
                <w:p w14:paraId="78D971E3">
                  <w:pPr>
                    <w:widowControl/>
                    <w:jc w:val="center"/>
                    <w:rPr>
                      <w:rFonts w:cs="Calibri"/>
                      <w:kern w:val="0"/>
                      <w:szCs w:val="22"/>
                    </w:rPr>
                  </w:pPr>
                </w:p>
              </w:tc>
              <w:tc>
                <w:tcPr>
                  <w:tcW w:w="909" w:type="pct"/>
                  <w:vAlign w:val="center"/>
                </w:tcPr>
                <w:p w14:paraId="48F30321">
                  <w:pPr>
                    <w:widowControl/>
                    <w:jc w:val="center"/>
                    <w:rPr>
                      <w:rFonts w:cs="Calibri"/>
                      <w:kern w:val="0"/>
                      <w:szCs w:val="22"/>
                    </w:rPr>
                  </w:pPr>
                  <w:r>
                    <w:rPr>
                      <w:rFonts w:cs="Calibri"/>
                      <w:kern w:val="0"/>
                      <w:szCs w:val="22"/>
                    </w:rPr>
                    <w:t>石油类</w:t>
                  </w:r>
                </w:p>
              </w:tc>
              <w:tc>
                <w:tcPr>
                  <w:tcW w:w="752" w:type="pct"/>
                  <w:vAlign w:val="center"/>
                </w:tcPr>
                <w:p w14:paraId="2DCBF7F5">
                  <w:pPr>
                    <w:widowControl/>
                    <w:jc w:val="center"/>
                    <w:rPr>
                      <w:rFonts w:cs="Calibri"/>
                      <w:kern w:val="0"/>
                      <w:szCs w:val="22"/>
                    </w:rPr>
                  </w:pPr>
                  <w:r>
                    <w:rPr>
                      <w:rFonts w:cs="Calibri"/>
                      <w:kern w:val="0"/>
                      <w:szCs w:val="22"/>
                    </w:rPr>
                    <w:t>mg/L</w:t>
                  </w:r>
                </w:p>
              </w:tc>
              <w:tc>
                <w:tcPr>
                  <w:tcW w:w="1252" w:type="pct"/>
                  <w:vAlign w:val="center"/>
                </w:tcPr>
                <w:p w14:paraId="04F44C39">
                  <w:pPr>
                    <w:widowControl/>
                    <w:jc w:val="center"/>
                    <w:rPr>
                      <w:rFonts w:cs="Calibri"/>
                      <w:kern w:val="0"/>
                      <w:szCs w:val="22"/>
                    </w:rPr>
                  </w:pPr>
                  <w:r>
                    <w:rPr>
                      <w:rFonts w:cs="Calibri"/>
                      <w:kern w:val="0"/>
                      <w:szCs w:val="22"/>
                    </w:rPr>
                    <w:t>0.08</w:t>
                  </w:r>
                </w:p>
              </w:tc>
              <w:tc>
                <w:tcPr>
                  <w:tcW w:w="669" w:type="pct"/>
                  <w:vAlign w:val="center"/>
                </w:tcPr>
                <w:p w14:paraId="2B1CCE7F">
                  <w:pPr>
                    <w:widowControl/>
                    <w:jc w:val="center"/>
                    <w:rPr>
                      <w:rFonts w:cs="Calibri"/>
                      <w:kern w:val="0"/>
                      <w:szCs w:val="22"/>
                    </w:rPr>
                  </w:pPr>
                  <w:r>
                    <w:rPr>
                      <w:rFonts w:cs="Calibri"/>
                      <w:kern w:val="0"/>
                      <w:szCs w:val="22"/>
                    </w:rPr>
                    <w:t>/</w:t>
                  </w:r>
                </w:p>
              </w:tc>
              <w:tc>
                <w:tcPr>
                  <w:tcW w:w="928" w:type="pct"/>
                  <w:vAlign w:val="center"/>
                </w:tcPr>
                <w:p w14:paraId="0B2AA2ED">
                  <w:pPr>
                    <w:widowControl/>
                    <w:jc w:val="center"/>
                    <w:rPr>
                      <w:rFonts w:cs="Calibri"/>
                      <w:kern w:val="0"/>
                      <w:szCs w:val="22"/>
                    </w:rPr>
                  </w:pPr>
                  <w:r>
                    <w:rPr>
                      <w:rFonts w:cs="Calibri"/>
                      <w:kern w:val="0"/>
                      <w:szCs w:val="22"/>
                    </w:rPr>
                    <w:t>/</w:t>
                  </w:r>
                </w:p>
              </w:tc>
            </w:tr>
            <w:tr w14:paraId="2A081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00" w:type="pct"/>
                  <w:gridSpan w:val="6"/>
                  <w:vAlign w:val="center"/>
                </w:tcPr>
                <w:p w14:paraId="5C579732">
                  <w:pPr>
                    <w:widowControl/>
                    <w:rPr>
                      <w:rFonts w:cs="Calibri"/>
                      <w:kern w:val="0"/>
                      <w:szCs w:val="22"/>
                    </w:rPr>
                  </w:pPr>
                  <w:r>
                    <w:rPr>
                      <w:rFonts w:hint="eastAsia" w:cs="Calibri"/>
                      <w:kern w:val="0"/>
                      <w:szCs w:val="22"/>
                    </w:rPr>
                    <w:t>备注</w:t>
                  </w:r>
                  <w:r>
                    <w:rPr>
                      <w:rFonts w:cs="Calibri"/>
                      <w:kern w:val="0"/>
                      <w:szCs w:val="22"/>
                    </w:rPr>
                    <w:t>:1</w:t>
                  </w:r>
                  <w:r>
                    <w:rPr>
                      <w:rFonts w:hint="eastAsia" w:cs="Calibri"/>
                      <w:kern w:val="0"/>
                      <w:szCs w:val="22"/>
                    </w:rPr>
                    <w:t>、执行《地下水质量标准</w:t>
                  </w:r>
                  <w:r>
                    <w:rPr>
                      <w:rFonts w:cs="Calibri"/>
                      <w:kern w:val="0"/>
                      <w:szCs w:val="22"/>
                    </w:rPr>
                    <w:t>)(GBT14848-2017)</w:t>
                  </w:r>
                  <w:r>
                    <w:rPr>
                      <w:rFonts w:hint="eastAsia" w:cs="Calibri"/>
                      <w:kern w:val="0"/>
                      <w:szCs w:val="22"/>
                    </w:rPr>
                    <w:t>中的Ⅲ类；</w:t>
                  </w:r>
                </w:p>
                <w:p w14:paraId="388417BF">
                  <w:pPr>
                    <w:widowControl/>
                    <w:rPr>
                      <w:rFonts w:cs="Calibri"/>
                      <w:kern w:val="0"/>
                      <w:szCs w:val="22"/>
                    </w:rPr>
                  </w:pPr>
                  <w:r>
                    <w:rPr>
                      <w:rFonts w:cs="Calibri"/>
                      <w:kern w:val="0"/>
                      <w:szCs w:val="22"/>
                    </w:rPr>
                    <w:t>2</w:t>
                  </w:r>
                  <w:r>
                    <w:rPr>
                      <w:rFonts w:hint="eastAsia" w:cs="Calibri"/>
                      <w:kern w:val="0"/>
                      <w:szCs w:val="22"/>
                    </w:rPr>
                    <w:t>、“/</w:t>
                  </w:r>
                  <w:r>
                    <w:rPr>
                      <w:rFonts w:cs="Calibri"/>
                      <w:kern w:val="0"/>
                      <w:szCs w:val="22"/>
                    </w:rPr>
                    <w:t>”</w:t>
                  </w:r>
                  <w:r>
                    <w:rPr>
                      <w:rFonts w:hint="eastAsia" w:cs="Calibri"/>
                      <w:kern w:val="0"/>
                      <w:szCs w:val="22"/>
                    </w:rPr>
                    <w:t>表示执行标准</w:t>
                  </w:r>
                  <w:r>
                    <w:rPr>
                      <w:rFonts w:cs="Calibri"/>
                      <w:kern w:val="0"/>
                      <w:szCs w:val="22"/>
                    </w:rPr>
                    <w:t>(GB/T14848-2017)</w:t>
                  </w:r>
                  <w:r>
                    <w:rPr>
                      <w:rFonts w:hint="eastAsia" w:cs="Calibri"/>
                      <w:kern w:val="0"/>
                      <w:szCs w:val="22"/>
                    </w:rPr>
                    <w:t>未对该项目作出限值要求；</w:t>
                  </w:r>
                </w:p>
                <w:p w14:paraId="4ECCA557">
                  <w:pPr>
                    <w:widowControl/>
                    <w:rPr>
                      <w:rFonts w:cs="Calibri"/>
                      <w:kern w:val="0"/>
                      <w:szCs w:val="22"/>
                    </w:rPr>
                  </w:pPr>
                  <w:r>
                    <w:rPr>
                      <w:rFonts w:cs="Calibri"/>
                      <w:kern w:val="0"/>
                      <w:szCs w:val="22"/>
                    </w:rPr>
                    <w:t>3</w:t>
                  </w:r>
                  <w:r>
                    <w:rPr>
                      <w:rFonts w:hint="eastAsia" w:cs="Calibri"/>
                      <w:kern w:val="0"/>
                      <w:szCs w:val="22"/>
                    </w:rPr>
                    <w:t>、“</w:t>
                  </w:r>
                  <w:r>
                    <w:rPr>
                      <w:rFonts w:cs="Calibri"/>
                      <w:kern w:val="0"/>
                      <w:szCs w:val="22"/>
                    </w:rPr>
                    <w:t>L”</w:t>
                  </w:r>
                  <w:r>
                    <w:rPr>
                      <w:rFonts w:hint="eastAsia" w:cs="Calibri"/>
                      <w:kern w:val="0"/>
                      <w:szCs w:val="22"/>
                    </w:rPr>
                    <w:t>表示检测结果低于该项目方法检出限；</w:t>
                  </w:r>
                </w:p>
                <w:p w14:paraId="3E6E56E3">
                  <w:pPr>
                    <w:widowControl/>
                    <w:rPr>
                      <w:rFonts w:cs="Calibri"/>
                      <w:kern w:val="0"/>
                      <w:szCs w:val="22"/>
                    </w:rPr>
                  </w:pPr>
                  <w:r>
                    <w:rPr>
                      <w:rFonts w:hint="eastAsia" w:cs="Calibri"/>
                      <w:kern w:val="0"/>
                      <w:szCs w:val="22"/>
                    </w:rPr>
                    <w:t>4、低于检出限按检出限的一半评价。</w:t>
                  </w:r>
                </w:p>
              </w:tc>
            </w:tr>
          </w:tbl>
          <w:p w14:paraId="5C06510D">
            <w:pPr>
              <w:pStyle w:val="12"/>
              <w:spacing w:before="120" w:beforeLines="50" w:line="360" w:lineRule="auto"/>
              <w:ind w:left="0" w:leftChars="0" w:firstLine="0" w:firstLineChars="0"/>
              <w:jc w:val="center"/>
              <w:rPr>
                <w:b/>
              </w:rPr>
            </w:pPr>
            <w:r>
              <w:rPr>
                <w:rFonts w:hint="eastAsia"/>
                <w:b/>
              </w:rPr>
              <w:t>表3-3 土壤环境质量</w:t>
            </w:r>
            <w:r>
              <w:rPr>
                <w:b/>
              </w:rPr>
              <w:t>监测</w:t>
            </w:r>
            <w:r>
              <w:rPr>
                <w:rFonts w:hint="eastAsia"/>
                <w:b/>
              </w:rPr>
              <w:t>数据</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2069"/>
              <w:gridCol w:w="1599"/>
              <w:gridCol w:w="2473"/>
              <w:gridCol w:w="1471"/>
            </w:tblGrid>
            <w:tr w14:paraId="0A65D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Align w:val="center"/>
                </w:tcPr>
                <w:p w14:paraId="1932676F">
                  <w:pPr>
                    <w:widowControl/>
                    <w:jc w:val="center"/>
                    <w:rPr>
                      <w:rFonts w:cs="宋体"/>
                      <w:kern w:val="0"/>
                      <w:szCs w:val="22"/>
                    </w:rPr>
                  </w:pPr>
                  <w:r>
                    <w:rPr>
                      <w:rFonts w:hint="eastAsia" w:cs="宋体"/>
                      <w:kern w:val="0"/>
                      <w:szCs w:val="22"/>
                    </w:rPr>
                    <w:t>检测点位</w:t>
                  </w:r>
                </w:p>
              </w:tc>
              <w:tc>
                <w:tcPr>
                  <w:tcW w:w="1188" w:type="pct"/>
                  <w:vAlign w:val="center"/>
                </w:tcPr>
                <w:p w14:paraId="3DB6D016">
                  <w:pPr>
                    <w:widowControl/>
                    <w:jc w:val="center"/>
                    <w:rPr>
                      <w:rFonts w:cs="Calibri"/>
                      <w:kern w:val="0"/>
                      <w:szCs w:val="22"/>
                    </w:rPr>
                  </w:pPr>
                  <w:r>
                    <w:rPr>
                      <w:rFonts w:cs="Calibri"/>
                      <w:kern w:val="0"/>
                      <w:szCs w:val="22"/>
                    </w:rPr>
                    <w:t>检测项目</w:t>
                  </w:r>
                </w:p>
              </w:tc>
              <w:tc>
                <w:tcPr>
                  <w:tcW w:w="918" w:type="pct"/>
                  <w:vAlign w:val="center"/>
                </w:tcPr>
                <w:p w14:paraId="2959AFC4">
                  <w:pPr>
                    <w:widowControl/>
                    <w:jc w:val="center"/>
                    <w:rPr>
                      <w:rFonts w:cs="Calibri"/>
                      <w:kern w:val="0"/>
                      <w:szCs w:val="22"/>
                    </w:rPr>
                  </w:pPr>
                  <w:r>
                    <w:rPr>
                      <w:rFonts w:cs="Calibri"/>
                      <w:kern w:val="0"/>
                      <w:szCs w:val="22"/>
                    </w:rPr>
                    <w:t>单位</w:t>
                  </w:r>
                </w:p>
              </w:tc>
              <w:tc>
                <w:tcPr>
                  <w:tcW w:w="1420" w:type="pct"/>
                  <w:vAlign w:val="center"/>
                </w:tcPr>
                <w:p w14:paraId="70B8A886">
                  <w:pPr>
                    <w:widowControl/>
                    <w:jc w:val="center"/>
                    <w:rPr>
                      <w:rFonts w:cs="Calibri"/>
                      <w:kern w:val="0"/>
                      <w:szCs w:val="22"/>
                    </w:rPr>
                  </w:pPr>
                  <w:r>
                    <w:rPr>
                      <w:rFonts w:cs="Calibri"/>
                      <w:kern w:val="0"/>
                      <w:szCs w:val="22"/>
                    </w:rPr>
                    <w:t>检测点位及检测结果</w:t>
                  </w:r>
                </w:p>
              </w:tc>
              <w:tc>
                <w:tcPr>
                  <w:tcW w:w="844" w:type="pct"/>
                  <w:vAlign w:val="center"/>
                </w:tcPr>
                <w:p w14:paraId="772610F7">
                  <w:pPr>
                    <w:widowControl/>
                    <w:jc w:val="center"/>
                    <w:rPr>
                      <w:rFonts w:cs="宋体"/>
                      <w:kern w:val="0"/>
                      <w:szCs w:val="22"/>
                    </w:rPr>
                  </w:pPr>
                  <w:r>
                    <w:rPr>
                      <w:rFonts w:hint="eastAsia" w:cs="宋体"/>
                      <w:kern w:val="0"/>
                      <w:szCs w:val="22"/>
                    </w:rPr>
                    <w:t>标准限值</w:t>
                  </w:r>
                </w:p>
              </w:tc>
            </w:tr>
            <w:tr w14:paraId="363C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restart"/>
                  <w:vAlign w:val="center"/>
                </w:tcPr>
                <w:p w14:paraId="7EF64FC6">
                  <w:pPr>
                    <w:widowControl/>
                    <w:jc w:val="center"/>
                    <w:rPr>
                      <w:rFonts w:cs="Calibri"/>
                      <w:kern w:val="0"/>
                      <w:szCs w:val="22"/>
                    </w:rPr>
                  </w:pPr>
                  <w:r>
                    <w:rPr>
                      <w:rFonts w:cs="Calibri"/>
                      <w:kern w:val="0"/>
                      <w:szCs w:val="22"/>
                    </w:rPr>
                    <w:t>S1</w:t>
                  </w:r>
                  <w:r>
                    <w:rPr>
                      <w:rFonts w:hint="eastAsia" w:cs="Calibri"/>
                      <w:kern w:val="0"/>
                      <w:szCs w:val="22"/>
                    </w:rPr>
                    <w:t>土壤监测点表层</w:t>
                  </w:r>
                </w:p>
              </w:tc>
              <w:tc>
                <w:tcPr>
                  <w:tcW w:w="1188" w:type="pct"/>
                  <w:vAlign w:val="center"/>
                </w:tcPr>
                <w:p w14:paraId="4A5F6BA5">
                  <w:pPr>
                    <w:widowControl/>
                    <w:jc w:val="center"/>
                    <w:rPr>
                      <w:rFonts w:cs="Calibri"/>
                      <w:kern w:val="0"/>
                      <w:szCs w:val="22"/>
                    </w:rPr>
                  </w:pPr>
                  <w:r>
                    <w:rPr>
                      <w:rFonts w:cs="Calibri"/>
                      <w:kern w:val="0"/>
                      <w:szCs w:val="22"/>
                    </w:rPr>
                    <w:t>四氯化碳</w:t>
                  </w:r>
                </w:p>
              </w:tc>
              <w:tc>
                <w:tcPr>
                  <w:tcW w:w="918" w:type="pct"/>
                  <w:vAlign w:val="center"/>
                </w:tcPr>
                <w:p w14:paraId="49B17793">
                  <w:pPr>
                    <w:widowControl/>
                    <w:jc w:val="center"/>
                    <w:rPr>
                      <w:rFonts w:cs="Calibri"/>
                      <w:kern w:val="0"/>
                      <w:szCs w:val="22"/>
                    </w:rPr>
                  </w:pPr>
                  <w:r>
                    <w:rPr>
                      <w:rFonts w:cs="Calibri"/>
                      <w:kern w:val="0"/>
                      <w:szCs w:val="22"/>
                    </w:rPr>
                    <w:t>mg/kg</w:t>
                  </w:r>
                </w:p>
              </w:tc>
              <w:tc>
                <w:tcPr>
                  <w:tcW w:w="1420" w:type="pct"/>
                  <w:vAlign w:val="center"/>
                </w:tcPr>
                <w:p w14:paraId="38452C0D">
                  <w:pPr>
                    <w:widowControl/>
                    <w:jc w:val="center"/>
                    <w:rPr>
                      <w:rFonts w:cs="Calibri"/>
                      <w:kern w:val="0"/>
                      <w:szCs w:val="22"/>
                    </w:rPr>
                  </w:pPr>
                  <w:r>
                    <w:rPr>
                      <w:rFonts w:cs="Calibri"/>
                      <w:kern w:val="0"/>
                      <w:szCs w:val="22"/>
                    </w:rPr>
                    <w:t>未检出</w:t>
                  </w:r>
                </w:p>
              </w:tc>
              <w:tc>
                <w:tcPr>
                  <w:tcW w:w="844" w:type="pct"/>
                  <w:vAlign w:val="center"/>
                </w:tcPr>
                <w:p w14:paraId="50B7CCE8">
                  <w:pPr>
                    <w:widowControl/>
                    <w:jc w:val="center"/>
                    <w:rPr>
                      <w:rFonts w:cs="Calibri"/>
                      <w:kern w:val="0"/>
                      <w:szCs w:val="22"/>
                    </w:rPr>
                  </w:pPr>
                  <w:r>
                    <w:rPr>
                      <w:rFonts w:cs="Calibri"/>
                      <w:kern w:val="0"/>
                      <w:szCs w:val="22"/>
                    </w:rPr>
                    <w:t>2.8</w:t>
                  </w:r>
                </w:p>
              </w:tc>
            </w:tr>
            <w:tr w14:paraId="0975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54975398">
                  <w:pPr>
                    <w:widowControl/>
                    <w:jc w:val="center"/>
                    <w:rPr>
                      <w:rFonts w:cs="Calibri"/>
                      <w:kern w:val="0"/>
                      <w:szCs w:val="22"/>
                    </w:rPr>
                  </w:pPr>
                </w:p>
              </w:tc>
              <w:tc>
                <w:tcPr>
                  <w:tcW w:w="1188" w:type="pct"/>
                  <w:vAlign w:val="center"/>
                </w:tcPr>
                <w:p w14:paraId="4C6ED22C">
                  <w:pPr>
                    <w:widowControl/>
                    <w:jc w:val="center"/>
                    <w:rPr>
                      <w:rFonts w:cs="Calibri"/>
                      <w:kern w:val="0"/>
                      <w:szCs w:val="22"/>
                    </w:rPr>
                  </w:pPr>
                  <w:r>
                    <w:rPr>
                      <w:rFonts w:cs="Calibri"/>
                      <w:kern w:val="0"/>
                      <w:szCs w:val="22"/>
                    </w:rPr>
                    <w:t>氯仿</w:t>
                  </w:r>
                </w:p>
              </w:tc>
              <w:tc>
                <w:tcPr>
                  <w:tcW w:w="918" w:type="pct"/>
                  <w:vAlign w:val="center"/>
                </w:tcPr>
                <w:p w14:paraId="5281C7A9">
                  <w:pPr>
                    <w:widowControl/>
                    <w:jc w:val="center"/>
                    <w:rPr>
                      <w:rFonts w:cs="Calibri"/>
                      <w:kern w:val="0"/>
                      <w:szCs w:val="22"/>
                    </w:rPr>
                  </w:pPr>
                  <w:r>
                    <w:rPr>
                      <w:rFonts w:cs="Calibri"/>
                      <w:kern w:val="0"/>
                      <w:szCs w:val="22"/>
                    </w:rPr>
                    <w:t>mg/kg</w:t>
                  </w:r>
                </w:p>
              </w:tc>
              <w:tc>
                <w:tcPr>
                  <w:tcW w:w="1420" w:type="pct"/>
                  <w:vAlign w:val="center"/>
                </w:tcPr>
                <w:p w14:paraId="57D58AE4">
                  <w:pPr>
                    <w:widowControl/>
                    <w:jc w:val="center"/>
                    <w:rPr>
                      <w:rFonts w:cs="Calibri"/>
                      <w:kern w:val="0"/>
                      <w:szCs w:val="22"/>
                    </w:rPr>
                  </w:pPr>
                  <w:r>
                    <w:rPr>
                      <w:rFonts w:cs="Calibri"/>
                      <w:kern w:val="0"/>
                      <w:szCs w:val="22"/>
                    </w:rPr>
                    <w:t>7.2</w:t>
                  </w:r>
                  <w:r>
                    <w:t>×</w:t>
                  </w:r>
                  <w:r>
                    <w:rPr>
                      <w:rFonts w:cs="Calibri"/>
                      <w:kern w:val="0"/>
                      <w:szCs w:val="22"/>
                    </w:rPr>
                    <w:t>10</w:t>
                  </w:r>
                  <w:r>
                    <w:rPr>
                      <w:rFonts w:cs="Calibri"/>
                      <w:kern w:val="0"/>
                      <w:szCs w:val="22"/>
                      <w:vertAlign w:val="superscript"/>
                    </w:rPr>
                    <w:t>-3</w:t>
                  </w:r>
                </w:p>
              </w:tc>
              <w:tc>
                <w:tcPr>
                  <w:tcW w:w="844" w:type="pct"/>
                  <w:vAlign w:val="center"/>
                </w:tcPr>
                <w:p w14:paraId="363E2744">
                  <w:pPr>
                    <w:widowControl/>
                    <w:jc w:val="center"/>
                    <w:rPr>
                      <w:rFonts w:cs="Calibri"/>
                      <w:kern w:val="0"/>
                      <w:szCs w:val="22"/>
                    </w:rPr>
                  </w:pPr>
                  <w:r>
                    <w:rPr>
                      <w:rFonts w:cs="Calibri"/>
                      <w:kern w:val="0"/>
                      <w:szCs w:val="22"/>
                    </w:rPr>
                    <w:t>0.9</w:t>
                  </w:r>
                </w:p>
              </w:tc>
            </w:tr>
            <w:tr w14:paraId="7A3BE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71F57742">
                  <w:pPr>
                    <w:widowControl/>
                    <w:jc w:val="center"/>
                    <w:rPr>
                      <w:rFonts w:cs="Calibri"/>
                      <w:kern w:val="0"/>
                      <w:szCs w:val="22"/>
                    </w:rPr>
                  </w:pPr>
                </w:p>
              </w:tc>
              <w:tc>
                <w:tcPr>
                  <w:tcW w:w="1188" w:type="pct"/>
                  <w:vAlign w:val="center"/>
                </w:tcPr>
                <w:p w14:paraId="70ED168F">
                  <w:pPr>
                    <w:widowControl/>
                    <w:jc w:val="center"/>
                    <w:rPr>
                      <w:rFonts w:cs="Calibri"/>
                      <w:kern w:val="0"/>
                      <w:szCs w:val="22"/>
                    </w:rPr>
                  </w:pPr>
                  <w:r>
                    <w:rPr>
                      <w:rFonts w:cs="Calibri"/>
                      <w:kern w:val="0"/>
                      <w:szCs w:val="22"/>
                    </w:rPr>
                    <w:t>氯甲烷</w:t>
                  </w:r>
                </w:p>
              </w:tc>
              <w:tc>
                <w:tcPr>
                  <w:tcW w:w="918" w:type="pct"/>
                  <w:vAlign w:val="center"/>
                </w:tcPr>
                <w:p w14:paraId="52876841">
                  <w:pPr>
                    <w:widowControl/>
                    <w:jc w:val="center"/>
                    <w:rPr>
                      <w:rFonts w:cs="Calibri"/>
                      <w:kern w:val="0"/>
                      <w:szCs w:val="22"/>
                    </w:rPr>
                  </w:pPr>
                  <w:r>
                    <w:rPr>
                      <w:rFonts w:cs="Calibri"/>
                      <w:kern w:val="0"/>
                      <w:szCs w:val="22"/>
                    </w:rPr>
                    <w:t>mg/kg</w:t>
                  </w:r>
                </w:p>
              </w:tc>
              <w:tc>
                <w:tcPr>
                  <w:tcW w:w="1420" w:type="pct"/>
                  <w:vAlign w:val="center"/>
                </w:tcPr>
                <w:p w14:paraId="2FB76CA4">
                  <w:pPr>
                    <w:widowControl/>
                    <w:jc w:val="center"/>
                    <w:rPr>
                      <w:rFonts w:cs="Calibri"/>
                      <w:kern w:val="0"/>
                      <w:szCs w:val="22"/>
                    </w:rPr>
                  </w:pPr>
                  <w:r>
                    <w:rPr>
                      <w:rFonts w:cs="Calibri"/>
                      <w:kern w:val="0"/>
                      <w:szCs w:val="22"/>
                    </w:rPr>
                    <w:t>未检出</w:t>
                  </w:r>
                </w:p>
              </w:tc>
              <w:tc>
                <w:tcPr>
                  <w:tcW w:w="844" w:type="pct"/>
                  <w:vAlign w:val="center"/>
                </w:tcPr>
                <w:p w14:paraId="2ACFA00D">
                  <w:pPr>
                    <w:widowControl/>
                    <w:jc w:val="center"/>
                    <w:rPr>
                      <w:rFonts w:cs="Calibri"/>
                      <w:kern w:val="0"/>
                      <w:szCs w:val="22"/>
                    </w:rPr>
                  </w:pPr>
                  <w:r>
                    <w:rPr>
                      <w:rFonts w:cs="Calibri"/>
                      <w:kern w:val="0"/>
                      <w:szCs w:val="22"/>
                    </w:rPr>
                    <w:t>37</w:t>
                  </w:r>
                </w:p>
              </w:tc>
            </w:tr>
            <w:tr w14:paraId="00A67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630" w:type="pct"/>
                  <w:vMerge w:val="continue"/>
                  <w:vAlign w:val="center"/>
                </w:tcPr>
                <w:p w14:paraId="6867DC8D">
                  <w:pPr>
                    <w:widowControl/>
                    <w:jc w:val="center"/>
                    <w:rPr>
                      <w:rFonts w:cs="Calibri"/>
                      <w:kern w:val="0"/>
                      <w:szCs w:val="22"/>
                    </w:rPr>
                  </w:pPr>
                </w:p>
              </w:tc>
              <w:tc>
                <w:tcPr>
                  <w:tcW w:w="1188" w:type="pct"/>
                  <w:vAlign w:val="center"/>
                </w:tcPr>
                <w:p w14:paraId="7384F957">
                  <w:pPr>
                    <w:widowControl/>
                    <w:jc w:val="center"/>
                    <w:rPr>
                      <w:rFonts w:cs="Calibri"/>
                      <w:kern w:val="0"/>
                      <w:szCs w:val="22"/>
                    </w:rPr>
                  </w:pPr>
                  <w:r>
                    <w:rPr>
                      <w:rFonts w:cs="Calibri"/>
                      <w:kern w:val="0"/>
                      <w:szCs w:val="22"/>
                    </w:rPr>
                    <w:t>1.1-二氯乙烷</w:t>
                  </w:r>
                </w:p>
              </w:tc>
              <w:tc>
                <w:tcPr>
                  <w:tcW w:w="918" w:type="pct"/>
                  <w:vAlign w:val="center"/>
                </w:tcPr>
                <w:p w14:paraId="4F5E82EE">
                  <w:pPr>
                    <w:widowControl/>
                    <w:jc w:val="center"/>
                    <w:rPr>
                      <w:rFonts w:cs="Calibri"/>
                      <w:kern w:val="0"/>
                      <w:szCs w:val="22"/>
                    </w:rPr>
                  </w:pPr>
                  <w:r>
                    <w:rPr>
                      <w:rFonts w:cs="Calibri"/>
                      <w:kern w:val="0"/>
                      <w:szCs w:val="22"/>
                    </w:rPr>
                    <w:t>mg/kg</w:t>
                  </w:r>
                </w:p>
              </w:tc>
              <w:tc>
                <w:tcPr>
                  <w:tcW w:w="1420" w:type="pct"/>
                  <w:vAlign w:val="center"/>
                </w:tcPr>
                <w:p w14:paraId="77D1B5E8">
                  <w:pPr>
                    <w:widowControl/>
                    <w:jc w:val="center"/>
                    <w:rPr>
                      <w:rFonts w:cs="Calibri"/>
                      <w:kern w:val="0"/>
                      <w:szCs w:val="22"/>
                    </w:rPr>
                  </w:pPr>
                  <w:r>
                    <w:rPr>
                      <w:rFonts w:cs="Calibri"/>
                      <w:kern w:val="0"/>
                      <w:szCs w:val="22"/>
                    </w:rPr>
                    <w:t>未检出</w:t>
                  </w:r>
                </w:p>
              </w:tc>
              <w:tc>
                <w:tcPr>
                  <w:tcW w:w="844" w:type="pct"/>
                  <w:vAlign w:val="center"/>
                </w:tcPr>
                <w:p w14:paraId="433C7021">
                  <w:pPr>
                    <w:widowControl/>
                    <w:jc w:val="center"/>
                    <w:rPr>
                      <w:rFonts w:cs="Calibri"/>
                      <w:kern w:val="0"/>
                      <w:szCs w:val="22"/>
                    </w:rPr>
                  </w:pPr>
                  <w:r>
                    <w:rPr>
                      <w:rFonts w:cs="Calibri"/>
                      <w:kern w:val="0"/>
                      <w:szCs w:val="22"/>
                    </w:rPr>
                    <w:t>9</w:t>
                  </w:r>
                </w:p>
              </w:tc>
            </w:tr>
            <w:tr w14:paraId="7C33A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0E0BC424">
                  <w:pPr>
                    <w:widowControl/>
                    <w:jc w:val="center"/>
                    <w:rPr>
                      <w:rFonts w:cs="Calibri"/>
                      <w:kern w:val="0"/>
                      <w:szCs w:val="22"/>
                    </w:rPr>
                  </w:pPr>
                </w:p>
              </w:tc>
              <w:tc>
                <w:tcPr>
                  <w:tcW w:w="1188" w:type="pct"/>
                  <w:vAlign w:val="center"/>
                </w:tcPr>
                <w:p w14:paraId="74704103">
                  <w:pPr>
                    <w:widowControl/>
                    <w:jc w:val="center"/>
                    <w:rPr>
                      <w:rFonts w:cs="Calibri"/>
                      <w:kern w:val="0"/>
                      <w:szCs w:val="22"/>
                    </w:rPr>
                  </w:pPr>
                  <w:r>
                    <w:rPr>
                      <w:rFonts w:cs="Calibri"/>
                      <w:kern w:val="0"/>
                      <w:szCs w:val="22"/>
                    </w:rPr>
                    <w:t>1.2-二氯乙烷</w:t>
                  </w:r>
                </w:p>
              </w:tc>
              <w:tc>
                <w:tcPr>
                  <w:tcW w:w="918" w:type="pct"/>
                  <w:vAlign w:val="center"/>
                </w:tcPr>
                <w:p w14:paraId="117B14AE">
                  <w:pPr>
                    <w:widowControl/>
                    <w:jc w:val="center"/>
                    <w:rPr>
                      <w:rFonts w:cs="Calibri"/>
                      <w:kern w:val="0"/>
                      <w:szCs w:val="22"/>
                    </w:rPr>
                  </w:pPr>
                  <w:r>
                    <w:rPr>
                      <w:rFonts w:cs="Calibri"/>
                      <w:kern w:val="0"/>
                      <w:szCs w:val="22"/>
                    </w:rPr>
                    <w:t>mg/kg</w:t>
                  </w:r>
                </w:p>
              </w:tc>
              <w:tc>
                <w:tcPr>
                  <w:tcW w:w="1420" w:type="pct"/>
                  <w:vAlign w:val="center"/>
                </w:tcPr>
                <w:p w14:paraId="39D50764">
                  <w:pPr>
                    <w:widowControl/>
                    <w:jc w:val="center"/>
                    <w:rPr>
                      <w:rFonts w:cs="Calibri"/>
                      <w:kern w:val="0"/>
                      <w:szCs w:val="22"/>
                    </w:rPr>
                  </w:pPr>
                  <w:r>
                    <w:rPr>
                      <w:rFonts w:cs="Calibri"/>
                      <w:kern w:val="0"/>
                      <w:szCs w:val="22"/>
                    </w:rPr>
                    <w:t>未检出</w:t>
                  </w:r>
                </w:p>
              </w:tc>
              <w:tc>
                <w:tcPr>
                  <w:tcW w:w="844" w:type="pct"/>
                  <w:vAlign w:val="center"/>
                </w:tcPr>
                <w:p w14:paraId="3C89594D">
                  <w:pPr>
                    <w:widowControl/>
                    <w:jc w:val="center"/>
                    <w:rPr>
                      <w:rFonts w:cs="Calibri"/>
                      <w:kern w:val="0"/>
                      <w:szCs w:val="22"/>
                    </w:rPr>
                  </w:pPr>
                  <w:r>
                    <w:rPr>
                      <w:rFonts w:cs="Calibri"/>
                      <w:kern w:val="0"/>
                      <w:szCs w:val="22"/>
                    </w:rPr>
                    <w:t>5</w:t>
                  </w:r>
                </w:p>
              </w:tc>
            </w:tr>
            <w:tr w14:paraId="65437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65A2281D">
                  <w:pPr>
                    <w:widowControl/>
                    <w:jc w:val="center"/>
                    <w:rPr>
                      <w:rFonts w:cs="Calibri"/>
                      <w:kern w:val="0"/>
                      <w:szCs w:val="22"/>
                    </w:rPr>
                  </w:pPr>
                </w:p>
              </w:tc>
              <w:tc>
                <w:tcPr>
                  <w:tcW w:w="1188" w:type="pct"/>
                  <w:vAlign w:val="center"/>
                </w:tcPr>
                <w:p w14:paraId="18E9D427">
                  <w:pPr>
                    <w:widowControl/>
                    <w:jc w:val="center"/>
                    <w:rPr>
                      <w:rFonts w:cs="Calibri"/>
                      <w:kern w:val="0"/>
                      <w:szCs w:val="22"/>
                    </w:rPr>
                  </w:pPr>
                  <w:r>
                    <w:rPr>
                      <w:rFonts w:cs="Calibri"/>
                      <w:kern w:val="0"/>
                      <w:szCs w:val="22"/>
                    </w:rPr>
                    <w:t>1.1-二氯乙烯</w:t>
                  </w:r>
                </w:p>
              </w:tc>
              <w:tc>
                <w:tcPr>
                  <w:tcW w:w="918" w:type="pct"/>
                  <w:vAlign w:val="center"/>
                </w:tcPr>
                <w:p w14:paraId="5D7C9A0F">
                  <w:pPr>
                    <w:widowControl/>
                    <w:jc w:val="center"/>
                    <w:rPr>
                      <w:rFonts w:cs="Calibri"/>
                      <w:kern w:val="0"/>
                      <w:szCs w:val="22"/>
                    </w:rPr>
                  </w:pPr>
                  <w:r>
                    <w:rPr>
                      <w:rFonts w:cs="Calibri"/>
                      <w:kern w:val="0"/>
                      <w:szCs w:val="22"/>
                    </w:rPr>
                    <w:t>mg/kg</w:t>
                  </w:r>
                </w:p>
              </w:tc>
              <w:tc>
                <w:tcPr>
                  <w:tcW w:w="1420" w:type="pct"/>
                  <w:vAlign w:val="center"/>
                </w:tcPr>
                <w:p w14:paraId="102F0CA4">
                  <w:pPr>
                    <w:widowControl/>
                    <w:jc w:val="center"/>
                    <w:rPr>
                      <w:rFonts w:cs="Calibri"/>
                      <w:kern w:val="0"/>
                      <w:szCs w:val="22"/>
                    </w:rPr>
                  </w:pPr>
                  <w:r>
                    <w:rPr>
                      <w:rFonts w:cs="Calibri"/>
                      <w:kern w:val="0"/>
                      <w:szCs w:val="22"/>
                    </w:rPr>
                    <w:t>未检出</w:t>
                  </w:r>
                </w:p>
              </w:tc>
              <w:tc>
                <w:tcPr>
                  <w:tcW w:w="844" w:type="pct"/>
                  <w:vAlign w:val="center"/>
                </w:tcPr>
                <w:p w14:paraId="7804A539">
                  <w:pPr>
                    <w:widowControl/>
                    <w:jc w:val="center"/>
                    <w:rPr>
                      <w:rFonts w:cs="Calibri"/>
                      <w:kern w:val="0"/>
                      <w:szCs w:val="22"/>
                    </w:rPr>
                  </w:pPr>
                  <w:r>
                    <w:rPr>
                      <w:rFonts w:cs="Calibri"/>
                      <w:kern w:val="0"/>
                      <w:szCs w:val="22"/>
                    </w:rPr>
                    <w:t>66</w:t>
                  </w:r>
                </w:p>
              </w:tc>
            </w:tr>
            <w:tr w14:paraId="2ECFB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6945E7C5">
                  <w:pPr>
                    <w:widowControl/>
                    <w:jc w:val="center"/>
                    <w:rPr>
                      <w:rFonts w:cs="Calibri"/>
                      <w:kern w:val="0"/>
                      <w:szCs w:val="22"/>
                    </w:rPr>
                  </w:pPr>
                </w:p>
              </w:tc>
              <w:tc>
                <w:tcPr>
                  <w:tcW w:w="1188" w:type="pct"/>
                  <w:vAlign w:val="center"/>
                </w:tcPr>
                <w:p w14:paraId="39D950A0">
                  <w:pPr>
                    <w:widowControl/>
                    <w:jc w:val="center"/>
                    <w:rPr>
                      <w:rFonts w:cs="Calibri"/>
                      <w:kern w:val="0"/>
                      <w:szCs w:val="22"/>
                    </w:rPr>
                  </w:pPr>
                  <w:r>
                    <w:rPr>
                      <w:rFonts w:cs="Calibri"/>
                      <w:kern w:val="0"/>
                      <w:szCs w:val="22"/>
                    </w:rPr>
                    <w:t>顺式-1,2-二氯乙烯</w:t>
                  </w:r>
                </w:p>
              </w:tc>
              <w:tc>
                <w:tcPr>
                  <w:tcW w:w="918" w:type="pct"/>
                  <w:vAlign w:val="center"/>
                </w:tcPr>
                <w:p w14:paraId="60F6DEB8">
                  <w:pPr>
                    <w:widowControl/>
                    <w:jc w:val="center"/>
                    <w:rPr>
                      <w:rFonts w:cs="Calibri"/>
                      <w:kern w:val="0"/>
                      <w:szCs w:val="22"/>
                    </w:rPr>
                  </w:pPr>
                  <w:r>
                    <w:rPr>
                      <w:rFonts w:cs="Calibri"/>
                      <w:kern w:val="0"/>
                      <w:szCs w:val="22"/>
                    </w:rPr>
                    <w:t>mg/kg</w:t>
                  </w:r>
                </w:p>
              </w:tc>
              <w:tc>
                <w:tcPr>
                  <w:tcW w:w="1420" w:type="pct"/>
                  <w:vAlign w:val="center"/>
                </w:tcPr>
                <w:p w14:paraId="79CB1574">
                  <w:pPr>
                    <w:widowControl/>
                    <w:jc w:val="center"/>
                    <w:rPr>
                      <w:rFonts w:cs="Calibri"/>
                      <w:kern w:val="0"/>
                      <w:szCs w:val="22"/>
                    </w:rPr>
                  </w:pPr>
                  <w:r>
                    <w:rPr>
                      <w:rFonts w:cs="Calibri"/>
                      <w:kern w:val="0"/>
                      <w:szCs w:val="22"/>
                    </w:rPr>
                    <w:t>未检出</w:t>
                  </w:r>
                </w:p>
              </w:tc>
              <w:tc>
                <w:tcPr>
                  <w:tcW w:w="844" w:type="pct"/>
                  <w:vAlign w:val="center"/>
                </w:tcPr>
                <w:p w14:paraId="7F02F075">
                  <w:pPr>
                    <w:widowControl/>
                    <w:jc w:val="center"/>
                    <w:rPr>
                      <w:rFonts w:cs="Calibri"/>
                      <w:kern w:val="0"/>
                      <w:szCs w:val="22"/>
                    </w:rPr>
                  </w:pPr>
                  <w:r>
                    <w:rPr>
                      <w:rFonts w:cs="Calibri"/>
                      <w:kern w:val="0"/>
                      <w:szCs w:val="22"/>
                    </w:rPr>
                    <w:t>596</w:t>
                  </w:r>
                </w:p>
              </w:tc>
            </w:tr>
            <w:tr w14:paraId="5DDD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7204C877">
                  <w:pPr>
                    <w:widowControl/>
                    <w:jc w:val="center"/>
                    <w:rPr>
                      <w:rFonts w:cs="Calibri"/>
                      <w:kern w:val="0"/>
                      <w:szCs w:val="22"/>
                    </w:rPr>
                  </w:pPr>
                </w:p>
              </w:tc>
              <w:tc>
                <w:tcPr>
                  <w:tcW w:w="1188" w:type="pct"/>
                  <w:vAlign w:val="center"/>
                </w:tcPr>
                <w:p w14:paraId="3C8B62FC">
                  <w:pPr>
                    <w:widowControl/>
                    <w:jc w:val="center"/>
                    <w:rPr>
                      <w:rFonts w:cs="Calibri"/>
                      <w:kern w:val="0"/>
                      <w:szCs w:val="22"/>
                    </w:rPr>
                  </w:pPr>
                  <w:r>
                    <w:rPr>
                      <w:rFonts w:cs="Calibri"/>
                      <w:kern w:val="0"/>
                      <w:szCs w:val="22"/>
                    </w:rPr>
                    <w:t>反式-1.2-二氯乙烯</w:t>
                  </w:r>
                </w:p>
              </w:tc>
              <w:tc>
                <w:tcPr>
                  <w:tcW w:w="918" w:type="pct"/>
                  <w:vAlign w:val="center"/>
                </w:tcPr>
                <w:p w14:paraId="4A612ACC">
                  <w:pPr>
                    <w:widowControl/>
                    <w:jc w:val="center"/>
                    <w:rPr>
                      <w:rFonts w:cs="Calibri"/>
                      <w:kern w:val="0"/>
                      <w:szCs w:val="22"/>
                    </w:rPr>
                  </w:pPr>
                  <w:r>
                    <w:rPr>
                      <w:rFonts w:cs="Calibri"/>
                      <w:kern w:val="0"/>
                      <w:szCs w:val="22"/>
                    </w:rPr>
                    <w:t>mg/kg</w:t>
                  </w:r>
                </w:p>
              </w:tc>
              <w:tc>
                <w:tcPr>
                  <w:tcW w:w="1420" w:type="pct"/>
                  <w:vAlign w:val="center"/>
                </w:tcPr>
                <w:p w14:paraId="0CB3B85E">
                  <w:pPr>
                    <w:widowControl/>
                    <w:jc w:val="center"/>
                    <w:rPr>
                      <w:rFonts w:cs="Calibri"/>
                      <w:kern w:val="0"/>
                      <w:szCs w:val="22"/>
                    </w:rPr>
                  </w:pPr>
                  <w:r>
                    <w:rPr>
                      <w:rFonts w:cs="Calibri"/>
                      <w:kern w:val="0"/>
                      <w:szCs w:val="22"/>
                    </w:rPr>
                    <w:t>未检出</w:t>
                  </w:r>
                </w:p>
              </w:tc>
              <w:tc>
                <w:tcPr>
                  <w:tcW w:w="844" w:type="pct"/>
                  <w:vAlign w:val="center"/>
                </w:tcPr>
                <w:p w14:paraId="65B4A2F9">
                  <w:pPr>
                    <w:widowControl/>
                    <w:jc w:val="center"/>
                    <w:rPr>
                      <w:rFonts w:cs="Calibri"/>
                      <w:kern w:val="0"/>
                      <w:szCs w:val="22"/>
                    </w:rPr>
                  </w:pPr>
                  <w:r>
                    <w:rPr>
                      <w:rFonts w:cs="Calibri"/>
                      <w:kern w:val="0"/>
                      <w:szCs w:val="22"/>
                    </w:rPr>
                    <w:t>54</w:t>
                  </w:r>
                </w:p>
              </w:tc>
            </w:tr>
            <w:tr w14:paraId="652C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034E0589">
                  <w:pPr>
                    <w:widowControl/>
                    <w:jc w:val="center"/>
                    <w:rPr>
                      <w:rFonts w:cs="Calibri"/>
                      <w:kern w:val="0"/>
                      <w:szCs w:val="22"/>
                    </w:rPr>
                  </w:pPr>
                </w:p>
              </w:tc>
              <w:tc>
                <w:tcPr>
                  <w:tcW w:w="1188" w:type="pct"/>
                  <w:vAlign w:val="center"/>
                </w:tcPr>
                <w:p w14:paraId="63370760">
                  <w:pPr>
                    <w:widowControl/>
                    <w:jc w:val="center"/>
                    <w:rPr>
                      <w:rFonts w:cs="Calibri"/>
                      <w:kern w:val="0"/>
                      <w:szCs w:val="22"/>
                    </w:rPr>
                  </w:pPr>
                  <w:r>
                    <w:rPr>
                      <w:rFonts w:cs="Calibri"/>
                      <w:kern w:val="0"/>
                      <w:szCs w:val="22"/>
                    </w:rPr>
                    <w:t>二氯甲烷</w:t>
                  </w:r>
                </w:p>
              </w:tc>
              <w:tc>
                <w:tcPr>
                  <w:tcW w:w="918" w:type="pct"/>
                  <w:vAlign w:val="center"/>
                </w:tcPr>
                <w:p w14:paraId="5122C6F7">
                  <w:pPr>
                    <w:widowControl/>
                    <w:jc w:val="center"/>
                    <w:rPr>
                      <w:rFonts w:cs="Calibri"/>
                      <w:kern w:val="0"/>
                      <w:szCs w:val="22"/>
                    </w:rPr>
                  </w:pPr>
                  <w:r>
                    <w:rPr>
                      <w:rFonts w:cs="Calibri"/>
                      <w:kern w:val="0"/>
                      <w:szCs w:val="22"/>
                    </w:rPr>
                    <w:t>mg/kg</w:t>
                  </w:r>
                </w:p>
              </w:tc>
              <w:tc>
                <w:tcPr>
                  <w:tcW w:w="1420" w:type="pct"/>
                  <w:vAlign w:val="center"/>
                </w:tcPr>
                <w:p w14:paraId="3E37E173">
                  <w:pPr>
                    <w:widowControl/>
                    <w:jc w:val="center"/>
                    <w:rPr>
                      <w:rFonts w:cs="Calibri"/>
                      <w:kern w:val="0"/>
                      <w:szCs w:val="22"/>
                    </w:rPr>
                  </w:pPr>
                  <w:r>
                    <w:rPr>
                      <w:rFonts w:cs="Calibri"/>
                      <w:kern w:val="0"/>
                      <w:szCs w:val="22"/>
                    </w:rPr>
                    <w:t>6.5</w:t>
                  </w:r>
                  <w:r>
                    <w:t>×</w:t>
                  </w:r>
                  <w:r>
                    <w:rPr>
                      <w:rFonts w:cs="Calibri"/>
                      <w:kern w:val="0"/>
                      <w:szCs w:val="22"/>
                    </w:rPr>
                    <w:t>10</w:t>
                  </w:r>
                  <w:r>
                    <w:rPr>
                      <w:rFonts w:cs="Calibri"/>
                      <w:kern w:val="0"/>
                      <w:szCs w:val="22"/>
                      <w:vertAlign w:val="superscript"/>
                    </w:rPr>
                    <w:t>-3</w:t>
                  </w:r>
                </w:p>
              </w:tc>
              <w:tc>
                <w:tcPr>
                  <w:tcW w:w="844" w:type="pct"/>
                  <w:vAlign w:val="center"/>
                </w:tcPr>
                <w:p w14:paraId="00D0CBF4">
                  <w:pPr>
                    <w:widowControl/>
                    <w:jc w:val="center"/>
                    <w:rPr>
                      <w:rFonts w:cs="Calibri"/>
                      <w:kern w:val="0"/>
                      <w:szCs w:val="22"/>
                    </w:rPr>
                  </w:pPr>
                  <w:r>
                    <w:rPr>
                      <w:rFonts w:cs="Calibri"/>
                      <w:kern w:val="0"/>
                      <w:szCs w:val="22"/>
                    </w:rPr>
                    <w:t>616</w:t>
                  </w:r>
                </w:p>
              </w:tc>
            </w:tr>
            <w:tr w14:paraId="56C38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08AFC0AA">
                  <w:pPr>
                    <w:widowControl/>
                    <w:jc w:val="center"/>
                    <w:rPr>
                      <w:rFonts w:cs="Calibri"/>
                      <w:kern w:val="0"/>
                      <w:szCs w:val="22"/>
                    </w:rPr>
                  </w:pPr>
                </w:p>
              </w:tc>
              <w:tc>
                <w:tcPr>
                  <w:tcW w:w="1188" w:type="pct"/>
                  <w:vAlign w:val="center"/>
                </w:tcPr>
                <w:p w14:paraId="597EF21A">
                  <w:pPr>
                    <w:widowControl/>
                    <w:jc w:val="center"/>
                    <w:rPr>
                      <w:rFonts w:cs="Calibri"/>
                      <w:kern w:val="0"/>
                      <w:szCs w:val="22"/>
                    </w:rPr>
                  </w:pPr>
                  <w:r>
                    <w:rPr>
                      <w:rFonts w:cs="Calibri"/>
                      <w:kern w:val="0"/>
                      <w:szCs w:val="22"/>
                    </w:rPr>
                    <w:t>1.2-二氯丙烷</w:t>
                  </w:r>
                </w:p>
              </w:tc>
              <w:tc>
                <w:tcPr>
                  <w:tcW w:w="918" w:type="pct"/>
                  <w:vAlign w:val="center"/>
                </w:tcPr>
                <w:p w14:paraId="761AC00F">
                  <w:pPr>
                    <w:widowControl/>
                    <w:jc w:val="center"/>
                    <w:rPr>
                      <w:rFonts w:cs="Calibri"/>
                      <w:kern w:val="0"/>
                      <w:szCs w:val="22"/>
                    </w:rPr>
                  </w:pPr>
                  <w:r>
                    <w:rPr>
                      <w:rFonts w:cs="Calibri"/>
                      <w:kern w:val="0"/>
                      <w:szCs w:val="22"/>
                    </w:rPr>
                    <w:t>mg/kg</w:t>
                  </w:r>
                </w:p>
              </w:tc>
              <w:tc>
                <w:tcPr>
                  <w:tcW w:w="1420" w:type="pct"/>
                  <w:vAlign w:val="center"/>
                </w:tcPr>
                <w:p w14:paraId="7B46FFDF">
                  <w:pPr>
                    <w:widowControl/>
                    <w:jc w:val="center"/>
                    <w:rPr>
                      <w:rFonts w:cs="Calibri"/>
                      <w:kern w:val="0"/>
                      <w:szCs w:val="22"/>
                    </w:rPr>
                  </w:pPr>
                  <w:r>
                    <w:rPr>
                      <w:rFonts w:cs="Calibri"/>
                      <w:kern w:val="0"/>
                      <w:szCs w:val="22"/>
                    </w:rPr>
                    <w:t>未检出</w:t>
                  </w:r>
                </w:p>
              </w:tc>
              <w:tc>
                <w:tcPr>
                  <w:tcW w:w="844" w:type="pct"/>
                  <w:vAlign w:val="center"/>
                </w:tcPr>
                <w:p w14:paraId="6DD31B19">
                  <w:pPr>
                    <w:widowControl/>
                    <w:jc w:val="center"/>
                    <w:rPr>
                      <w:rFonts w:cs="Calibri"/>
                      <w:kern w:val="0"/>
                      <w:szCs w:val="22"/>
                    </w:rPr>
                  </w:pPr>
                  <w:r>
                    <w:rPr>
                      <w:rFonts w:cs="Calibri"/>
                      <w:kern w:val="0"/>
                      <w:szCs w:val="22"/>
                    </w:rPr>
                    <w:t>5</w:t>
                  </w:r>
                </w:p>
              </w:tc>
            </w:tr>
            <w:tr w14:paraId="1A268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27645633">
                  <w:pPr>
                    <w:widowControl/>
                    <w:jc w:val="center"/>
                    <w:rPr>
                      <w:rFonts w:cs="Calibri"/>
                      <w:kern w:val="0"/>
                      <w:szCs w:val="22"/>
                    </w:rPr>
                  </w:pPr>
                </w:p>
              </w:tc>
              <w:tc>
                <w:tcPr>
                  <w:tcW w:w="1188" w:type="pct"/>
                  <w:vAlign w:val="center"/>
                </w:tcPr>
                <w:p w14:paraId="4F4BA750">
                  <w:pPr>
                    <w:widowControl/>
                    <w:jc w:val="center"/>
                    <w:rPr>
                      <w:rFonts w:cs="Calibri"/>
                      <w:kern w:val="0"/>
                      <w:szCs w:val="22"/>
                    </w:rPr>
                  </w:pPr>
                  <w:r>
                    <w:rPr>
                      <w:rFonts w:cs="Calibri"/>
                      <w:kern w:val="0"/>
                      <w:szCs w:val="22"/>
                    </w:rPr>
                    <w:t>1,1,1,2-四氯乙烷</w:t>
                  </w:r>
                </w:p>
              </w:tc>
              <w:tc>
                <w:tcPr>
                  <w:tcW w:w="918" w:type="pct"/>
                  <w:vAlign w:val="center"/>
                </w:tcPr>
                <w:p w14:paraId="245E782A">
                  <w:pPr>
                    <w:widowControl/>
                    <w:jc w:val="center"/>
                    <w:rPr>
                      <w:rFonts w:cs="Calibri"/>
                      <w:kern w:val="0"/>
                      <w:szCs w:val="22"/>
                    </w:rPr>
                  </w:pPr>
                  <w:r>
                    <w:rPr>
                      <w:rFonts w:cs="Calibri"/>
                      <w:kern w:val="0"/>
                      <w:szCs w:val="22"/>
                    </w:rPr>
                    <w:t>mg/kg</w:t>
                  </w:r>
                </w:p>
              </w:tc>
              <w:tc>
                <w:tcPr>
                  <w:tcW w:w="1420" w:type="pct"/>
                  <w:vAlign w:val="center"/>
                </w:tcPr>
                <w:p w14:paraId="57349D67">
                  <w:pPr>
                    <w:widowControl/>
                    <w:jc w:val="center"/>
                    <w:rPr>
                      <w:rFonts w:cs="Calibri"/>
                      <w:kern w:val="0"/>
                      <w:szCs w:val="22"/>
                    </w:rPr>
                  </w:pPr>
                  <w:r>
                    <w:rPr>
                      <w:rFonts w:cs="Calibri"/>
                      <w:kern w:val="0"/>
                      <w:szCs w:val="22"/>
                    </w:rPr>
                    <w:t>未检出</w:t>
                  </w:r>
                </w:p>
              </w:tc>
              <w:tc>
                <w:tcPr>
                  <w:tcW w:w="844" w:type="pct"/>
                  <w:vAlign w:val="center"/>
                </w:tcPr>
                <w:p w14:paraId="18875076">
                  <w:pPr>
                    <w:widowControl/>
                    <w:jc w:val="center"/>
                    <w:rPr>
                      <w:rFonts w:cs="Calibri"/>
                      <w:kern w:val="0"/>
                      <w:szCs w:val="22"/>
                    </w:rPr>
                  </w:pPr>
                  <w:r>
                    <w:rPr>
                      <w:rFonts w:cs="Calibri"/>
                      <w:kern w:val="0"/>
                      <w:szCs w:val="22"/>
                    </w:rPr>
                    <w:t>10</w:t>
                  </w:r>
                </w:p>
              </w:tc>
            </w:tr>
            <w:tr w14:paraId="48F41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5272EF51">
                  <w:pPr>
                    <w:widowControl/>
                    <w:jc w:val="center"/>
                    <w:rPr>
                      <w:rFonts w:cs="Calibri"/>
                      <w:kern w:val="0"/>
                      <w:szCs w:val="22"/>
                    </w:rPr>
                  </w:pPr>
                </w:p>
              </w:tc>
              <w:tc>
                <w:tcPr>
                  <w:tcW w:w="1188" w:type="pct"/>
                  <w:vAlign w:val="center"/>
                </w:tcPr>
                <w:p w14:paraId="1E53E206">
                  <w:pPr>
                    <w:widowControl/>
                    <w:jc w:val="center"/>
                    <w:rPr>
                      <w:rFonts w:cs="Calibri"/>
                      <w:kern w:val="0"/>
                      <w:szCs w:val="22"/>
                    </w:rPr>
                  </w:pPr>
                  <w:r>
                    <w:rPr>
                      <w:rFonts w:cs="Calibri"/>
                      <w:kern w:val="0"/>
                      <w:szCs w:val="22"/>
                    </w:rPr>
                    <w:t>1,1,2,2-四氯乙烷</w:t>
                  </w:r>
                </w:p>
              </w:tc>
              <w:tc>
                <w:tcPr>
                  <w:tcW w:w="918" w:type="pct"/>
                  <w:vAlign w:val="center"/>
                </w:tcPr>
                <w:p w14:paraId="1312D3BA">
                  <w:pPr>
                    <w:widowControl/>
                    <w:jc w:val="center"/>
                    <w:rPr>
                      <w:rFonts w:cs="Calibri"/>
                      <w:kern w:val="0"/>
                      <w:szCs w:val="22"/>
                    </w:rPr>
                  </w:pPr>
                  <w:r>
                    <w:rPr>
                      <w:rFonts w:cs="Calibri"/>
                      <w:kern w:val="0"/>
                      <w:szCs w:val="22"/>
                    </w:rPr>
                    <w:t>mg/kg</w:t>
                  </w:r>
                </w:p>
              </w:tc>
              <w:tc>
                <w:tcPr>
                  <w:tcW w:w="1420" w:type="pct"/>
                  <w:vAlign w:val="center"/>
                </w:tcPr>
                <w:p w14:paraId="54514E5A">
                  <w:pPr>
                    <w:widowControl/>
                    <w:jc w:val="center"/>
                    <w:rPr>
                      <w:rFonts w:cs="Calibri"/>
                      <w:kern w:val="0"/>
                      <w:szCs w:val="22"/>
                    </w:rPr>
                  </w:pPr>
                  <w:r>
                    <w:rPr>
                      <w:rFonts w:cs="Calibri"/>
                      <w:kern w:val="0"/>
                      <w:szCs w:val="22"/>
                    </w:rPr>
                    <w:t>未检出</w:t>
                  </w:r>
                </w:p>
              </w:tc>
              <w:tc>
                <w:tcPr>
                  <w:tcW w:w="844" w:type="pct"/>
                  <w:vAlign w:val="center"/>
                </w:tcPr>
                <w:p w14:paraId="4E37ACFC">
                  <w:pPr>
                    <w:widowControl/>
                    <w:jc w:val="center"/>
                    <w:rPr>
                      <w:rFonts w:cs="Calibri"/>
                      <w:kern w:val="0"/>
                      <w:szCs w:val="22"/>
                    </w:rPr>
                  </w:pPr>
                  <w:r>
                    <w:rPr>
                      <w:rFonts w:cs="Calibri"/>
                      <w:kern w:val="0"/>
                      <w:szCs w:val="22"/>
                    </w:rPr>
                    <w:t>6.8</w:t>
                  </w:r>
                </w:p>
              </w:tc>
            </w:tr>
            <w:tr w14:paraId="6A9DA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56C9A4C8">
                  <w:pPr>
                    <w:widowControl/>
                    <w:jc w:val="center"/>
                    <w:rPr>
                      <w:rFonts w:cs="Calibri"/>
                      <w:kern w:val="0"/>
                      <w:szCs w:val="22"/>
                    </w:rPr>
                  </w:pPr>
                </w:p>
              </w:tc>
              <w:tc>
                <w:tcPr>
                  <w:tcW w:w="1188" w:type="pct"/>
                  <w:vAlign w:val="center"/>
                </w:tcPr>
                <w:p w14:paraId="10C3837F">
                  <w:pPr>
                    <w:widowControl/>
                    <w:jc w:val="center"/>
                    <w:rPr>
                      <w:rFonts w:cs="Calibri"/>
                      <w:kern w:val="0"/>
                      <w:szCs w:val="22"/>
                    </w:rPr>
                  </w:pPr>
                  <w:r>
                    <w:rPr>
                      <w:rFonts w:cs="Calibri"/>
                      <w:kern w:val="0"/>
                      <w:szCs w:val="22"/>
                    </w:rPr>
                    <w:t>四氯乙烯</w:t>
                  </w:r>
                </w:p>
              </w:tc>
              <w:tc>
                <w:tcPr>
                  <w:tcW w:w="918" w:type="pct"/>
                  <w:vAlign w:val="center"/>
                </w:tcPr>
                <w:p w14:paraId="379855C3">
                  <w:pPr>
                    <w:widowControl/>
                    <w:jc w:val="center"/>
                    <w:rPr>
                      <w:rFonts w:cs="Calibri"/>
                      <w:kern w:val="0"/>
                      <w:szCs w:val="22"/>
                    </w:rPr>
                  </w:pPr>
                  <w:r>
                    <w:rPr>
                      <w:rFonts w:cs="Calibri"/>
                      <w:kern w:val="0"/>
                      <w:szCs w:val="22"/>
                    </w:rPr>
                    <w:t>mg/kg</w:t>
                  </w:r>
                </w:p>
              </w:tc>
              <w:tc>
                <w:tcPr>
                  <w:tcW w:w="1420" w:type="pct"/>
                  <w:vAlign w:val="center"/>
                </w:tcPr>
                <w:p w14:paraId="6A1EDD46">
                  <w:pPr>
                    <w:widowControl/>
                    <w:jc w:val="center"/>
                    <w:rPr>
                      <w:rFonts w:cs="Calibri"/>
                      <w:kern w:val="0"/>
                      <w:szCs w:val="22"/>
                    </w:rPr>
                  </w:pPr>
                  <w:r>
                    <w:rPr>
                      <w:rFonts w:cs="Calibri"/>
                      <w:kern w:val="0"/>
                      <w:szCs w:val="22"/>
                    </w:rPr>
                    <w:t>6.6</w:t>
                  </w:r>
                  <w:r>
                    <w:t>×</w:t>
                  </w:r>
                  <w:r>
                    <w:rPr>
                      <w:rFonts w:cs="Calibri"/>
                      <w:kern w:val="0"/>
                      <w:szCs w:val="22"/>
                    </w:rPr>
                    <w:t>10</w:t>
                  </w:r>
                  <w:r>
                    <w:rPr>
                      <w:rFonts w:cs="Calibri"/>
                      <w:kern w:val="0"/>
                      <w:szCs w:val="22"/>
                      <w:vertAlign w:val="superscript"/>
                    </w:rPr>
                    <w:t>-3</w:t>
                  </w:r>
                </w:p>
              </w:tc>
              <w:tc>
                <w:tcPr>
                  <w:tcW w:w="844" w:type="pct"/>
                  <w:vAlign w:val="center"/>
                </w:tcPr>
                <w:p w14:paraId="3D1BB28D">
                  <w:pPr>
                    <w:widowControl/>
                    <w:jc w:val="center"/>
                    <w:rPr>
                      <w:rFonts w:cs="Calibri"/>
                      <w:kern w:val="0"/>
                      <w:szCs w:val="22"/>
                    </w:rPr>
                  </w:pPr>
                  <w:r>
                    <w:rPr>
                      <w:rFonts w:cs="Calibri"/>
                      <w:kern w:val="0"/>
                      <w:szCs w:val="22"/>
                    </w:rPr>
                    <w:t>53</w:t>
                  </w:r>
                </w:p>
              </w:tc>
            </w:tr>
            <w:tr w14:paraId="1E1A6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3D70415F">
                  <w:pPr>
                    <w:widowControl/>
                    <w:jc w:val="center"/>
                    <w:rPr>
                      <w:rFonts w:cs="Calibri"/>
                      <w:kern w:val="0"/>
                      <w:szCs w:val="22"/>
                    </w:rPr>
                  </w:pPr>
                </w:p>
              </w:tc>
              <w:tc>
                <w:tcPr>
                  <w:tcW w:w="1188" w:type="pct"/>
                  <w:vAlign w:val="center"/>
                </w:tcPr>
                <w:p w14:paraId="1688B66D">
                  <w:pPr>
                    <w:widowControl/>
                    <w:jc w:val="center"/>
                    <w:rPr>
                      <w:rFonts w:cs="Calibri"/>
                      <w:kern w:val="0"/>
                      <w:szCs w:val="22"/>
                    </w:rPr>
                  </w:pPr>
                  <w:r>
                    <w:rPr>
                      <w:rFonts w:cs="Calibri"/>
                      <w:kern w:val="0"/>
                      <w:szCs w:val="22"/>
                    </w:rPr>
                    <w:t>1,1,1-三氯乙烷</w:t>
                  </w:r>
                </w:p>
              </w:tc>
              <w:tc>
                <w:tcPr>
                  <w:tcW w:w="918" w:type="pct"/>
                  <w:vAlign w:val="center"/>
                </w:tcPr>
                <w:p w14:paraId="15CB3011">
                  <w:pPr>
                    <w:widowControl/>
                    <w:jc w:val="center"/>
                    <w:rPr>
                      <w:rFonts w:cs="Calibri"/>
                      <w:kern w:val="0"/>
                      <w:szCs w:val="22"/>
                    </w:rPr>
                  </w:pPr>
                  <w:r>
                    <w:rPr>
                      <w:rFonts w:cs="Calibri"/>
                      <w:kern w:val="0"/>
                      <w:szCs w:val="22"/>
                    </w:rPr>
                    <w:t>mg/kg</w:t>
                  </w:r>
                </w:p>
              </w:tc>
              <w:tc>
                <w:tcPr>
                  <w:tcW w:w="1420" w:type="pct"/>
                  <w:vAlign w:val="center"/>
                </w:tcPr>
                <w:p w14:paraId="2EFFC60E">
                  <w:pPr>
                    <w:widowControl/>
                    <w:jc w:val="center"/>
                    <w:rPr>
                      <w:rFonts w:cs="Calibri"/>
                      <w:kern w:val="0"/>
                      <w:szCs w:val="22"/>
                    </w:rPr>
                  </w:pPr>
                  <w:r>
                    <w:rPr>
                      <w:rFonts w:cs="Calibri"/>
                      <w:kern w:val="0"/>
                      <w:szCs w:val="22"/>
                    </w:rPr>
                    <w:t>未检出</w:t>
                  </w:r>
                </w:p>
              </w:tc>
              <w:tc>
                <w:tcPr>
                  <w:tcW w:w="844" w:type="pct"/>
                  <w:vAlign w:val="center"/>
                </w:tcPr>
                <w:p w14:paraId="255DE4AC">
                  <w:pPr>
                    <w:widowControl/>
                    <w:jc w:val="center"/>
                    <w:rPr>
                      <w:rFonts w:cs="Calibri"/>
                      <w:kern w:val="0"/>
                      <w:szCs w:val="22"/>
                    </w:rPr>
                  </w:pPr>
                  <w:r>
                    <w:rPr>
                      <w:rFonts w:cs="Calibri"/>
                      <w:kern w:val="0"/>
                      <w:szCs w:val="22"/>
                    </w:rPr>
                    <w:t>840</w:t>
                  </w:r>
                </w:p>
              </w:tc>
            </w:tr>
            <w:tr w14:paraId="7E3AE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772CCE7C">
                  <w:pPr>
                    <w:widowControl/>
                    <w:jc w:val="center"/>
                    <w:rPr>
                      <w:rFonts w:cs="Calibri"/>
                      <w:kern w:val="0"/>
                      <w:szCs w:val="22"/>
                    </w:rPr>
                  </w:pPr>
                </w:p>
              </w:tc>
              <w:tc>
                <w:tcPr>
                  <w:tcW w:w="1188" w:type="pct"/>
                  <w:vAlign w:val="center"/>
                </w:tcPr>
                <w:p w14:paraId="0CFA725F">
                  <w:pPr>
                    <w:widowControl/>
                    <w:jc w:val="center"/>
                    <w:rPr>
                      <w:rFonts w:cs="Calibri"/>
                      <w:kern w:val="0"/>
                      <w:szCs w:val="22"/>
                    </w:rPr>
                  </w:pPr>
                  <w:r>
                    <w:rPr>
                      <w:rFonts w:cs="Calibri"/>
                      <w:kern w:val="0"/>
                      <w:szCs w:val="22"/>
                    </w:rPr>
                    <w:t>1,1,2-三氯乙烷</w:t>
                  </w:r>
                </w:p>
              </w:tc>
              <w:tc>
                <w:tcPr>
                  <w:tcW w:w="918" w:type="pct"/>
                  <w:vAlign w:val="center"/>
                </w:tcPr>
                <w:p w14:paraId="7F025BC8">
                  <w:pPr>
                    <w:widowControl/>
                    <w:jc w:val="center"/>
                    <w:rPr>
                      <w:rFonts w:cs="Calibri"/>
                      <w:kern w:val="0"/>
                      <w:szCs w:val="22"/>
                    </w:rPr>
                  </w:pPr>
                  <w:r>
                    <w:rPr>
                      <w:rFonts w:cs="Calibri"/>
                      <w:kern w:val="0"/>
                      <w:szCs w:val="22"/>
                    </w:rPr>
                    <w:t>mg/kg</w:t>
                  </w:r>
                </w:p>
              </w:tc>
              <w:tc>
                <w:tcPr>
                  <w:tcW w:w="1420" w:type="pct"/>
                  <w:vAlign w:val="center"/>
                </w:tcPr>
                <w:p w14:paraId="18880D7B">
                  <w:pPr>
                    <w:widowControl/>
                    <w:jc w:val="center"/>
                    <w:rPr>
                      <w:rFonts w:cs="Calibri"/>
                      <w:kern w:val="0"/>
                      <w:szCs w:val="22"/>
                    </w:rPr>
                  </w:pPr>
                  <w:r>
                    <w:rPr>
                      <w:rFonts w:cs="Calibri"/>
                      <w:kern w:val="0"/>
                      <w:szCs w:val="22"/>
                    </w:rPr>
                    <w:t>未检出</w:t>
                  </w:r>
                </w:p>
              </w:tc>
              <w:tc>
                <w:tcPr>
                  <w:tcW w:w="844" w:type="pct"/>
                  <w:vAlign w:val="center"/>
                </w:tcPr>
                <w:p w14:paraId="3679EB0C">
                  <w:pPr>
                    <w:widowControl/>
                    <w:jc w:val="center"/>
                    <w:rPr>
                      <w:rFonts w:cs="Calibri"/>
                      <w:kern w:val="0"/>
                      <w:szCs w:val="22"/>
                    </w:rPr>
                  </w:pPr>
                  <w:r>
                    <w:rPr>
                      <w:rFonts w:cs="Calibri"/>
                      <w:kern w:val="0"/>
                      <w:szCs w:val="22"/>
                    </w:rPr>
                    <w:t>2.8</w:t>
                  </w:r>
                </w:p>
              </w:tc>
            </w:tr>
            <w:tr w14:paraId="41AFB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353595E3">
                  <w:pPr>
                    <w:widowControl/>
                    <w:jc w:val="center"/>
                    <w:rPr>
                      <w:rFonts w:cs="Calibri"/>
                      <w:kern w:val="0"/>
                      <w:szCs w:val="22"/>
                    </w:rPr>
                  </w:pPr>
                </w:p>
              </w:tc>
              <w:tc>
                <w:tcPr>
                  <w:tcW w:w="1188" w:type="pct"/>
                  <w:vAlign w:val="center"/>
                </w:tcPr>
                <w:p w14:paraId="63C3F676">
                  <w:pPr>
                    <w:widowControl/>
                    <w:jc w:val="center"/>
                    <w:rPr>
                      <w:rFonts w:cs="Calibri"/>
                      <w:kern w:val="0"/>
                      <w:szCs w:val="22"/>
                    </w:rPr>
                  </w:pPr>
                  <w:r>
                    <w:rPr>
                      <w:rFonts w:cs="Calibri"/>
                      <w:kern w:val="0"/>
                      <w:szCs w:val="22"/>
                    </w:rPr>
                    <w:t>三氯乙烯</w:t>
                  </w:r>
                </w:p>
              </w:tc>
              <w:tc>
                <w:tcPr>
                  <w:tcW w:w="918" w:type="pct"/>
                  <w:vAlign w:val="center"/>
                </w:tcPr>
                <w:p w14:paraId="6FD2F444">
                  <w:pPr>
                    <w:widowControl/>
                    <w:jc w:val="center"/>
                    <w:rPr>
                      <w:rFonts w:cs="Calibri"/>
                      <w:kern w:val="0"/>
                      <w:szCs w:val="22"/>
                    </w:rPr>
                  </w:pPr>
                  <w:r>
                    <w:rPr>
                      <w:rFonts w:cs="Calibri"/>
                      <w:kern w:val="0"/>
                      <w:szCs w:val="22"/>
                    </w:rPr>
                    <w:t>mg/kg</w:t>
                  </w:r>
                </w:p>
              </w:tc>
              <w:tc>
                <w:tcPr>
                  <w:tcW w:w="1420" w:type="pct"/>
                  <w:vAlign w:val="center"/>
                </w:tcPr>
                <w:p w14:paraId="0AF1C805">
                  <w:pPr>
                    <w:widowControl/>
                    <w:jc w:val="center"/>
                    <w:rPr>
                      <w:rFonts w:cs="Calibri"/>
                      <w:kern w:val="0"/>
                      <w:szCs w:val="22"/>
                    </w:rPr>
                  </w:pPr>
                  <w:r>
                    <w:rPr>
                      <w:rFonts w:cs="Calibri"/>
                      <w:kern w:val="0"/>
                      <w:szCs w:val="22"/>
                    </w:rPr>
                    <w:t>未检出</w:t>
                  </w:r>
                </w:p>
              </w:tc>
              <w:tc>
                <w:tcPr>
                  <w:tcW w:w="844" w:type="pct"/>
                  <w:vAlign w:val="center"/>
                </w:tcPr>
                <w:p w14:paraId="78933045">
                  <w:pPr>
                    <w:widowControl/>
                    <w:jc w:val="center"/>
                    <w:rPr>
                      <w:rFonts w:cs="Calibri"/>
                      <w:kern w:val="0"/>
                      <w:szCs w:val="22"/>
                    </w:rPr>
                  </w:pPr>
                  <w:r>
                    <w:rPr>
                      <w:rFonts w:cs="Calibri"/>
                      <w:kern w:val="0"/>
                      <w:szCs w:val="22"/>
                    </w:rPr>
                    <w:t>2.8</w:t>
                  </w:r>
                </w:p>
              </w:tc>
            </w:tr>
            <w:tr w14:paraId="75DF3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0D742B4D">
                  <w:pPr>
                    <w:widowControl/>
                    <w:jc w:val="center"/>
                    <w:rPr>
                      <w:rFonts w:cs="Calibri"/>
                      <w:kern w:val="0"/>
                      <w:szCs w:val="22"/>
                    </w:rPr>
                  </w:pPr>
                </w:p>
              </w:tc>
              <w:tc>
                <w:tcPr>
                  <w:tcW w:w="1188" w:type="pct"/>
                  <w:vAlign w:val="center"/>
                </w:tcPr>
                <w:p w14:paraId="3CADD495">
                  <w:pPr>
                    <w:widowControl/>
                    <w:jc w:val="center"/>
                    <w:rPr>
                      <w:rFonts w:cs="Calibri"/>
                      <w:kern w:val="0"/>
                      <w:szCs w:val="22"/>
                    </w:rPr>
                  </w:pPr>
                  <w:r>
                    <w:rPr>
                      <w:rFonts w:cs="Calibri"/>
                      <w:kern w:val="0"/>
                      <w:szCs w:val="22"/>
                    </w:rPr>
                    <w:t>1,2,3-三氯丙烷</w:t>
                  </w:r>
                </w:p>
              </w:tc>
              <w:tc>
                <w:tcPr>
                  <w:tcW w:w="918" w:type="pct"/>
                  <w:vAlign w:val="center"/>
                </w:tcPr>
                <w:p w14:paraId="73C12707">
                  <w:pPr>
                    <w:widowControl/>
                    <w:jc w:val="center"/>
                    <w:rPr>
                      <w:rFonts w:cs="Calibri"/>
                      <w:kern w:val="0"/>
                      <w:szCs w:val="22"/>
                    </w:rPr>
                  </w:pPr>
                  <w:r>
                    <w:rPr>
                      <w:rFonts w:cs="Calibri"/>
                      <w:kern w:val="0"/>
                      <w:szCs w:val="22"/>
                    </w:rPr>
                    <w:t>mg/kg</w:t>
                  </w:r>
                </w:p>
              </w:tc>
              <w:tc>
                <w:tcPr>
                  <w:tcW w:w="1420" w:type="pct"/>
                  <w:vAlign w:val="center"/>
                </w:tcPr>
                <w:p w14:paraId="54031BA5">
                  <w:pPr>
                    <w:widowControl/>
                    <w:jc w:val="center"/>
                    <w:rPr>
                      <w:rFonts w:cs="Calibri"/>
                      <w:kern w:val="0"/>
                      <w:szCs w:val="22"/>
                    </w:rPr>
                  </w:pPr>
                  <w:r>
                    <w:rPr>
                      <w:rFonts w:cs="Calibri"/>
                      <w:kern w:val="0"/>
                      <w:szCs w:val="22"/>
                    </w:rPr>
                    <w:t>未检出</w:t>
                  </w:r>
                </w:p>
              </w:tc>
              <w:tc>
                <w:tcPr>
                  <w:tcW w:w="844" w:type="pct"/>
                  <w:vAlign w:val="center"/>
                </w:tcPr>
                <w:p w14:paraId="16487C8F">
                  <w:pPr>
                    <w:widowControl/>
                    <w:jc w:val="center"/>
                    <w:rPr>
                      <w:rFonts w:cs="Calibri"/>
                      <w:kern w:val="0"/>
                      <w:szCs w:val="22"/>
                    </w:rPr>
                  </w:pPr>
                  <w:r>
                    <w:rPr>
                      <w:rFonts w:cs="Calibri"/>
                      <w:kern w:val="0"/>
                      <w:szCs w:val="22"/>
                    </w:rPr>
                    <w:t>0.5</w:t>
                  </w:r>
                </w:p>
              </w:tc>
            </w:tr>
            <w:tr w14:paraId="540D3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0F6E0E4C">
                  <w:pPr>
                    <w:widowControl/>
                    <w:jc w:val="center"/>
                    <w:rPr>
                      <w:rFonts w:cs="Calibri"/>
                      <w:kern w:val="0"/>
                      <w:szCs w:val="22"/>
                    </w:rPr>
                  </w:pPr>
                </w:p>
              </w:tc>
              <w:tc>
                <w:tcPr>
                  <w:tcW w:w="1188" w:type="pct"/>
                  <w:vAlign w:val="center"/>
                </w:tcPr>
                <w:p w14:paraId="0C272F56">
                  <w:pPr>
                    <w:widowControl/>
                    <w:jc w:val="center"/>
                    <w:rPr>
                      <w:rFonts w:cs="Calibri"/>
                      <w:kern w:val="0"/>
                      <w:szCs w:val="22"/>
                    </w:rPr>
                  </w:pPr>
                  <w:r>
                    <w:rPr>
                      <w:rFonts w:cs="Calibri"/>
                      <w:kern w:val="0"/>
                      <w:szCs w:val="22"/>
                    </w:rPr>
                    <w:t>氯乙烯</w:t>
                  </w:r>
                </w:p>
              </w:tc>
              <w:tc>
                <w:tcPr>
                  <w:tcW w:w="918" w:type="pct"/>
                  <w:vAlign w:val="center"/>
                </w:tcPr>
                <w:p w14:paraId="564FB2C9">
                  <w:pPr>
                    <w:widowControl/>
                    <w:jc w:val="center"/>
                    <w:rPr>
                      <w:rFonts w:cs="Calibri"/>
                      <w:kern w:val="0"/>
                      <w:szCs w:val="22"/>
                    </w:rPr>
                  </w:pPr>
                  <w:r>
                    <w:rPr>
                      <w:rFonts w:cs="Calibri"/>
                      <w:kern w:val="0"/>
                      <w:szCs w:val="22"/>
                    </w:rPr>
                    <w:t>mg/kg</w:t>
                  </w:r>
                </w:p>
              </w:tc>
              <w:tc>
                <w:tcPr>
                  <w:tcW w:w="1420" w:type="pct"/>
                  <w:vAlign w:val="center"/>
                </w:tcPr>
                <w:p w14:paraId="4A8A99DE">
                  <w:pPr>
                    <w:widowControl/>
                    <w:jc w:val="center"/>
                    <w:rPr>
                      <w:rFonts w:cs="Calibri"/>
                      <w:kern w:val="0"/>
                      <w:szCs w:val="22"/>
                    </w:rPr>
                  </w:pPr>
                  <w:r>
                    <w:rPr>
                      <w:rFonts w:cs="Calibri"/>
                      <w:kern w:val="0"/>
                      <w:szCs w:val="22"/>
                    </w:rPr>
                    <w:t>未检出</w:t>
                  </w:r>
                </w:p>
              </w:tc>
              <w:tc>
                <w:tcPr>
                  <w:tcW w:w="844" w:type="pct"/>
                  <w:vAlign w:val="center"/>
                </w:tcPr>
                <w:p w14:paraId="423DB31D">
                  <w:pPr>
                    <w:widowControl/>
                    <w:jc w:val="center"/>
                    <w:rPr>
                      <w:rFonts w:cs="Calibri"/>
                      <w:kern w:val="0"/>
                      <w:szCs w:val="22"/>
                    </w:rPr>
                  </w:pPr>
                  <w:r>
                    <w:rPr>
                      <w:rFonts w:cs="Calibri"/>
                      <w:kern w:val="0"/>
                      <w:szCs w:val="22"/>
                    </w:rPr>
                    <w:t>0.43</w:t>
                  </w:r>
                </w:p>
              </w:tc>
            </w:tr>
            <w:tr w14:paraId="1F951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19ACB191">
                  <w:pPr>
                    <w:widowControl/>
                    <w:jc w:val="center"/>
                    <w:rPr>
                      <w:rFonts w:cs="Calibri"/>
                      <w:kern w:val="0"/>
                      <w:szCs w:val="22"/>
                    </w:rPr>
                  </w:pPr>
                </w:p>
              </w:tc>
              <w:tc>
                <w:tcPr>
                  <w:tcW w:w="1188" w:type="pct"/>
                  <w:vAlign w:val="center"/>
                </w:tcPr>
                <w:p w14:paraId="1124D408">
                  <w:pPr>
                    <w:widowControl/>
                    <w:jc w:val="center"/>
                    <w:rPr>
                      <w:rFonts w:cs="Calibri"/>
                      <w:kern w:val="0"/>
                      <w:szCs w:val="22"/>
                    </w:rPr>
                  </w:pPr>
                  <w:r>
                    <w:rPr>
                      <w:rFonts w:cs="Calibri"/>
                      <w:kern w:val="0"/>
                      <w:szCs w:val="22"/>
                    </w:rPr>
                    <w:t>苯</w:t>
                  </w:r>
                </w:p>
              </w:tc>
              <w:tc>
                <w:tcPr>
                  <w:tcW w:w="918" w:type="pct"/>
                  <w:vAlign w:val="center"/>
                </w:tcPr>
                <w:p w14:paraId="4CE6EDE7">
                  <w:pPr>
                    <w:widowControl/>
                    <w:jc w:val="center"/>
                    <w:rPr>
                      <w:rFonts w:cs="Calibri"/>
                      <w:kern w:val="0"/>
                      <w:szCs w:val="22"/>
                    </w:rPr>
                  </w:pPr>
                  <w:r>
                    <w:rPr>
                      <w:rFonts w:cs="Calibri"/>
                      <w:kern w:val="0"/>
                      <w:szCs w:val="22"/>
                    </w:rPr>
                    <w:t>mg/kg</w:t>
                  </w:r>
                </w:p>
              </w:tc>
              <w:tc>
                <w:tcPr>
                  <w:tcW w:w="1420" w:type="pct"/>
                  <w:vAlign w:val="center"/>
                </w:tcPr>
                <w:p w14:paraId="52419D32">
                  <w:pPr>
                    <w:widowControl/>
                    <w:jc w:val="center"/>
                    <w:rPr>
                      <w:rFonts w:cs="Calibri"/>
                      <w:kern w:val="0"/>
                      <w:szCs w:val="22"/>
                    </w:rPr>
                  </w:pPr>
                  <w:r>
                    <w:rPr>
                      <w:rFonts w:cs="Calibri"/>
                      <w:kern w:val="0"/>
                      <w:szCs w:val="22"/>
                    </w:rPr>
                    <w:t>未检出</w:t>
                  </w:r>
                </w:p>
              </w:tc>
              <w:tc>
                <w:tcPr>
                  <w:tcW w:w="844" w:type="pct"/>
                  <w:vAlign w:val="center"/>
                </w:tcPr>
                <w:p w14:paraId="3A385EAE">
                  <w:pPr>
                    <w:widowControl/>
                    <w:jc w:val="center"/>
                    <w:rPr>
                      <w:rFonts w:cs="Calibri"/>
                      <w:kern w:val="0"/>
                      <w:szCs w:val="22"/>
                    </w:rPr>
                  </w:pPr>
                  <w:r>
                    <w:rPr>
                      <w:rFonts w:cs="Calibri"/>
                      <w:kern w:val="0"/>
                      <w:szCs w:val="22"/>
                    </w:rPr>
                    <w:t>4</w:t>
                  </w:r>
                </w:p>
              </w:tc>
            </w:tr>
            <w:tr w14:paraId="19198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35EEA10D">
                  <w:pPr>
                    <w:widowControl/>
                    <w:jc w:val="center"/>
                    <w:rPr>
                      <w:rFonts w:cs="Calibri"/>
                      <w:kern w:val="0"/>
                      <w:szCs w:val="22"/>
                    </w:rPr>
                  </w:pPr>
                </w:p>
              </w:tc>
              <w:tc>
                <w:tcPr>
                  <w:tcW w:w="1188" w:type="pct"/>
                  <w:vAlign w:val="center"/>
                </w:tcPr>
                <w:p w14:paraId="1EA53256">
                  <w:pPr>
                    <w:widowControl/>
                    <w:jc w:val="center"/>
                    <w:rPr>
                      <w:rFonts w:cs="Calibri"/>
                      <w:kern w:val="0"/>
                      <w:szCs w:val="22"/>
                    </w:rPr>
                  </w:pPr>
                  <w:r>
                    <w:rPr>
                      <w:rFonts w:cs="Calibri"/>
                      <w:kern w:val="0"/>
                      <w:szCs w:val="22"/>
                    </w:rPr>
                    <w:t>氯苯</w:t>
                  </w:r>
                </w:p>
              </w:tc>
              <w:tc>
                <w:tcPr>
                  <w:tcW w:w="918" w:type="pct"/>
                  <w:vAlign w:val="center"/>
                </w:tcPr>
                <w:p w14:paraId="4288D313">
                  <w:pPr>
                    <w:widowControl/>
                    <w:jc w:val="center"/>
                    <w:rPr>
                      <w:rFonts w:cs="Calibri"/>
                      <w:kern w:val="0"/>
                      <w:szCs w:val="22"/>
                    </w:rPr>
                  </w:pPr>
                  <w:r>
                    <w:rPr>
                      <w:rFonts w:cs="Calibri"/>
                      <w:kern w:val="0"/>
                      <w:szCs w:val="22"/>
                    </w:rPr>
                    <w:t>mg/kg</w:t>
                  </w:r>
                </w:p>
              </w:tc>
              <w:tc>
                <w:tcPr>
                  <w:tcW w:w="1420" w:type="pct"/>
                  <w:vAlign w:val="center"/>
                </w:tcPr>
                <w:p w14:paraId="161664D5">
                  <w:pPr>
                    <w:widowControl/>
                    <w:jc w:val="center"/>
                    <w:rPr>
                      <w:rFonts w:cs="Calibri"/>
                      <w:kern w:val="0"/>
                      <w:szCs w:val="22"/>
                    </w:rPr>
                  </w:pPr>
                  <w:r>
                    <w:rPr>
                      <w:rFonts w:cs="Calibri"/>
                      <w:kern w:val="0"/>
                      <w:szCs w:val="22"/>
                    </w:rPr>
                    <w:t>未检出</w:t>
                  </w:r>
                </w:p>
              </w:tc>
              <w:tc>
                <w:tcPr>
                  <w:tcW w:w="844" w:type="pct"/>
                  <w:vAlign w:val="center"/>
                </w:tcPr>
                <w:p w14:paraId="74270C8D">
                  <w:pPr>
                    <w:widowControl/>
                    <w:jc w:val="center"/>
                    <w:rPr>
                      <w:rFonts w:cs="Calibri"/>
                      <w:kern w:val="0"/>
                      <w:szCs w:val="22"/>
                    </w:rPr>
                  </w:pPr>
                  <w:r>
                    <w:rPr>
                      <w:rFonts w:cs="Calibri"/>
                      <w:kern w:val="0"/>
                      <w:szCs w:val="22"/>
                    </w:rPr>
                    <w:t>270</w:t>
                  </w:r>
                </w:p>
              </w:tc>
            </w:tr>
            <w:tr w14:paraId="7F6B9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0271CA66">
                  <w:pPr>
                    <w:widowControl/>
                    <w:jc w:val="center"/>
                    <w:rPr>
                      <w:rFonts w:cs="Calibri"/>
                      <w:kern w:val="0"/>
                      <w:szCs w:val="22"/>
                    </w:rPr>
                  </w:pPr>
                </w:p>
              </w:tc>
              <w:tc>
                <w:tcPr>
                  <w:tcW w:w="1188" w:type="pct"/>
                  <w:vAlign w:val="center"/>
                </w:tcPr>
                <w:p w14:paraId="626E674C">
                  <w:pPr>
                    <w:widowControl/>
                    <w:jc w:val="center"/>
                    <w:rPr>
                      <w:rFonts w:cs="Calibri"/>
                      <w:kern w:val="0"/>
                      <w:szCs w:val="22"/>
                    </w:rPr>
                  </w:pPr>
                  <w:r>
                    <w:rPr>
                      <w:rFonts w:cs="Calibri"/>
                      <w:kern w:val="0"/>
                      <w:szCs w:val="22"/>
                    </w:rPr>
                    <w:t>1,2-二氯苯</w:t>
                  </w:r>
                </w:p>
              </w:tc>
              <w:tc>
                <w:tcPr>
                  <w:tcW w:w="918" w:type="pct"/>
                  <w:vAlign w:val="center"/>
                </w:tcPr>
                <w:p w14:paraId="407DA9F3">
                  <w:pPr>
                    <w:widowControl/>
                    <w:jc w:val="center"/>
                    <w:rPr>
                      <w:rFonts w:cs="Calibri"/>
                      <w:kern w:val="0"/>
                      <w:szCs w:val="22"/>
                    </w:rPr>
                  </w:pPr>
                  <w:r>
                    <w:rPr>
                      <w:rFonts w:cs="Calibri"/>
                      <w:kern w:val="0"/>
                      <w:szCs w:val="22"/>
                    </w:rPr>
                    <w:t>mg/kg</w:t>
                  </w:r>
                </w:p>
              </w:tc>
              <w:tc>
                <w:tcPr>
                  <w:tcW w:w="1420" w:type="pct"/>
                  <w:vAlign w:val="center"/>
                </w:tcPr>
                <w:p w14:paraId="2FEDA9DE">
                  <w:pPr>
                    <w:widowControl/>
                    <w:jc w:val="center"/>
                    <w:rPr>
                      <w:rFonts w:cs="Calibri"/>
                      <w:kern w:val="0"/>
                      <w:szCs w:val="22"/>
                    </w:rPr>
                  </w:pPr>
                  <w:r>
                    <w:rPr>
                      <w:rFonts w:cs="Calibri"/>
                      <w:kern w:val="0"/>
                      <w:szCs w:val="22"/>
                    </w:rPr>
                    <w:t>未检出</w:t>
                  </w:r>
                </w:p>
              </w:tc>
              <w:tc>
                <w:tcPr>
                  <w:tcW w:w="844" w:type="pct"/>
                  <w:vAlign w:val="center"/>
                </w:tcPr>
                <w:p w14:paraId="4B9A7447">
                  <w:pPr>
                    <w:widowControl/>
                    <w:jc w:val="center"/>
                    <w:rPr>
                      <w:rFonts w:cs="Calibri"/>
                      <w:kern w:val="0"/>
                      <w:szCs w:val="22"/>
                    </w:rPr>
                  </w:pPr>
                  <w:r>
                    <w:rPr>
                      <w:rFonts w:cs="Calibri"/>
                      <w:kern w:val="0"/>
                      <w:szCs w:val="22"/>
                    </w:rPr>
                    <w:t>560</w:t>
                  </w:r>
                </w:p>
              </w:tc>
            </w:tr>
            <w:tr w14:paraId="07841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5EA61B36">
                  <w:pPr>
                    <w:widowControl/>
                    <w:jc w:val="center"/>
                    <w:rPr>
                      <w:rFonts w:cs="Calibri"/>
                      <w:kern w:val="0"/>
                      <w:szCs w:val="22"/>
                    </w:rPr>
                  </w:pPr>
                </w:p>
              </w:tc>
              <w:tc>
                <w:tcPr>
                  <w:tcW w:w="1188" w:type="pct"/>
                  <w:vAlign w:val="center"/>
                </w:tcPr>
                <w:p w14:paraId="256EDC08">
                  <w:pPr>
                    <w:widowControl/>
                    <w:jc w:val="center"/>
                    <w:rPr>
                      <w:rFonts w:cs="Calibri"/>
                      <w:kern w:val="0"/>
                      <w:szCs w:val="22"/>
                    </w:rPr>
                  </w:pPr>
                  <w:r>
                    <w:rPr>
                      <w:rFonts w:cs="Calibri"/>
                      <w:kern w:val="0"/>
                      <w:szCs w:val="22"/>
                    </w:rPr>
                    <w:t>1.4-二氯苯</w:t>
                  </w:r>
                </w:p>
              </w:tc>
              <w:tc>
                <w:tcPr>
                  <w:tcW w:w="918" w:type="pct"/>
                  <w:vAlign w:val="center"/>
                </w:tcPr>
                <w:p w14:paraId="28FBEA96">
                  <w:pPr>
                    <w:widowControl/>
                    <w:jc w:val="center"/>
                    <w:rPr>
                      <w:rFonts w:cs="Calibri"/>
                      <w:kern w:val="0"/>
                      <w:szCs w:val="22"/>
                    </w:rPr>
                  </w:pPr>
                  <w:r>
                    <w:rPr>
                      <w:rFonts w:cs="Calibri"/>
                      <w:kern w:val="0"/>
                      <w:szCs w:val="22"/>
                    </w:rPr>
                    <w:t>mg/kg</w:t>
                  </w:r>
                </w:p>
              </w:tc>
              <w:tc>
                <w:tcPr>
                  <w:tcW w:w="1420" w:type="pct"/>
                  <w:vAlign w:val="center"/>
                </w:tcPr>
                <w:p w14:paraId="63634180">
                  <w:pPr>
                    <w:widowControl/>
                    <w:jc w:val="center"/>
                    <w:rPr>
                      <w:rFonts w:cs="Calibri"/>
                      <w:kern w:val="0"/>
                      <w:szCs w:val="22"/>
                    </w:rPr>
                  </w:pPr>
                  <w:r>
                    <w:rPr>
                      <w:rFonts w:cs="Calibri"/>
                      <w:kern w:val="0"/>
                      <w:szCs w:val="22"/>
                    </w:rPr>
                    <w:t>未检出</w:t>
                  </w:r>
                </w:p>
              </w:tc>
              <w:tc>
                <w:tcPr>
                  <w:tcW w:w="844" w:type="pct"/>
                  <w:vAlign w:val="center"/>
                </w:tcPr>
                <w:p w14:paraId="71D4B080">
                  <w:pPr>
                    <w:widowControl/>
                    <w:jc w:val="center"/>
                    <w:rPr>
                      <w:rFonts w:cs="Calibri"/>
                      <w:kern w:val="0"/>
                      <w:szCs w:val="22"/>
                    </w:rPr>
                  </w:pPr>
                  <w:r>
                    <w:rPr>
                      <w:rFonts w:cs="Calibri"/>
                      <w:kern w:val="0"/>
                      <w:szCs w:val="22"/>
                    </w:rPr>
                    <w:t>20</w:t>
                  </w:r>
                </w:p>
              </w:tc>
            </w:tr>
            <w:tr w14:paraId="574C8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71C03AF7">
                  <w:pPr>
                    <w:widowControl/>
                    <w:jc w:val="center"/>
                    <w:rPr>
                      <w:rFonts w:cs="Calibri"/>
                      <w:kern w:val="0"/>
                      <w:szCs w:val="22"/>
                    </w:rPr>
                  </w:pPr>
                </w:p>
              </w:tc>
              <w:tc>
                <w:tcPr>
                  <w:tcW w:w="1188" w:type="pct"/>
                  <w:vAlign w:val="center"/>
                </w:tcPr>
                <w:p w14:paraId="76A2FC61">
                  <w:pPr>
                    <w:widowControl/>
                    <w:jc w:val="center"/>
                    <w:rPr>
                      <w:rFonts w:cs="Calibri"/>
                      <w:kern w:val="0"/>
                      <w:szCs w:val="22"/>
                    </w:rPr>
                  </w:pPr>
                  <w:r>
                    <w:rPr>
                      <w:rFonts w:cs="Calibri"/>
                      <w:kern w:val="0"/>
                      <w:szCs w:val="22"/>
                    </w:rPr>
                    <w:t>乙苯</w:t>
                  </w:r>
                </w:p>
              </w:tc>
              <w:tc>
                <w:tcPr>
                  <w:tcW w:w="918" w:type="pct"/>
                  <w:vAlign w:val="center"/>
                </w:tcPr>
                <w:p w14:paraId="65B90FBE">
                  <w:pPr>
                    <w:widowControl/>
                    <w:jc w:val="center"/>
                    <w:rPr>
                      <w:rFonts w:cs="Calibri"/>
                      <w:kern w:val="0"/>
                      <w:szCs w:val="22"/>
                    </w:rPr>
                  </w:pPr>
                  <w:r>
                    <w:rPr>
                      <w:rFonts w:cs="Calibri"/>
                      <w:kern w:val="0"/>
                      <w:szCs w:val="22"/>
                    </w:rPr>
                    <w:t>mg/kg</w:t>
                  </w:r>
                </w:p>
              </w:tc>
              <w:tc>
                <w:tcPr>
                  <w:tcW w:w="1420" w:type="pct"/>
                  <w:vAlign w:val="center"/>
                </w:tcPr>
                <w:p w14:paraId="079DEBA1">
                  <w:pPr>
                    <w:widowControl/>
                    <w:jc w:val="center"/>
                    <w:rPr>
                      <w:rFonts w:cs="Calibri"/>
                      <w:kern w:val="0"/>
                      <w:szCs w:val="22"/>
                    </w:rPr>
                  </w:pPr>
                  <w:r>
                    <w:rPr>
                      <w:rFonts w:cs="Calibri"/>
                      <w:kern w:val="0"/>
                      <w:szCs w:val="22"/>
                    </w:rPr>
                    <w:t>未检出</w:t>
                  </w:r>
                </w:p>
              </w:tc>
              <w:tc>
                <w:tcPr>
                  <w:tcW w:w="844" w:type="pct"/>
                  <w:vAlign w:val="center"/>
                </w:tcPr>
                <w:p w14:paraId="50653FC7">
                  <w:pPr>
                    <w:widowControl/>
                    <w:jc w:val="center"/>
                    <w:rPr>
                      <w:rFonts w:cs="Calibri"/>
                      <w:kern w:val="0"/>
                      <w:szCs w:val="22"/>
                    </w:rPr>
                  </w:pPr>
                  <w:r>
                    <w:rPr>
                      <w:rFonts w:cs="Calibri"/>
                      <w:kern w:val="0"/>
                      <w:szCs w:val="22"/>
                    </w:rPr>
                    <w:t>28</w:t>
                  </w:r>
                </w:p>
              </w:tc>
            </w:tr>
            <w:tr w14:paraId="5AF01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2E3BA71D">
                  <w:pPr>
                    <w:widowControl/>
                    <w:jc w:val="center"/>
                    <w:rPr>
                      <w:rFonts w:cs="Calibri"/>
                      <w:kern w:val="0"/>
                      <w:szCs w:val="22"/>
                    </w:rPr>
                  </w:pPr>
                </w:p>
              </w:tc>
              <w:tc>
                <w:tcPr>
                  <w:tcW w:w="1188" w:type="pct"/>
                  <w:vAlign w:val="center"/>
                </w:tcPr>
                <w:p w14:paraId="4186C519">
                  <w:pPr>
                    <w:widowControl/>
                    <w:jc w:val="center"/>
                    <w:rPr>
                      <w:rFonts w:cs="Calibri"/>
                      <w:kern w:val="0"/>
                      <w:szCs w:val="22"/>
                    </w:rPr>
                  </w:pPr>
                  <w:r>
                    <w:rPr>
                      <w:rFonts w:cs="Calibri"/>
                      <w:kern w:val="0"/>
                      <w:szCs w:val="22"/>
                    </w:rPr>
                    <w:t>苯乙烯</w:t>
                  </w:r>
                </w:p>
              </w:tc>
              <w:tc>
                <w:tcPr>
                  <w:tcW w:w="918" w:type="pct"/>
                  <w:vAlign w:val="center"/>
                </w:tcPr>
                <w:p w14:paraId="6A442772">
                  <w:pPr>
                    <w:widowControl/>
                    <w:jc w:val="center"/>
                    <w:rPr>
                      <w:rFonts w:cs="Calibri"/>
                      <w:kern w:val="0"/>
                      <w:szCs w:val="22"/>
                    </w:rPr>
                  </w:pPr>
                  <w:r>
                    <w:rPr>
                      <w:rFonts w:cs="Calibri"/>
                      <w:kern w:val="0"/>
                      <w:szCs w:val="22"/>
                    </w:rPr>
                    <w:t>mg/kg</w:t>
                  </w:r>
                </w:p>
              </w:tc>
              <w:tc>
                <w:tcPr>
                  <w:tcW w:w="1420" w:type="pct"/>
                  <w:vAlign w:val="center"/>
                </w:tcPr>
                <w:p w14:paraId="53AA38AC">
                  <w:pPr>
                    <w:widowControl/>
                    <w:jc w:val="center"/>
                    <w:rPr>
                      <w:rFonts w:cs="Calibri"/>
                      <w:kern w:val="0"/>
                      <w:szCs w:val="22"/>
                    </w:rPr>
                  </w:pPr>
                  <w:r>
                    <w:rPr>
                      <w:rFonts w:cs="Calibri"/>
                      <w:kern w:val="0"/>
                      <w:szCs w:val="22"/>
                    </w:rPr>
                    <w:t>未检出</w:t>
                  </w:r>
                </w:p>
              </w:tc>
              <w:tc>
                <w:tcPr>
                  <w:tcW w:w="844" w:type="pct"/>
                  <w:vAlign w:val="center"/>
                </w:tcPr>
                <w:p w14:paraId="444D0CC7">
                  <w:pPr>
                    <w:widowControl/>
                    <w:jc w:val="center"/>
                    <w:rPr>
                      <w:rFonts w:cs="Calibri"/>
                      <w:kern w:val="0"/>
                      <w:szCs w:val="22"/>
                    </w:rPr>
                  </w:pPr>
                  <w:r>
                    <w:rPr>
                      <w:rFonts w:cs="Calibri"/>
                      <w:kern w:val="0"/>
                      <w:szCs w:val="22"/>
                    </w:rPr>
                    <w:t>1290</w:t>
                  </w:r>
                </w:p>
              </w:tc>
            </w:tr>
            <w:tr w14:paraId="3519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479CB931">
                  <w:pPr>
                    <w:widowControl/>
                    <w:jc w:val="center"/>
                    <w:rPr>
                      <w:rFonts w:cs="Calibri"/>
                      <w:kern w:val="0"/>
                      <w:szCs w:val="22"/>
                    </w:rPr>
                  </w:pPr>
                </w:p>
              </w:tc>
              <w:tc>
                <w:tcPr>
                  <w:tcW w:w="1188" w:type="pct"/>
                  <w:vAlign w:val="center"/>
                </w:tcPr>
                <w:p w14:paraId="62797493">
                  <w:pPr>
                    <w:widowControl/>
                    <w:jc w:val="center"/>
                    <w:rPr>
                      <w:rFonts w:cs="Calibri"/>
                      <w:kern w:val="0"/>
                      <w:szCs w:val="22"/>
                    </w:rPr>
                  </w:pPr>
                  <w:r>
                    <w:rPr>
                      <w:rFonts w:cs="Calibri"/>
                      <w:kern w:val="0"/>
                      <w:szCs w:val="22"/>
                    </w:rPr>
                    <w:t>甲苯</w:t>
                  </w:r>
                </w:p>
              </w:tc>
              <w:tc>
                <w:tcPr>
                  <w:tcW w:w="918" w:type="pct"/>
                  <w:vAlign w:val="center"/>
                </w:tcPr>
                <w:p w14:paraId="687A1B31">
                  <w:pPr>
                    <w:widowControl/>
                    <w:jc w:val="center"/>
                    <w:rPr>
                      <w:rFonts w:cs="Calibri"/>
                      <w:kern w:val="0"/>
                      <w:szCs w:val="22"/>
                    </w:rPr>
                  </w:pPr>
                  <w:r>
                    <w:rPr>
                      <w:rFonts w:cs="Calibri"/>
                      <w:kern w:val="0"/>
                      <w:szCs w:val="22"/>
                    </w:rPr>
                    <w:t>mg/kg</w:t>
                  </w:r>
                </w:p>
              </w:tc>
              <w:tc>
                <w:tcPr>
                  <w:tcW w:w="1420" w:type="pct"/>
                  <w:vAlign w:val="center"/>
                </w:tcPr>
                <w:p w14:paraId="2F72274E">
                  <w:pPr>
                    <w:widowControl/>
                    <w:jc w:val="center"/>
                    <w:rPr>
                      <w:rFonts w:cs="Calibri"/>
                      <w:kern w:val="0"/>
                      <w:szCs w:val="22"/>
                    </w:rPr>
                  </w:pPr>
                  <w:r>
                    <w:rPr>
                      <w:rFonts w:cs="Calibri"/>
                      <w:kern w:val="0"/>
                      <w:szCs w:val="22"/>
                    </w:rPr>
                    <w:t>未检出</w:t>
                  </w:r>
                </w:p>
              </w:tc>
              <w:tc>
                <w:tcPr>
                  <w:tcW w:w="844" w:type="pct"/>
                  <w:vAlign w:val="center"/>
                </w:tcPr>
                <w:p w14:paraId="495AA284">
                  <w:pPr>
                    <w:widowControl/>
                    <w:jc w:val="center"/>
                    <w:rPr>
                      <w:rFonts w:cs="Calibri"/>
                      <w:kern w:val="0"/>
                      <w:szCs w:val="22"/>
                    </w:rPr>
                  </w:pPr>
                  <w:r>
                    <w:rPr>
                      <w:rFonts w:cs="Calibri"/>
                      <w:kern w:val="0"/>
                      <w:szCs w:val="22"/>
                    </w:rPr>
                    <w:t>1200</w:t>
                  </w:r>
                </w:p>
              </w:tc>
            </w:tr>
            <w:tr w14:paraId="258AB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30E5076F">
                  <w:pPr>
                    <w:widowControl/>
                    <w:jc w:val="center"/>
                    <w:rPr>
                      <w:rFonts w:cs="Calibri"/>
                      <w:kern w:val="0"/>
                      <w:szCs w:val="22"/>
                    </w:rPr>
                  </w:pPr>
                </w:p>
              </w:tc>
              <w:tc>
                <w:tcPr>
                  <w:tcW w:w="1188" w:type="pct"/>
                  <w:vAlign w:val="center"/>
                </w:tcPr>
                <w:p w14:paraId="5D5AEAFD">
                  <w:pPr>
                    <w:widowControl/>
                    <w:jc w:val="center"/>
                    <w:rPr>
                      <w:rFonts w:cs="Calibri"/>
                      <w:kern w:val="0"/>
                      <w:szCs w:val="22"/>
                    </w:rPr>
                  </w:pPr>
                  <w:r>
                    <w:rPr>
                      <w:rFonts w:cs="Calibri"/>
                      <w:kern w:val="0"/>
                      <w:szCs w:val="22"/>
                    </w:rPr>
                    <w:t>间二甲苯+对二甲苯</w:t>
                  </w:r>
                </w:p>
              </w:tc>
              <w:tc>
                <w:tcPr>
                  <w:tcW w:w="918" w:type="pct"/>
                  <w:vAlign w:val="center"/>
                </w:tcPr>
                <w:p w14:paraId="03F5D88F">
                  <w:pPr>
                    <w:widowControl/>
                    <w:jc w:val="center"/>
                    <w:rPr>
                      <w:rFonts w:cs="Calibri"/>
                      <w:kern w:val="0"/>
                      <w:szCs w:val="22"/>
                    </w:rPr>
                  </w:pPr>
                  <w:r>
                    <w:rPr>
                      <w:rFonts w:cs="Calibri"/>
                      <w:kern w:val="0"/>
                      <w:szCs w:val="22"/>
                    </w:rPr>
                    <w:t>mg/kg</w:t>
                  </w:r>
                </w:p>
              </w:tc>
              <w:tc>
                <w:tcPr>
                  <w:tcW w:w="1420" w:type="pct"/>
                  <w:vAlign w:val="center"/>
                </w:tcPr>
                <w:p w14:paraId="0981A7F7">
                  <w:pPr>
                    <w:widowControl/>
                    <w:jc w:val="center"/>
                    <w:rPr>
                      <w:rFonts w:cs="Calibri"/>
                      <w:kern w:val="0"/>
                      <w:szCs w:val="22"/>
                    </w:rPr>
                  </w:pPr>
                  <w:r>
                    <w:rPr>
                      <w:rFonts w:cs="Calibri"/>
                      <w:kern w:val="0"/>
                      <w:szCs w:val="22"/>
                    </w:rPr>
                    <w:t>未检出</w:t>
                  </w:r>
                </w:p>
              </w:tc>
              <w:tc>
                <w:tcPr>
                  <w:tcW w:w="844" w:type="pct"/>
                  <w:vAlign w:val="center"/>
                </w:tcPr>
                <w:p w14:paraId="4E15632E">
                  <w:pPr>
                    <w:widowControl/>
                    <w:jc w:val="center"/>
                    <w:rPr>
                      <w:rFonts w:cs="Calibri"/>
                      <w:kern w:val="0"/>
                      <w:szCs w:val="22"/>
                    </w:rPr>
                  </w:pPr>
                  <w:r>
                    <w:rPr>
                      <w:rFonts w:cs="Calibri"/>
                      <w:kern w:val="0"/>
                      <w:szCs w:val="22"/>
                    </w:rPr>
                    <w:t>570</w:t>
                  </w:r>
                </w:p>
              </w:tc>
            </w:tr>
            <w:tr w14:paraId="424B5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563E2A11">
                  <w:pPr>
                    <w:widowControl/>
                    <w:jc w:val="center"/>
                    <w:rPr>
                      <w:rFonts w:cs="Calibri"/>
                      <w:kern w:val="0"/>
                      <w:szCs w:val="22"/>
                    </w:rPr>
                  </w:pPr>
                </w:p>
              </w:tc>
              <w:tc>
                <w:tcPr>
                  <w:tcW w:w="1188" w:type="pct"/>
                  <w:vAlign w:val="center"/>
                </w:tcPr>
                <w:p w14:paraId="29E0A146">
                  <w:pPr>
                    <w:widowControl/>
                    <w:jc w:val="center"/>
                    <w:rPr>
                      <w:rFonts w:cs="Calibri"/>
                      <w:kern w:val="0"/>
                      <w:szCs w:val="22"/>
                    </w:rPr>
                  </w:pPr>
                  <w:r>
                    <w:rPr>
                      <w:rFonts w:cs="Calibri"/>
                      <w:kern w:val="0"/>
                      <w:szCs w:val="22"/>
                    </w:rPr>
                    <w:t>邻二甲苯</w:t>
                  </w:r>
                </w:p>
              </w:tc>
              <w:tc>
                <w:tcPr>
                  <w:tcW w:w="918" w:type="pct"/>
                  <w:vAlign w:val="center"/>
                </w:tcPr>
                <w:p w14:paraId="2997BEC4">
                  <w:pPr>
                    <w:widowControl/>
                    <w:jc w:val="center"/>
                    <w:rPr>
                      <w:rFonts w:cs="Calibri"/>
                      <w:kern w:val="0"/>
                      <w:szCs w:val="22"/>
                    </w:rPr>
                  </w:pPr>
                  <w:r>
                    <w:rPr>
                      <w:rFonts w:cs="Calibri"/>
                      <w:kern w:val="0"/>
                      <w:szCs w:val="22"/>
                    </w:rPr>
                    <w:t>mg/kg</w:t>
                  </w:r>
                </w:p>
              </w:tc>
              <w:tc>
                <w:tcPr>
                  <w:tcW w:w="1420" w:type="pct"/>
                  <w:vAlign w:val="center"/>
                </w:tcPr>
                <w:p w14:paraId="3D7E31DB">
                  <w:pPr>
                    <w:widowControl/>
                    <w:jc w:val="center"/>
                    <w:rPr>
                      <w:rFonts w:cs="Calibri"/>
                      <w:kern w:val="0"/>
                      <w:szCs w:val="22"/>
                    </w:rPr>
                  </w:pPr>
                  <w:r>
                    <w:rPr>
                      <w:rFonts w:cs="Calibri"/>
                      <w:kern w:val="0"/>
                      <w:szCs w:val="22"/>
                    </w:rPr>
                    <w:t>未检出</w:t>
                  </w:r>
                </w:p>
              </w:tc>
              <w:tc>
                <w:tcPr>
                  <w:tcW w:w="844" w:type="pct"/>
                  <w:vAlign w:val="center"/>
                </w:tcPr>
                <w:p w14:paraId="2D4B716E">
                  <w:pPr>
                    <w:widowControl/>
                    <w:jc w:val="center"/>
                    <w:rPr>
                      <w:rFonts w:cs="Calibri"/>
                      <w:kern w:val="0"/>
                      <w:szCs w:val="22"/>
                    </w:rPr>
                  </w:pPr>
                  <w:r>
                    <w:rPr>
                      <w:rFonts w:cs="Calibri"/>
                      <w:kern w:val="0"/>
                      <w:szCs w:val="22"/>
                    </w:rPr>
                    <w:t>640</w:t>
                  </w:r>
                </w:p>
              </w:tc>
            </w:tr>
            <w:tr w14:paraId="21A1D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607EEB20">
                  <w:pPr>
                    <w:widowControl/>
                    <w:jc w:val="center"/>
                    <w:rPr>
                      <w:rFonts w:cs="Calibri"/>
                      <w:kern w:val="0"/>
                      <w:szCs w:val="22"/>
                    </w:rPr>
                  </w:pPr>
                </w:p>
              </w:tc>
              <w:tc>
                <w:tcPr>
                  <w:tcW w:w="1188" w:type="pct"/>
                  <w:noWrap/>
                  <w:vAlign w:val="center"/>
                </w:tcPr>
                <w:p w14:paraId="000F22BD">
                  <w:pPr>
                    <w:widowControl/>
                    <w:jc w:val="center"/>
                    <w:rPr>
                      <w:rFonts w:cs="Calibri"/>
                      <w:kern w:val="0"/>
                      <w:szCs w:val="22"/>
                    </w:rPr>
                  </w:pPr>
                  <w:r>
                    <w:rPr>
                      <w:rFonts w:cs="Calibri"/>
                      <w:kern w:val="0"/>
                      <w:szCs w:val="22"/>
                    </w:rPr>
                    <w:t>pH值</w:t>
                  </w:r>
                </w:p>
              </w:tc>
              <w:tc>
                <w:tcPr>
                  <w:tcW w:w="918" w:type="pct"/>
                  <w:noWrap/>
                  <w:vAlign w:val="center"/>
                </w:tcPr>
                <w:p w14:paraId="5FB466A7">
                  <w:pPr>
                    <w:widowControl/>
                    <w:jc w:val="center"/>
                    <w:rPr>
                      <w:rFonts w:cs="Calibri"/>
                      <w:kern w:val="0"/>
                      <w:szCs w:val="22"/>
                    </w:rPr>
                  </w:pPr>
                  <w:r>
                    <w:rPr>
                      <w:rFonts w:cs="Calibri"/>
                      <w:kern w:val="0"/>
                      <w:szCs w:val="22"/>
                    </w:rPr>
                    <w:t>无量纲</w:t>
                  </w:r>
                </w:p>
              </w:tc>
              <w:tc>
                <w:tcPr>
                  <w:tcW w:w="1420" w:type="pct"/>
                  <w:noWrap/>
                  <w:vAlign w:val="center"/>
                </w:tcPr>
                <w:p w14:paraId="26D30523">
                  <w:pPr>
                    <w:widowControl/>
                    <w:jc w:val="center"/>
                    <w:rPr>
                      <w:rFonts w:cs="Calibri"/>
                      <w:kern w:val="0"/>
                      <w:szCs w:val="22"/>
                    </w:rPr>
                  </w:pPr>
                  <w:r>
                    <w:rPr>
                      <w:rFonts w:cs="Calibri"/>
                      <w:kern w:val="0"/>
                      <w:szCs w:val="22"/>
                    </w:rPr>
                    <w:t>7.5</w:t>
                  </w:r>
                </w:p>
              </w:tc>
              <w:tc>
                <w:tcPr>
                  <w:tcW w:w="844" w:type="pct"/>
                  <w:noWrap/>
                  <w:vAlign w:val="center"/>
                </w:tcPr>
                <w:p w14:paraId="0878E97C">
                  <w:pPr>
                    <w:widowControl/>
                    <w:jc w:val="center"/>
                    <w:rPr>
                      <w:rFonts w:cs="Calibri"/>
                      <w:kern w:val="0"/>
                      <w:szCs w:val="22"/>
                    </w:rPr>
                  </w:pPr>
                  <w:r>
                    <w:rPr>
                      <w:rFonts w:hint="eastAsia" w:cs="Calibri"/>
                      <w:kern w:val="0"/>
                      <w:szCs w:val="22"/>
                    </w:rPr>
                    <w:t>/</w:t>
                  </w:r>
                </w:p>
              </w:tc>
            </w:tr>
            <w:tr w14:paraId="15E15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59DD5979">
                  <w:pPr>
                    <w:widowControl/>
                    <w:jc w:val="center"/>
                    <w:rPr>
                      <w:rFonts w:cs="Calibri"/>
                      <w:kern w:val="0"/>
                      <w:szCs w:val="22"/>
                    </w:rPr>
                  </w:pPr>
                </w:p>
              </w:tc>
              <w:tc>
                <w:tcPr>
                  <w:tcW w:w="1188" w:type="pct"/>
                  <w:noWrap/>
                  <w:vAlign w:val="center"/>
                </w:tcPr>
                <w:p w14:paraId="1BBE6B2C">
                  <w:pPr>
                    <w:widowControl/>
                    <w:jc w:val="center"/>
                    <w:rPr>
                      <w:rFonts w:cs="Calibri"/>
                      <w:kern w:val="0"/>
                      <w:szCs w:val="22"/>
                    </w:rPr>
                  </w:pPr>
                  <w:r>
                    <w:rPr>
                      <w:rFonts w:cs="Calibri"/>
                      <w:kern w:val="0"/>
                      <w:szCs w:val="22"/>
                    </w:rPr>
                    <w:t>石油烃(C10-C+0)</w:t>
                  </w:r>
                </w:p>
              </w:tc>
              <w:tc>
                <w:tcPr>
                  <w:tcW w:w="918" w:type="pct"/>
                  <w:noWrap/>
                  <w:vAlign w:val="center"/>
                </w:tcPr>
                <w:p w14:paraId="73224641">
                  <w:pPr>
                    <w:widowControl/>
                    <w:jc w:val="center"/>
                    <w:rPr>
                      <w:rFonts w:cs="Calibri"/>
                      <w:kern w:val="0"/>
                      <w:szCs w:val="22"/>
                    </w:rPr>
                  </w:pPr>
                  <w:r>
                    <w:rPr>
                      <w:rFonts w:cs="Calibri"/>
                      <w:kern w:val="0"/>
                      <w:szCs w:val="22"/>
                    </w:rPr>
                    <w:t>mg/kg</w:t>
                  </w:r>
                </w:p>
              </w:tc>
              <w:tc>
                <w:tcPr>
                  <w:tcW w:w="1420" w:type="pct"/>
                  <w:noWrap/>
                  <w:vAlign w:val="center"/>
                </w:tcPr>
                <w:p w14:paraId="04EE3290">
                  <w:pPr>
                    <w:widowControl/>
                    <w:jc w:val="center"/>
                    <w:rPr>
                      <w:rFonts w:cs="Calibri"/>
                      <w:kern w:val="0"/>
                      <w:szCs w:val="22"/>
                    </w:rPr>
                  </w:pPr>
                  <w:r>
                    <w:rPr>
                      <w:rFonts w:cs="Calibri"/>
                      <w:kern w:val="0"/>
                      <w:szCs w:val="22"/>
                    </w:rPr>
                    <w:t>未检出</w:t>
                  </w:r>
                </w:p>
              </w:tc>
              <w:tc>
                <w:tcPr>
                  <w:tcW w:w="844" w:type="pct"/>
                  <w:noWrap/>
                  <w:vAlign w:val="center"/>
                </w:tcPr>
                <w:p w14:paraId="41167709">
                  <w:pPr>
                    <w:widowControl/>
                    <w:jc w:val="center"/>
                    <w:rPr>
                      <w:rFonts w:cs="Calibri"/>
                      <w:kern w:val="0"/>
                      <w:szCs w:val="22"/>
                    </w:rPr>
                  </w:pPr>
                  <w:r>
                    <w:rPr>
                      <w:rFonts w:cs="Calibri"/>
                      <w:kern w:val="0"/>
                      <w:szCs w:val="22"/>
                    </w:rPr>
                    <w:t>4500</w:t>
                  </w:r>
                </w:p>
              </w:tc>
            </w:tr>
            <w:tr w14:paraId="4B436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016CFAD3">
                  <w:pPr>
                    <w:widowControl/>
                    <w:jc w:val="center"/>
                    <w:rPr>
                      <w:rFonts w:cs="Calibri"/>
                      <w:kern w:val="0"/>
                      <w:szCs w:val="22"/>
                    </w:rPr>
                  </w:pPr>
                </w:p>
              </w:tc>
              <w:tc>
                <w:tcPr>
                  <w:tcW w:w="1188" w:type="pct"/>
                  <w:noWrap/>
                  <w:vAlign w:val="center"/>
                </w:tcPr>
                <w:p w14:paraId="4CDF32BD">
                  <w:pPr>
                    <w:widowControl/>
                    <w:jc w:val="center"/>
                    <w:rPr>
                      <w:rFonts w:cs="Calibri"/>
                      <w:kern w:val="0"/>
                      <w:szCs w:val="22"/>
                    </w:rPr>
                  </w:pPr>
                  <w:r>
                    <w:rPr>
                      <w:rFonts w:cs="Calibri"/>
                      <w:kern w:val="0"/>
                      <w:szCs w:val="22"/>
                    </w:rPr>
                    <w:t>砷</w:t>
                  </w:r>
                </w:p>
              </w:tc>
              <w:tc>
                <w:tcPr>
                  <w:tcW w:w="918" w:type="pct"/>
                  <w:noWrap/>
                  <w:vAlign w:val="center"/>
                </w:tcPr>
                <w:p w14:paraId="29AA5E72">
                  <w:pPr>
                    <w:widowControl/>
                    <w:jc w:val="center"/>
                    <w:rPr>
                      <w:rFonts w:cs="Calibri"/>
                      <w:kern w:val="0"/>
                      <w:szCs w:val="22"/>
                    </w:rPr>
                  </w:pPr>
                  <w:r>
                    <w:rPr>
                      <w:rFonts w:cs="Calibri"/>
                      <w:kern w:val="0"/>
                      <w:szCs w:val="22"/>
                    </w:rPr>
                    <w:t>mg/kg</w:t>
                  </w:r>
                </w:p>
              </w:tc>
              <w:tc>
                <w:tcPr>
                  <w:tcW w:w="1420" w:type="pct"/>
                  <w:noWrap/>
                  <w:vAlign w:val="center"/>
                </w:tcPr>
                <w:p w14:paraId="07F5FBEE">
                  <w:pPr>
                    <w:widowControl/>
                    <w:jc w:val="center"/>
                    <w:rPr>
                      <w:rFonts w:cs="Calibri"/>
                      <w:kern w:val="0"/>
                      <w:szCs w:val="22"/>
                    </w:rPr>
                  </w:pPr>
                  <w:r>
                    <w:rPr>
                      <w:rFonts w:cs="Calibri"/>
                      <w:kern w:val="0"/>
                      <w:szCs w:val="22"/>
                    </w:rPr>
                    <w:t>0.06</w:t>
                  </w:r>
                </w:p>
              </w:tc>
              <w:tc>
                <w:tcPr>
                  <w:tcW w:w="844" w:type="pct"/>
                  <w:noWrap/>
                  <w:vAlign w:val="center"/>
                </w:tcPr>
                <w:p w14:paraId="02CE9C00">
                  <w:pPr>
                    <w:widowControl/>
                    <w:jc w:val="center"/>
                    <w:rPr>
                      <w:rFonts w:cs="Calibri"/>
                      <w:kern w:val="0"/>
                      <w:szCs w:val="22"/>
                    </w:rPr>
                  </w:pPr>
                  <w:r>
                    <w:rPr>
                      <w:rFonts w:cs="Calibri"/>
                      <w:kern w:val="0"/>
                      <w:szCs w:val="22"/>
                    </w:rPr>
                    <w:t>60</w:t>
                  </w:r>
                </w:p>
              </w:tc>
            </w:tr>
            <w:tr w14:paraId="1C90D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74678956">
                  <w:pPr>
                    <w:widowControl/>
                    <w:jc w:val="center"/>
                    <w:rPr>
                      <w:rFonts w:cs="Calibri"/>
                      <w:kern w:val="0"/>
                      <w:szCs w:val="22"/>
                    </w:rPr>
                  </w:pPr>
                </w:p>
              </w:tc>
              <w:tc>
                <w:tcPr>
                  <w:tcW w:w="1188" w:type="pct"/>
                  <w:noWrap/>
                  <w:vAlign w:val="center"/>
                </w:tcPr>
                <w:p w14:paraId="430C8C0C">
                  <w:pPr>
                    <w:widowControl/>
                    <w:jc w:val="center"/>
                    <w:rPr>
                      <w:rFonts w:cs="Calibri"/>
                      <w:kern w:val="0"/>
                      <w:szCs w:val="22"/>
                    </w:rPr>
                  </w:pPr>
                  <w:r>
                    <w:rPr>
                      <w:rFonts w:cs="Calibri"/>
                      <w:kern w:val="0"/>
                      <w:szCs w:val="22"/>
                    </w:rPr>
                    <w:t>镉</w:t>
                  </w:r>
                </w:p>
              </w:tc>
              <w:tc>
                <w:tcPr>
                  <w:tcW w:w="918" w:type="pct"/>
                  <w:noWrap/>
                  <w:vAlign w:val="center"/>
                </w:tcPr>
                <w:p w14:paraId="53658019">
                  <w:pPr>
                    <w:widowControl/>
                    <w:jc w:val="center"/>
                    <w:rPr>
                      <w:rFonts w:cs="Calibri"/>
                      <w:kern w:val="0"/>
                      <w:szCs w:val="22"/>
                    </w:rPr>
                  </w:pPr>
                  <w:r>
                    <w:rPr>
                      <w:rFonts w:cs="Calibri"/>
                      <w:kern w:val="0"/>
                      <w:szCs w:val="22"/>
                    </w:rPr>
                    <w:t>mg/kg</w:t>
                  </w:r>
                </w:p>
              </w:tc>
              <w:tc>
                <w:tcPr>
                  <w:tcW w:w="1420" w:type="pct"/>
                  <w:noWrap/>
                  <w:vAlign w:val="center"/>
                </w:tcPr>
                <w:p w14:paraId="77F033D1">
                  <w:pPr>
                    <w:widowControl/>
                    <w:jc w:val="center"/>
                    <w:rPr>
                      <w:rFonts w:cs="Calibri"/>
                      <w:kern w:val="0"/>
                      <w:szCs w:val="22"/>
                    </w:rPr>
                  </w:pPr>
                  <w:r>
                    <w:rPr>
                      <w:rFonts w:cs="Calibri"/>
                      <w:kern w:val="0"/>
                      <w:szCs w:val="22"/>
                    </w:rPr>
                    <w:t>0.04</w:t>
                  </w:r>
                </w:p>
              </w:tc>
              <w:tc>
                <w:tcPr>
                  <w:tcW w:w="844" w:type="pct"/>
                  <w:noWrap/>
                  <w:vAlign w:val="center"/>
                </w:tcPr>
                <w:p w14:paraId="5500D8FA">
                  <w:pPr>
                    <w:widowControl/>
                    <w:jc w:val="center"/>
                    <w:rPr>
                      <w:rFonts w:cs="Calibri"/>
                      <w:kern w:val="0"/>
                      <w:szCs w:val="22"/>
                    </w:rPr>
                  </w:pPr>
                  <w:r>
                    <w:rPr>
                      <w:rFonts w:cs="Calibri"/>
                      <w:kern w:val="0"/>
                      <w:szCs w:val="22"/>
                    </w:rPr>
                    <w:t>65</w:t>
                  </w:r>
                </w:p>
              </w:tc>
            </w:tr>
            <w:tr w14:paraId="57C4E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7BE170DF">
                  <w:pPr>
                    <w:widowControl/>
                    <w:jc w:val="center"/>
                    <w:rPr>
                      <w:rFonts w:cs="Calibri"/>
                      <w:kern w:val="0"/>
                      <w:szCs w:val="22"/>
                    </w:rPr>
                  </w:pPr>
                </w:p>
              </w:tc>
              <w:tc>
                <w:tcPr>
                  <w:tcW w:w="1188" w:type="pct"/>
                  <w:noWrap/>
                  <w:vAlign w:val="center"/>
                </w:tcPr>
                <w:p w14:paraId="12B40ABC">
                  <w:pPr>
                    <w:widowControl/>
                    <w:jc w:val="center"/>
                    <w:rPr>
                      <w:rFonts w:cs="Calibri"/>
                      <w:kern w:val="0"/>
                      <w:szCs w:val="22"/>
                    </w:rPr>
                  </w:pPr>
                  <w:r>
                    <w:rPr>
                      <w:rFonts w:cs="Calibri"/>
                      <w:kern w:val="0"/>
                      <w:szCs w:val="22"/>
                    </w:rPr>
                    <w:t>六价铬</w:t>
                  </w:r>
                </w:p>
              </w:tc>
              <w:tc>
                <w:tcPr>
                  <w:tcW w:w="918" w:type="pct"/>
                  <w:noWrap/>
                  <w:vAlign w:val="center"/>
                </w:tcPr>
                <w:p w14:paraId="200C7B2E">
                  <w:pPr>
                    <w:widowControl/>
                    <w:jc w:val="center"/>
                    <w:rPr>
                      <w:rFonts w:cs="Calibri"/>
                      <w:kern w:val="0"/>
                      <w:szCs w:val="22"/>
                    </w:rPr>
                  </w:pPr>
                  <w:r>
                    <w:rPr>
                      <w:rFonts w:cs="Calibri"/>
                      <w:kern w:val="0"/>
                      <w:szCs w:val="22"/>
                    </w:rPr>
                    <w:t>mg/kg</w:t>
                  </w:r>
                </w:p>
              </w:tc>
              <w:tc>
                <w:tcPr>
                  <w:tcW w:w="1420" w:type="pct"/>
                  <w:noWrap/>
                  <w:vAlign w:val="center"/>
                </w:tcPr>
                <w:p w14:paraId="19DE65FC">
                  <w:pPr>
                    <w:widowControl/>
                    <w:jc w:val="center"/>
                    <w:rPr>
                      <w:rFonts w:cs="Calibri"/>
                      <w:kern w:val="0"/>
                      <w:szCs w:val="22"/>
                    </w:rPr>
                  </w:pPr>
                  <w:r>
                    <w:rPr>
                      <w:rFonts w:cs="Calibri"/>
                      <w:kern w:val="0"/>
                      <w:szCs w:val="22"/>
                    </w:rPr>
                    <w:t>未检出</w:t>
                  </w:r>
                </w:p>
              </w:tc>
              <w:tc>
                <w:tcPr>
                  <w:tcW w:w="844" w:type="pct"/>
                  <w:noWrap/>
                  <w:vAlign w:val="center"/>
                </w:tcPr>
                <w:p w14:paraId="03FB38F6">
                  <w:pPr>
                    <w:widowControl/>
                    <w:jc w:val="center"/>
                    <w:rPr>
                      <w:rFonts w:cs="Calibri"/>
                      <w:kern w:val="0"/>
                      <w:szCs w:val="22"/>
                    </w:rPr>
                  </w:pPr>
                  <w:r>
                    <w:rPr>
                      <w:rFonts w:cs="Calibri"/>
                      <w:kern w:val="0"/>
                      <w:szCs w:val="22"/>
                    </w:rPr>
                    <w:t>5.7</w:t>
                  </w:r>
                </w:p>
              </w:tc>
            </w:tr>
            <w:tr w14:paraId="6BBAF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3736E2E0">
                  <w:pPr>
                    <w:widowControl/>
                    <w:jc w:val="center"/>
                    <w:rPr>
                      <w:rFonts w:cs="Calibri"/>
                      <w:kern w:val="0"/>
                      <w:szCs w:val="22"/>
                    </w:rPr>
                  </w:pPr>
                </w:p>
              </w:tc>
              <w:tc>
                <w:tcPr>
                  <w:tcW w:w="1188" w:type="pct"/>
                  <w:noWrap/>
                  <w:vAlign w:val="center"/>
                </w:tcPr>
                <w:p w14:paraId="4FAA818B">
                  <w:pPr>
                    <w:widowControl/>
                    <w:jc w:val="center"/>
                    <w:rPr>
                      <w:rFonts w:cs="Calibri"/>
                      <w:kern w:val="0"/>
                      <w:szCs w:val="22"/>
                    </w:rPr>
                  </w:pPr>
                  <w:r>
                    <w:rPr>
                      <w:rFonts w:cs="Calibri"/>
                      <w:kern w:val="0"/>
                      <w:szCs w:val="22"/>
                    </w:rPr>
                    <w:t>铜</w:t>
                  </w:r>
                </w:p>
              </w:tc>
              <w:tc>
                <w:tcPr>
                  <w:tcW w:w="918" w:type="pct"/>
                  <w:noWrap/>
                  <w:vAlign w:val="center"/>
                </w:tcPr>
                <w:p w14:paraId="5B3886FD">
                  <w:pPr>
                    <w:widowControl/>
                    <w:jc w:val="center"/>
                    <w:rPr>
                      <w:rFonts w:cs="Calibri"/>
                      <w:kern w:val="0"/>
                      <w:szCs w:val="22"/>
                    </w:rPr>
                  </w:pPr>
                  <w:r>
                    <w:rPr>
                      <w:rFonts w:cs="Calibri"/>
                      <w:kern w:val="0"/>
                      <w:szCs w:val="22"/>
                    </w:rPr>
                    <w:t>mg/kg</w:t>
                  </w:r>
                </w:p>
              </w:tc>
              <w:tc>
                <w:tcPr>
                  <w:tcW w:w="1420" w:type="pct"/>
                  <w:noWrap/>
                  <w:vAlign w:val="center"/>
                </w:tcPr>
                <w:p w14:paraId="229F7B6B">
                  <w:pPr>
                    <w:widowControl/>
                    <w:jc w:val="center"/>
                    <w:rPr>
                      <w:rFonts w:cs="Calibri"/>
                      <w:kern w:val="0"/>
                      <w:szCs w:val="22"/>
                    </w:rPr>
                  </w:pPr>
                  <w:r>
                    <w:rPr>
                      <w:rFonts w:cs="Calibri"/>
                      <w:kern w:val="0"/>
                      <w:szCs w:val="22"/>
                    </w:rPr>
                    <w:t>10</w:t>
                  </w:r>
                </w:p>
              </w:tc>
              <w:tc>
                <w:tcPr>
                  <w:tcW w:w="844" w:type="pct"/>
                  <w:noWrap/>
                  <w:vAlign w:val="center"/>
                </w:tcPr>
                <w:p w14:paraId="5B4E73BD">
                  <w:pPr>
                    <w:widowControl/>
                    <w:jc w:val="center"/>
                    <w:rPr>
                      <w:rFonts w:cs="Calibri"/>
                      <w:kern w:val="0"/>
                      <w:szCs w:val="22"/>
                    </w:rPr>
                  </w:pPr>
                  <w:r>
                    <w:rPr>
                      <w:rFonts w:cs="Calibri"/>
                      <w:kern w:val="0"/>
                      <w:szCs w:val="22"/>
                    </w:rPr>
                    <w:t>18000</w:t>
                  </w:r>
                </w:p>
              </w:tc>
            </w:tr>
            <w:tr w14:paraId="470EA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7EDCDE81">
                  <w:pPr>
                    <w:widowControl/>
                    <w:jc w:val="center"/>
                    <w:rPr>
                      <w:rFonts w:cs="Calibri"/>
                      <w:kern w:val="0"/>
                      <w:szCs w:val="22"/>
                    </w:rPr>
                  </w:pPr>
                </w:p>
              </w:tc>
              <w:tc>
                <w:tcPr>
                  <w:tcW w:w="1188" w:type="pct"/>
                  <w:noWrap/>
                  <w:vAlign w:val="center"/>
                </w:tcPr>
                <w:p w14:paraId="7A50F31F">
                  <w:pPr>
                    <w:widowControl/>
                    <w:jc w:val="center"/>
                    <w:rPr>
                      <w:rFonts w:cs="Calibri"/>
                      <w:kern w:val="0"/>
                      <w:szCs w:val="22"/>
                    </w:rPr>
                  </w:pPr>
                  <w:r>
                    <w:rPr>
                      <w:rFonts w:cs="Calibri"/>
                      <w:kern w:val="0"/>
                      <w:szCs w:val="22"/>
                    </w:rPr>
                    <w:t>铅</w:t>
                  </w:r>
                </w:p>
              </w:tc>
              <w:tc>
                <w:tcPr>
                  <w:tcW w:w="918" w:type="pct"/>
                  <w:noWrap/>
                  <w:vAlign w:val="center"/>
                </w:tcPr>
                <w:p w14:paraId="0E8BDAA2">
                  <w:pPr>
                    <w:widowControl/>
                    <w:jc w:val="center"/>
                    <w:rPr>
                      <w:rFonts w:cs="Calibri"/>
                      <w:kern w:val="0"/>
                      <w:szCs w:val="22"/>
                    </w:rPr>
                  </w:pPr>
                  <w:r>
                    <w:rPr>
                      <w:rFonts w:cs="Calibri"/>
                      <w:kern w:val="0"/>
                      <w:szCs w:val="22"/>
                    </w:rPr>
                    <w:t>mg/kg</w:t>
                  </w:r>
                </w:p>
              </w:tc>
              <w:tc>
                <w:tcPr>
                  <w:tcW w:w="1420" w:type="pct"/>
                  <w:noWrap/>
                  <w:vAlign w:val="center"/>
                </w:tcPr>
                <w:p w14:paraId="264F41C2">
                  <w:pPr>
                    <w:widowControl/>
                    <w:jc w:val="center"/>
                    <w:rPr>
                      <w:rFonts w:cs="Calibri"/>
                      <w:kern w:val="0"/>
                      <w:szCs w:val="22"/>
                    </w:rPr>
                  </w:pPr>
                  <w:r>
                    <w:rPr>
                      <w:rFonts w:cs="Calibri"/>
                      <w:kern w:val="0"/>
                      <w:szCs w:val="22"/>
                    </w:rPr>
                    <w:t>24</w:t>
                  </w:r>
                </w:p>
              </w:tc>
              <w:tc>
                <w:tcPr>
                  <w:tcW w:w="844" w:type="pct"/>
                  <w:noWrap/>
                  <w:vAlign w:val="center"/>
                </w:tcPr>
                <w:p w14:paraId="499A7F33">
                  <w:pPr>
                    <w:widowControl/>
                    <w:jc w:val="center"/>
                    <w:rPr>
                      <w:rFonts w:cs="Calibri"/>
                      <w:kern w:val="0"/>
                      <w:szCs w:val="22"/>
                    </w:rPr>
                  </w:pPr>
                  <w:r>
                    <w:rPr>
                      <w:rFonts w:cs="Calibri"/>
                      <w:kern w:val="0"/>
                      <w:szCs w:val="22"/>
                    </w:rPr>
                    <w:t>800</w:t>
                  </w:r>
                </w:p>
              </w:tc>
            </w:tr>
            <w:tr w14:paraId="20393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18D8533C">
                  <w:pPr>
                    <w:widowControl/>
                    <w:jc w:val="center"/>
                    <w:rPr>
                      <w:rFonts w:cs="Calibri"/>
                      <w:kern w:val="0"/>
                      <w:szCs w:val="22"/>
                    </w:rPr>
                  </w:pPr>
                </w:p>
              </w:tc>
              <w:tc>
                <w:tcPr>
                  <w:tcW w:w="1188" w:type="pct"/>
                  <w:noWrap/>
                  <w:vAlign w:val="center"/>
                </w:tcPr>
                <w:p w14:paraId="3DFDE6CF">
                  <w:pPr>
                    <w:widowControl/>
                    <w:jc w:val="center"/>
                    <w:rPr>
                      <w:rFonts w:cs="Calibri"/>
                      <w:kern w:val="0"/>
                      <w:szCs w:val="22"/>
                    </w:rPr>
                  </w:pPr>
                  <w:r>
                    <w:rPr>
                      <w:rFonts w:cs="Calibri"/>
                      <w:kern w:val="0"/>
                      <w:szCs w:val="22"/>
                    </w:rPr>
                    <w:t>汞</w:t>
                  </w:r>
                </w:p>
              </w:tc>
              <w:tc>
                <w:tcPr>
                  <w:tcW w:w="918" w:type="pct"/>
                  <w:noWrap/>
                  <w:vAlign w:val="center"/>
                </w:tcPr>
                <w:p w14:paraId="508C6E03">
                  <w:pPr>
                    <w:widowControl/>
                    <w:jc w:val="center"/>
                    <w:rPr>
                      <w:rFonts w:cs="Calibri"/>
                      <w:kern w:val="0"/>
                      <w:szCs w:val="22"/>
                    </w:rPr>
                  </w:pPr>
                  <w:r>
                    <w:rPr>
                      <w:rFonts w:cs="Calibri"/>
                      <w:kern w:val="0"/>
                      <w:szCs w:val="22"/>
                    </w:rPr>
                    <w:t>mg/kg</w:t>
                  </w:r>
                </w:p>
              </w:tc>
              <w:tc>
                <w:tcPr>
                  <w:tcW w:w="1420" w:type="pct"/>
                  <w:noWrap/>
                  <w:vAlign w:val="center"/>
                </w:tcPr>
                <w:p w14:paraId="366548A0">
                  <w:pPr>
                    <w:widowControl/>
                    <w:jc w:val="center"/>
                    <w:rPr>
                      <w:rFonts w:cs="Calibri"/>
                      <w:kern w:val="0"/>
                      <w:szCs w:val="22"/>
                    </w:rPr>
                  </w:pPr>
                  <w:r>
                    <w:rPr>
                      <w:rFonts w:cs="Calibri"/>
                      <w:kern w:val="0"/>
                      <w:szCs w:val="22"/>
                    </w:rPr>
                    <w:t>0.016</w:t>
                  </w:r>
                </w:p>
              </w:tc>
              <w:tc>
                <w:tcPr>
                  <w:tcW w:w="844" w:type="pct"/>
                  <w:noWrap/>
                  <w:vAlign w:val="center"/>
                </w:tcPr>
                <w:p w14:paraId="669FEC4D">
                  <w:pPr>
                    <w:widowControl/>
                    <w:jc w:val="center"/>
                    <w:rPr>
                      <w:rFonts w:cs="Calibri"/>
                      <w:kern w:val="0"/>
                      <w:szCs w:val="22"/>
                    </w:rPr>
                  </w:pPr>
                  <w:r>
                    <w:rPr>
                      <w:rFonts w:cs="Calibri"/>
                      <w:kern w:val="0"/>
                      <w:szCs w:val="22"/>
                    </w:rPr>
                    <w:t>38</w:t>
                  </w:r>
                </w:p>
              </w:tc>
            </w:tr>
            <w:tr w14:paraId="6684F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4F4349A9">
                  <w:pPr>
                    <w:widowControl/>
                    <w:jc w:val="center"/>
                    <w:rPr>
                      <w:rFonts w:cs="Calibri"/>
                      <w:kern w:val="0"/>
                      <w:szCs w:val="22"/>
                    </w:rPr>
                  </w:pPr>
                </w:p>
              </w:tc>
              <w:tc>
                <w:tcPr>
                  <w:tcW w:w="1188" w:type="pct"/>
                  <w:noWrap/>
                  <w:vAlign w:val="center"/>
                </w:tcPr>
                <w:p w14:paraId="636DA50B">
                  <w:pPr>
                    <w:widowControl/>
                    <w:jc w:val="center"/>
                    <w:rPr>
                      <w:rFonts w:cs="Calibri"/>
                      <w:kern w:val="0"/>
                      <w:szCs w:val="22"/>
                    </w:rPr>
                  </w:pPr>
                </w:p>
              </w:tc>
              <w:tc>
                <w:tcPr>
                  <w:tcW w:w="918" w:type="pct"/>
                  <w:noWrap/>
                  <w:vAlign w:val="center"/>
                </w:tcPr>
                <w:p w14:paraId="0061903C">
                  <w:pPr>
                    <w:widowControl/>
                    <w:jc w:val="center"/>
                    <w:rPr>
                      <w:rFonts w:cs="Calibri"/>
                      <w:kern w:val="0"/>
                      <w:szCs w:val="22"/>
                    </w:rPr>
                  </w:pPr>
                  <w:r>
                    <w:rPr>
                      <w:rFonts w:cs="Calibri"/>
                      <w:kern w:val="0"/>
                      <w:szCs w:val="22"/>
                    </w:rPr>
                    <w:t>mg/kg</w:t>
                  </w:r>
                </w:p>
              </w:tc>
              <w:tc>
                <w:tcPr>
                  <w:tcW w:w="1420" w:type="pct"/>
                  <w:noWrap/>
                  <w:vAlign w:val="center"/>
                </w:tcPr>
                <w:p w14:paraId="39E6FD3A">
                  <w:pPr>
                    <w:widowControl/>
                    <w:jc w:val="center"/>
                    <w:rPr>
                      <w:rFonts w:cs="Calibri"/>
                      <w:kern w:val="0"/>
                      <w:szCs w:val="22"/>
                    </w:rPr>
                  </w:pPr>
                  <w:r>
                    <w:rPr>
                      <w:rFonts w:cs="Calibri"/>
                      <w:kern w:val="0"/>
                      <w:szCs w:val="22"/>
                    </w:rPr>
                    <w:t>18</w:t>
                  </w:r>
                </w:p>
              </w:tc>
              <w:tc>
                <w:tcPr>
                  <w:tcW w:w="844" w:type="pct"/>
                  <w:noWrap/>
                  <w:vAlign w:val="center"/>
                </w:tcPr>
                <w:p w14:paraId="6D8D7316">
                  <w:pPr>
                    <w:widowControl/>
                    <w:jc w:val="center"/>
                    <w:rPr>
                      <w:rFonts w:cs="Calibri"/>
                      <w:kern w:val="0"/>
                      <w:szCs w:val="22"/>
                    </w:rPr>
                  </w:pPr>
                  <w:r>
                    <w:rPr>
                      <w:rFonts w:cs="Calibri"/>
                      <w:kern w:val="0"/>
                      <w:szCs w:val="22"/>
                    </w:rPr>
                    <w:t>900</w:t>
                  </w:r>
                </w:p>
              </w:tc>
            </w:tr>
            <w:tr w14:paraId="248C0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156FEE44">
                  <w:pPr>
                    <w:widowControl/>
                    <w:jc w:val="center"/>
                    <w:rPr>
                      <w:rFonts w:cs="Calibri"/>
                      <w:kern w:val="0"/>
                      <w:szCs w:val="22"/>
                    </w:rPr>
                  </w:pPr>
                </w:p>
              </w:tc>
              <w:tc>
                <w:tcPr>
                  <w:tcW w:w="1188" w:type="pct"/>
                  <w:noWrap/>
                  <w:vAlign w:val="center"/>
                </w:tcPr>
                <w:p w14:paraId="02145FCD">
                  <w:pPr>
                    <w:widowControl/>
                    <w:jc w:val="center"/>
                    <w:rPr>
                      <w:rFonts w:cs="Calibri"/>
                      <w:kern w:val="0"/>
                      <w:szCs w:val="22"/>
                    </w:rPr>
                  </w:pPr>
                  <w:r>
                    <w:rPr>
                      <w:rFonts w:cs="Calibri"/>
                      <w:kern w:val="0"/>
                      <w:szCs w:val="22"/>
                    </w:rPr>
                    <w:t>硝基苯</w:t>
                  </w:r>
                </w:p>
              </w:tc>
              <w:tc>
                <w:tcPr>
                  <w:tcW w:w="918" w:type="pct"/>
                  <w:noWrap/>
                  <w:vAlign w:val="center"/>
                </w:tcPr>
                <w:p w14:paraId="62ABFEAE">
                  <w:pPr>
                    <w:widowControl/>
                    <w:jc w:val="center"/>
                    <w:rPr>
                      <w:rFonts w:cs="Calibri"/>
                      <w:kern w:val="0"/>
                      <w:szCs w:val="22"/>
                    </w:rPr>
                  </w:pPr>
                  <w:r>
                    <w:rPr>
                      <w:rFonts w:cs="Calibri"/>
                      <w:kern w:val="0"/>
                      <w:szCs w:val="22"/>
                    </w:rPr>
                    <w:t>mg/kg</w:t>
                  </w:r>
                </w:p>
              </w:tc>
              <w:tc>
                <w:tcPr>
                  <w:tcW w:w="1420" w:type="pct"/>
                  <w:noWrap/>
                  <w:vAlign w:val="center"/>
                </w:tcPr>
                <w:p w14:paraId="7B5656CA">
                  <w:pPr>
                    <w:widowControl/>
                    <w:jc w:val="center"/>
                    <w:rPr>
                      <w:rFonts w:cs="Calibri"/>
                      <w:kern w:val="0"/>
                      <w:szCs w:val="22"/>
                    </w:rPr>
                  </w:pPr>
                  <w:r>
                    <w:rPr>
                      <w:rFonts w:cs="Calibri"/>
                      <w:kern w:val="0"/>
                      <w:szCs w:val="22"/>
                    </w:rPr>
                    <w:t>未检出</w:t>
                  </w:r>
                </w:p>
              </w:tc>
              <w:tc>
                <w:tcPr>
                  <w:tcW w:w="844" w:type="pct"/>
                  <w:noWrap/>
                  <w:vAlign w:val="center"/>
                </w:tcPr>
                <w:p w14:paraId="3A4C84B6">
                  <w:pPr>
                    <w:widowControl/>
                    <w:jc w:val="center"/>
                    <w:rPr>
                      <w:rFonts w:cs="Calibri"/>
                      <w:kern w:val="0"/>
                      <w:szCs w:val="22"/>
                    </w:rPr>
                  </w:pPr>
                  <w:r>
                    <w:rPr>
                      <w:rFonts w:cs="Calibri"/>
                      <w:kern w:val="0"/>
                      <w:szCs w:val="22"/>
                    </w:rPr>
                    <w:t>76</w:t>
                  </w:r>
                </w:p>
              </w:tc>
            </w:tr>
            <w:tr w14:paraId="6BE6E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2A1D8FC0">
                  <w:pPr>
                    <w:widowControl/>
                    <w:jc w:val="center"/>
                    <w:rPr>
                      <w:rFonts w:cs="Calibri"/>
                      <w:kern w:val="0"/>
                      <w:szCs w:val="22"/>
                    </w:rPr>
                  </w:pPr>
                </w:p>
              </w:tc>
              <w:tc>
                <w:tcPr>
                  <w:tcW w:w="1188" w:type="pct"/>
                  <w:noWrap/>
                  <w:vAlign w:val="center"/>
                </w:tcPr>
                <w:p w14:paraId="4B20845A">
                  <w:pPr>
                    <w:widowControl/>
                    <w:jc w:val="center"/>
                    <w:rPr>
                      <w:rFonts w:cs="Calibri"/>
                      <w:kern w:val="0"/>
                      <w:szCs w:val="22"/>
                    </w:rPr>
                  </w:pPr>
                  <w:r>
                    <w:rPr>
                      <w:rFonts w:cs="Calibri"/>
                      <w:kern w:val="0"/>
                      <w:szCs w:val="22"/>
                    </w:rPr>
                    <w:t>苯胺</w:t>
                  </w:r>
                </w:p>
              </w:tc>
              <w:tc>
                <w:tcPr>
                  <w:tcW w:w="918" w:type="pct"/>
                  <w:noWrap/>
                  <w:vAlign w:val="center"/>
                </w:tcPr>
                <w:p w14:paraId="3982551A">
                  <w:pPr>
                    <w:widowControl/>
                    <w:jc w:val="center"/>
                    <w:rPr>
                      <w:rFonts w:cs="Calibri"/>
                      <w:kern w:val="0"/>
                      <w:szCs w:val="22"/>
                    </w:rPr>
                  </w:pPr>
                  <w:r>
                    <w:rPr>
                      <w:rFonts w:cs="Calibri"/>
                      <w:kern w:val="0"/>
                      <w:szCs w:val="22"/>
                    </w:rPr>
                    <w:t>mg/kg</w:t>
                  </w:r>
                </w:p>
              </w:tc>
              <w:tc>
                <w:tcPr>
                  <w:tcW w:w="1420" w:type="pct"/>
                  <w:noWrap/>
                  <w:vAlign w:val="center"/>
                </w:tcPr>
                <w:p w14:paraId="58078935">
                  <w:pPr>
                    <w:widowControl/>
                    <w:jc w:val="center"/>
                    <w:rPr>
                      <w:rFonts w:cs="Calibri"/>
                      <w:kern w:val="0"/>
                      <w:szCs w:val="22"/>
                    </w:rPr>
                  </w:pPr>
                  <w:r>
                    <w:rPr>
                      <w:rFonts w:cs="Calibri"/>
                      <w:kern w:val="0"/>
                      <w:szCs w:val="22"/>
                    </w:rPr>
                    <w:t>未检出</w:t>
                  </w:r>
                </w:p>
              </w:tc>
              <w:tc>
                <w:tcPr>
                  <w:tcW w:w="844" w:type="pct"/>
                  <w:noWrap/>
                  <w:vAlign w:val="center"/>
                </w:tcPr>
                <w:p w14:paraId="34278A06">
                  <w:pPr>
                    <w:widowControl/>
                    <w:jc w:val="center"/>
                    <w:rPr>
                      <w:rFonts w:cs="Calibri"/>
                      <w:kern w:val="0"/>
                      <w:szCs w:val="22"/>
                    </w:rPr>
                  </w:pPr>
                  <w:r>
                    <w:rPr>
                      <w:rFonts w:cs="Calibri"/>
                      <w:kern w:val="0"/>
                      <w:szCs w:val="22"/>
                    </w:rPr>
                    <w:t>260</w:t>
                  </w:r>
                </w:p>
              </w:tc>
            </w:tr>
            <w:tr w14:paraId="7AB0B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13E6E694">
                  <w:pPr>
                    <w:widowControl/>
                    <w:jc w:val="center"/>
                    <w:rPr>
                      <w:rFonts w:cs="Calibri"/>
                      <w:kern w:val="0"/>
                      <w:szCs w:val="22"/>
                    </w:rPr>
                  </w:pPr>
                </w:p>
              </w:tc>
              <w:tc>
                <w:tcPr>
                  <w:tcW w:w="1188" w:type="pct"/>
                  <w:noWrap/>
                  <w:vAlign w:val="center"/>
                </w:tcPr>
                <w:p w14:paraId="1C286BA6">
                  <w:pPr>
                    <w:widowControl/>
                    <w:jc w:val="center"/>
                    <w:rPr>
                      <w:rFonts w:cs="Calibri"/>
                      <w:kern w:val="0"/>
                      <w:szCs w:val="22"/>
                    </w:rPr>
                  </w:pPr>
                  <w:r>
                    <w:rPr>
                      <w:rFonts w:cs="Calibri"/>
                      <w:kern w:val="0"/>
                      <w:szCs w:val="22"/>
                    </w:rPr>
                    <w:t>2-氯苯酚</w:t>
                  </w:r>
                </w:p>
              </w:tc>
              <w:tc>
                <w:tcPr>
                  <w:tcW w:w="918" w:type="pct"/>
                  <w:noWrap/>
                  <w:vAlign w:val="center"/>
                </w:tcPr>
                <w:p w14:paraId="55B67567">
                  <w:pPr>
                    <w:widowControl/>
                    <w:jc w:val="center"/>
                    <w:rPr>
                      <w:rFonts w:cs="Calibri"/>
                      <w:kern w:val="0"/>
                      <w:szCs w:val="22"/>
                    </w:rPr>
                  </w:pPr>
                  <w:r>
                    <w:rPr>
                      <w:rFonts w:cs="Calibri"/>
                      <w:kern w:val="0"/>
                      <w:szCs w:val="22"/>
                    </w:rPr>
                    <w:t>mg/kg</w:t>
                  </w:r>
                </w:p>
              </w:tc>
              <w:tc>
                <w:tcPr>
                  <w:tcW w:w="1420" w:type="pct"/>
                  <w:noWrap/>
                  <w:vAlign w:val="center"/>
                </w:tcPr>
                <w:p w14:paraId="53C2CFCD">
                  <w:pPr>
                    <w:widowControl/>
                    <w:jc w:val="center"/>
                    <w:rPr>
                      <w:rFonts w:cs="Calibri"/>
                      <w:kern w:val="0"/>
                      <w:szCs w:val="22"/>
                    </w:rPr>
                  </w:pPr>
                  <w:r>
                    <w:rPr>
                      <w:rFonts w:cs="Calibri"/>
                      <w:kern w:val="0"/>
                      <w:szCs w:val="22"/>
                    </w:rPr>
                    <w:t>未检出</w:t>
                  </w:r>
                </w:p>
              </w:tc>
              <w:tc>
                <w:tcPr>
                  <w:tcW w:w="844" w:type="pct"/>
                  <w:noWrap/>
                  <w:vAlign w:val="center"/>
                </w:tcPr>
                <w:p w14:paraId="73AACE13">
                  <w:pPr>
                    <w:widowControl/>
                    <w:jc w:val="center"/>
                    <w:rPr>
                      <w:rFonts w:cs="Calibri"/>
                      <w:kern w:val="0"/>
                      <w:szCs w:val="22"/>
                    </w:rPr>
                  </w:pPr>
                  <w:r>
                    <w:rPr>
                      <w:rFonts w:cs="Calibri"/>
                      <w:kern w:val="0"/>
                      <w:szCs w:val="22"/>
                    </w:rPr>
                    <w:t>2256</w:t>
                  </w:r>
                </w:p>
              </w:tc>
            </w:tr>
            <w:tr w14:paraId="1F072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6773EDF7">
                  <w:pPr>
                    <w:widowControl/>
                    <w:jc w:val="center"/>
                    <w:rPr>
                      <w:rFonts w:cs="Calibri"/>
                      <w:kern w:val="0"/>
                      <w:szCs w:val="22"/>
                    </w:rPr>
                  </w:pPr>
                </w:p>
              </w:tc>
              <w:tc>
                <w:tcPr>
                  <w:tcW w:w="1188" w:type="pct"/>
                  <w:noWrap/>
                  <w:vAlign w:val="center"/>
                </w:tcPr>
                <w:p w14:paraId="657D1DD4">
                  <w:pPr>
                    <w:widowControl/>
                    <w:jc w:val="center"/>
                    <w:rPr>
                      <w:rFonts w:cs="Calibri"/>
                      <w:kern w:val="0"/>
                      <w:szCs w:val="22"/>
                    </w:rPr>
                  </w:pPr>
                  <w:r>
                    <w:rPr>
                      <w:rFonts w:cs="Calibri"/>
                      <w:kern w:val="0"/>
                      <w:szCs w:val="22"/>
                    </w:rPr>
                    <w:t>苯并[a]蒽</w:t>
                  </w:r>
                </w:p>
              </w:tc>
              <w:tc>
                <w:tcPr>
                  <w:tcW w:w="918" w:type="pct"/>
                  <w:noWrap/>
                  <w:vAlign w:val="center"/>
                </w:tcPr>
                <w:p w14:paraId="0BEE4CF3">
                  <w:pPr>
                    <w:widowControl/>
                    <w:jc w:val="center"/>
                    <w:rPr>
                      <w:rFonts w:cs="Calibri"/>
                      <w:kern w:val="0"/>
                      <w:szCs w:val="22"/>
                    </w:rPr>
                  </w:pPr>
                  <w:r>
                    <w:rPr>
                      <w:rFonts w:cs="Calibri"/>
                      <w:kern w:val="0"/>
                      <w:szCs w:val="22"/>
                    </w:rPr>
                    <w:t>mg/kg</w:t>
                  </w:r>
                </w:p>
              </w:tc>
              <w:tc>
                <w:tcPr>
                  <w:tcW w:w="1420" w:type="pct"/>
                  <w:noWrap/>
                  <w:vAlign w:val="center"/>
                </w:tcPr>
                <w:p w14:paraId="500AAE37">
                  <w:pPr>
                    <w:widowControl/>
                    <w:jc w:val="center"/>
                    <w:rPr>
                      <w:rFonts w:cs="Calibri"/>
                      <w:kern w:val="0"/>
                      <w:szCs w:val="22"/>
                    </w:rPr>
                  </w:pPr>
                  <w:r>
                    <w:rPr>
                      <w:rFonts w:cs="Calibri"/>
                      <w:kern w:val="0"/>
                      <w:szCs w:val="22"/>
                    </w:rPr>
                    <w:t>未检出</w:t>
                  </w:r>
                </w:p>
              </w:tc>
              <w:tc>
                <w:tcPr>
                  <w:tcW w:w="844" w:type="pct"/>
                  <w:noWrap/>
                  <w:vAlign w:val="center"/>
                </w:tcPr>
                <w:p w14:paraId="44CA46B4">
                  <w:pPr>
                    <w:widowControl/>
                    <w:jc w:val="center"/>
                    <w:rPr>
                      <w:rFonts w:cs="Calibri"/>
                      <w:kern w:val="0"/>
                      <w:szCs w:val="22"/>
                    </w:rPr>
                  </w:pPr>
                  <w:r>
                    <w:rPr>
                      <w:rFonts w:cs="Calibri"/>
                      <w:kern w:val="0"/>
                      <w:szCs w:val="22"/>
                    </w:rPr>
                    <w:t>15</w:t>
                  </w:r>
                </w:p>
              </w:tc>
            </w:tr>
            <w:tr w14:paraId="0E4DE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71AC6524">
                  <w:pPr>
                    <w:widowControl/>
                    <w:jc w:val="center"/>
                    <w:rPr>
                      <w:rFonts w:cs="Calibri"/>
                      <w:kern w:val="0"/>
                      <w:szCs w:val="22"/>
                    </w:rPr>
                  </w:pPr>
                </w:p>
              </w:tc>
              <w:tc>
                <w:tcPr>
                  <w:tcW w:w="1188" w:type="pct"/>
                  <w:noWrap/>
                  <w:vAlign w:val="center"/>
                </w:tcPr>
                <w:p w14:paraId="7DB10D6F">
                  <w:pPr>
                    <w:widowControl/>
                    <w:jc w:val="center"/>
                    <w:rPr>
                      <w:rFonts w:cs="Calibri"/>
                      <w:kern w:val="0"/>
                      <w:szCs w:val="22"/>
                    </w:rPr>
                  </w:pPr>
                  <w:r>
                    <w:rPr>
                      <w:rFonts w:cs="Calibri"/>
                      <w:kern w:val="0"/>
                      <w:szCs w:val="22"/>
                    </w:rPr>
                    <w:t>苯并[]芘</w:t>
                  </w:r>
                </w:p>
              </w:tc>
              <w:tc>
                <w:tcPr>
                  <w:tcW w:w="918" w:type="pct"/>
                  <w:noWrap/>
                  <w:vAlign w:val="center"/>
                </w:tcPr>
                <w:p w14:paraId="0C5D692B">
                  <w:pPr>
                    <w:widowControl/>
                    <w:jc w:val="center"/>
                    <w:rPr>
                      <w:rFonts w:cs="Calibri"/>
                      <w:kern w:val="0"/>
                      <w:szCs w:val="22"/>
                    </w:rPr>
                  </w:pPr>
                  <w:r>
                    <w:rPr>
                      <w:rFonts w:cs="Calibri"/>
                      <w:kern w:val="0"/>
                      <w:szCs w:val="22"/>
                    </w:rPr>
                    <w:t>mg/kg</w:t>
                  </w:r>
                </w:p>
              </w:tc>
              <w:tc>
                <w:tcPr>
                  <w:tcW w:w="1420" w:type="pct"/>
                  <w:noWrap/>
                  <w:vAlign w:val="center"/>
                </w:tcPr>
                <w:p w14:paraId="76984440">
                  <w:pPr>
                    <w:widowControl/>
                    <w:jc w:val="center"/>
                    <w:rPr>
                      <w:rFonts w:cs="Calibri"/>
                      <w:kern w:val="0"/>
                      <w:szCs w:val="22"/>
                    </w:rPr>
                  </w:pPr>
                  <w:r>
                    <w:rPr>
                      <w:rFonts w:cs="Calibri"/>
                      <w:kern w:val="0"/>
                      <w:szCs w:val="22"/>
                    </w:rPr>
                    <w:t>未检出</w:t>
                  </w:r>
                </w:p>
              </w:tc>
              <w:tc>
                <w:tcPr>
                  <w:tcW w:w="844" w:type="pct"/>
                  <w:noWrap/>
                  <w:vAlign w:val="center"/>
                </w:tcPr>
                <w:p w14:paraId="4A7F3CD7">
                  <w:pPr>
                    <w:widowControl/>
                    <w:jc w:val="center"/>
                    <w:rPr>
                      <w:rFonts w:cs="Calibri"/>
                      <w:kern w:val="0"/>
                      <w:szCs w:val="22"/>
                    </w:rPr>
                  </w:pPr>
                  <w:r>
                    <w:rPr>
                      <w:rFonts w:cs="Calibri"/>
                      <w:kern w:val="0"/>
                      <w:szCs w:val="22"/>
                    </w:rPr>
                    <w:t>1.5</w:t>
                  </w:r>
                </w:p>
              </w:tc>
            </w:tr>
            <w:tr w14:paraId="5FB97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5E64C645">
                  <w:pPr>
                    <w:widowControl/>
                    <w:jc w:val="center"/>
                    <w:rPr>
                      <w:rFonts w:cs="Calibri"/>
                      <w:kern w:val="0"/>
                      <w:szCs w:val="22"/>
                    </w:rPr>
                  </w:pPr>
                </w:p>
              </w:tc>
              <w:tc>
                <w:tcPr>
                  <w:tcW w:w="1188" w:type="pct"/>
                  <w:noWrap/>
                  <w:vAlign w:val="center"/>
                </w:tcPr>
                <w:p w14:paraId="5B173D53">
                  <w:pPr>
                    <w:widowControl/>
                    <w:jc w:val="center"/>
                    <w:rPr>
                      <w:rFonts w:cs="Calibri"/>
                      <w:kern w:val="0"/>
                      <w:szCs w:val="22"/>
                    </w:rPr>
                  </w:pPr>
                  <w:r>
                    <w:rPr>
                      <w:rFonts w:cs="Calibri"/>
                      <w:kern w:val="0"/>
                      <w:szCs w:val="22"/>
                    </w:rPr>
                    <w:t>苯并[b]荧蒽</w:t>
                  </w:r>
                </w:p>
              </w:tc>
              <w:tc>
                <w:tcPr>
                  <w:tcW w:w="918" w:type="pct"/>
                  <w:noWrap/>
                  <w:vAlign w:val="center"/>
                </w:tcPr>
                <w:p w14:paraId="25988773">
                  <w:pPr>
                    <w:widowControl/>
                    <w:jc w:val="center"/>
                    <w:rPr>
                      <w:rFonts w:cs="Calibri"/>
                      <w:kern w:val="0"/>
                      <w:szCs w:val="22"/>
                    </w:rPr>
                  </w:pPr>
                  <w:r>
                    <w:rPr>
                      <w:rFonts w:cs="Calibri"/>
                      <w:kern w:val="0"/>
                      <w:szCs w:val="22"/>
                    </w:rPr>
                    <w:t>mg/kg</w:t>
                  </w:r>
                </w:p>
              </w:tc>
              <w:tc>
                <w:tcPr>
                  <w:tcW w:w="1420" w:type="pct"/>
                  <w:noWrap/>
                  <w:vAlign w:val="center"/>
                </w:tcPr>
                <w:p w14:paraId="679108A3">
                  <w:pPr>
                    <w:widowControl/>
                    <w:jc w:val="center"/>
                    <w:rPr>
                      <w:rFonts w:cs="Calibri"/>
                      <w:kern w:val="0"/>
                      <w:szCs w:val="22"/>
                    </w:rPr>
                  </w:pPr>
                  <w:r>
                    <w:rPr>
                      <w:rFonts w:cs="Calibri"/>
                      <w:kern w:val="0"/>
                      <w:szCs w:val="22"/>
                    </w:rPr>
                    <w:t>未检出</w:t>
                  </w:r>
                </w:p>
              </w:tc>
              <w:tc>
                <w:tcPr>
                  <w:tcW w:w="844" w:type="pct"/>
                  <w:noWrap/>
                  <w:vAlign w:val="center"/>
                </w:tcPr>
                <w:p w14:paraId="42054874">
                  <w:pPr>
                    <w:widowControl/>
                    <w:jc w:val="center"/>
                    <w:rPr>
                      <w:rFonts w:cs="Calibri"/>
                      <w:kern w:val="0"/>
                      <w:szCs w:val="22"/>
                    </w:rPr>
                  </w:pPr>
                  <w:r>
                    <w:rPr>
                      <w:rFonts w:cs="Calibri"/>
                      <w:kern w:val="0"/>
                      <w:szCs w:val="22"/>
                    </w:rPr>
                    <w:t>15</w:t>
                  </w:r>
                </w:p>
              </w:tc>
            </w:tr>
            <w:tr w14:paraId="65312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630" w:type="pct"/>
                  <w:vMerge w:val="continue"/>
                  <w:vAlign w:val="center"/>
                </w:tcPr>
                <w:p w14:paraId="68540DCC">
                  <w:pPr>
                    <w:widowControl/>
                    <w:jc w:val="center"/>
                    <w:rPr>
                      <w:rFonts w:cs="Calibri"/>
                      <w:kern w:val="0"/>
                      <w:szCs w:val="22"/>
                    </w:rPr>
                  </w:pPr>
                </w:p>
              </w:tc>
              <w:tc>
                <w:tcPr>
                  <w:tcW w:w="1188" w:type="pct"/>
                  <w:noWrap/>
                  <w:vAlign w:val="center"/>
                </w:tcPr>
                <w:p w14:paraId="7BA24B9C">
                  <w:pPr>
                    <w:widowControl/>
                    <w:jc w:val="center"/>
                    <w:rPr>
                      <w:rFonts w:cs="Calibri"/>
                      <w:kern w:val="0"/>
                      <w:szCs w:val="22"/>
                    </w:rPr>
                  </w:pPr>
                  <w:r>
                    <w:rPr>
                      <w:rFonts w:cs="Calibri"/>
                      <w:kern w:val="0"/>
                      <w:szCs w:val="22"/>
                    </w:rPr>
                    <w:t>苯并[k]黄蒽</w:t>
                  </w:r>
                </w:p>
              </w:tc>
              <w:tc>
                <w:tcPr>
                  <w:tcW w:w="918" w:type="pct"/>
                  <w:noWrap/>
                  <w:vAlign w:val="center"/>
                </w:tcPr>
                <w:p w14:paraId="1C3B8D38">
                  <w:pPr>
                    <w:widowControl/>
                    <w:jc w:val="center"/>
                    <w:rPr>
                      <w:rFonts w:cs="Calibri"/>
                      <w:kern w:val="0"/>
                      <w:szCs w:val="22"/>
                    </w:rPr>
                  </w:pPr>
                  <w:r>
                    <w:rPr>
                      <w:rFonts w:cs="Calibri"/>
                      <w:kern w:val="0"/>
                      <w:szCs w:val="22"/>
                    </w:rPr>
                    <w:t>mg/kg</w:t>
                  </w:r>
                </w:p>
              </w:tc>
              <w:tc>
                <w:tcPr>
                  <w:tcW w:w="1420" w:type="pct"/>
                  <w:noWrap/>
                  <w:vAlign w:val="center"/>
                </w:tcPr>
                <w:p w14:paraId="33A56666">
                  <w:pPr>
                    <w:widowControl/>
                    <w:jc w:val="center"/>
                    <w:rPr>
                      <w:rFonts w:cs="Calibri"/>
                      <w:kern w:val="0"/>
                      <w:szCs w:val="22"/>
                    </w:rPr>
                  </w:pPr>
                  <w:r>
                    <w:rPr>
                      <w:rFonts w:cs="Calibri"/>
                      <w:kern w:val="0"/>
                      <w:szCs w:val="22"/>
                    </w:rPr>
                    <w:t>未检出</w:t>
                  </w:r>
                </w:p>
              </w:tc>
              <w:tc>
                <w:tcPr>
                  <w:tcW w:w="844" w:type="pct"/>
                  <w:noWrap/>
                  <w:vAlign w:val="center"/>
                </w:tcPr>
                <w:p w14:paraId="6B5634B6">
                  <w:pPr>
                    <w:widowControl/>
                    <w:jc w:val="center"/>
                    <w:rPr>
                      <w:rFonts w:cs="Calibri"/>
                      <w:kern w:val="0"/>
                      <w:szCs w:val="22"/>
                    </w:rPr>
                  </w:pPr>
                  <w:r>
                    <w:rPr>
                      <w:rFonts w:cs="Calibri"/>
                      <w:kern w:val="0"/>
                      <w:szCs w:val="22"/>
                    </w:rPr>
                    <w:t>151</w:t>
                  </w:r>
                </w:p>
              </w:tc>
            </w:tr>
            <w:tr w14:paraId="0B64F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2A7C1A2D">
                  <w:pPr>
                    <w:widowControl/>
                    <w:jc w:val="center"/>
                    <w:rPr>
                      <w:rFonts w:cs="Calibri"/>
                      <w:kern w:val="0"/>
                      <w:szCs w:val="22"/>
                    </w:rPr>
                  </w:pPr>
                </w:p>
              </w:tc>
              <w:tc>
                <w:tcPr>
                  <w:tcW w:w="1188" w:type="pct"/>
                  <w:noWrap/>
                  <w:vAlign w:val="center"/>
                </w:tcPr>
                <w:p w14:paraId="7604F248">
                  <w:pPr>
                    <w:widowControl/>
                    <w:jc w:val="center"/>
                    <w:rPr>
                      <w:rFonts w:cs="Calibri"/>
                      <w:kern w:val="0"/>
                      <w:szCs w:val="22"/>
                    </w:rPr>
                  </w:pPr>
                </w:p>
              </w:tc>
              <w:tc>
                <w:tcPr>
                  <w:tcW w:w="918" w:type="pct"/>
                  <w:noWrap/>
                  <w:vAlign w:val="center"/>
                </w:tcPr>
                <w:p w14:paraId="36CFAE5D">
                  <w:pPr>
                    <w:widowControl/>
                    <w:jc w:val="center"/>
                    <w:rPr>
                      <w:rFonts w:cs="Calibri"/>
                      <w:kern w:val="0"/>
                      <w:szCs w:val="22"/>
                    </w:rPr>
                  </w:pPr>
                  <w:r>
                    <w:rPr>
                      <w:rFonts w:cs="Calibri"/>
                      <w:kern w:val="0"/>
                      <w:szCs w:val="22"/>
                    </w:rPr>
                    <w:t>mg/kg</w:t>
                  </w:r>
                </w:p>
              </w:tc>
              <w:tc>
                <w:tcPr>
                  <w:tcW w:w="1420" w:type="pct"/>
                  <w:noWrap/>
                  <w:vAlign w:val="center"/>
                </w:tcPr>
                <w:p w14:paraId="58610983">
                  <w:pPr>
                    <w:widowControl/>
                    <w:jc w:val="center"/>
                    <w:rPr>
                      <w:rFonts w:cs="Calibri"/>
                      <w:kern w:val="0"/>
                      <w:szCs w:val="22"/>
                    </w:rPr>
                  </w:pPr>
                  <w:r>
                    <w:rPr>
                      <w:rFonts w:cs="Calibri"/>
                      <w:kern w:val="0"/>
                      <w:szCs w:val="22"/>
                    </w:rPr>
                    <w:t>未检出</w:t>
                  </w:r>
                </w:p>
              </w:tc>
              <w:tc>
                <w:tcPr>
                  <w:tcW w:w="844" w:type="pct"/>
                  <w:noWrap/>
                  <w:vAlign w:val="center"/>
                </w:tcPr>
                <w:p w14:paraId="1DB6DDBA">
                  <w:pPr>
                    <w:widowControl/>
                    <w:jc w:val="center"/>
                    <w:rPr>
                      <w:rFonts w:cs="Calibri"/>
                      <w:kern w:val="0"/>
                      <w:szCs w:val="22"/>
                    </w:rPr>
                  </w:pPr>
                  <w:r>
                    <w:rPr>
                      <w:rFonts w:cs="Calibri"/>
                      <w:kern w:val="0"/>
                      <w:szCs w:val="22"/>
                    </w:rPr>
                    <w:t>1293</w:t>
                  </w:r>
                </w:p>
              </w:tc>
            </w:tr>
            <w:tr w14:paraId="05CDD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3C00947E">
                  <w:pPr>
                    <w:widowControl/>
                    <w:jc w:val="center"/>
                    <w:rPr>
                      <w:rFonts w:cs="Calibri"/>
                      <w:kern w:val="0"/>
                      <w:szCs w:val="22"/>
                    </w:rPr>
                  </w:pPr>
                </w:p>
              </w:tc>
              <w:tc>
                <w:tcPr>
                  <w:tcW w:w="1188" w:type="pct"/>
                  <w:noWrap/>
                  <w:vAlign w:val="center"/>
                </w:tcPr>
                <w:p w14:paraId="7D4D6D07">
                  <w:pPr>
                    <w:widowControl/>
                    <w:jc w:val="center"/>
                    <w:rPr>
                      <w:rFonts w:cs="Calibri"/>
                      <w:kern w:val="0"/>
                      <w:szCs w:val="22"/>
                    </w:rPr>
                  </w:pPr>
                  <w:r>
                    <w:rPr>
                      <w:rFonts w:cs="Calibri"/>
                      <w:kern w:val="0"/>
                      <w:szCs w:val="22"/>
                    </w:rPr>
                    <w:t>二苯并[a,h]葱</w:t>
                  </w:r>
                </w:p>
              </w:tc>
              <w:tc>
                <w:tcPr>
                  <w:tcW w:w="918" w:type="pct"/>
                  <w:noWrap/>
                  <w:vAlign w:val="center"/>
                </w:tcPr>
                <w:p w14:paraId="1E5C9BC8">
                  <w:pPr>
                    <w:widowControl/>
                    <w:jc w:val="center"/>
                    <w:rPr>
                      <w:rFonts w:cs="Calibri"/>
                      <w:kern w:val="0"/>
                      <w:szCs w:val="22"/>
                    </w:rPr>
                  </w:pPr>
                  <w:r>
                    <w:rPr>
                      <w:rFonts w:cs="Calibri"/>
                      <w:kern w:val="0"/>
                      <w:szCs w:val="22"/>
                    </w:rPr>
                    <w:t>mg/kg</w:t>
                  </w:r>
                </w:p>
              </w:tc>
              <w:tc>
                <w:tcPr>
                  <w:tcW w:w="1420" w:type="pct"/>
                  <w:noWrap/>
                  <w:vAlign w:val="center"/>
                </w:tcPr>
                <w:p w14:paraId="61D11368">
                  <w:pPr>
                    <w:widowControl/>
                    <w:jc w:val="center"/>
                    <w:rPr>
                      <w:rFonts w:cs="Calibri"/>
                      <w:kern w:val="0"/>
                      <w:szCs w:val="22"/>
                    </w:rPr>
                  </w:pPr>
                  <w:r>
                    <w:rPr>
                      <w:rFonts w:cs="Calibri"/>
                      <w:kern w:val="0"/>
                      <w:szCs w:val="22"/>
                    </w:rPr>
                    <w:t>未检出</w:t>
                  </w:r>
                </w:p>
              </w:tc>
              <w:tc>
                <w:tcPr>
                  <w:tcW w:w="844" w:type="pct"/>
                  <w:noWrap/>
                  <w:vAlign w:val="center"/>
                </w:tcPr>
                <w:p w14:paraId="2CE26F20">
                  <w:pPr>
                    <w:widowControl/>
                    <w:jc w:val="center"/>
                    <w:rPr>
                      <w:rFonts w:cs="Calibri"/>
                      <w:kern w:val="0"/>
                      <w:szCs w:val="22"/>
                    </w:rPr>
                  </w:pPr>
                  <w:r>
                    <w:rPr>
                      <w:rFonts w:cs="Calibri"/>
                      <w:kern w:val="0"/>
                      <w:szCs w:val="22"/>
                    </w:rPr>
                    <w:t>1.5</w:t>
                  </w:r>
                </w:p>
              </w:tc>
            </w:tr>
            <w:tr w14:paraId="08C23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630" w:type="pct"/>
                  <w:vMerge w:val="continue"/>
                  <w:vAlign w:val="center"/>
                </w:tcPr>
                <w:p w14:paraId="451034F6">
                  <w:pPr>
                    <w:widowControl/>
                    <w:jc w:val="center"/>
                    <w:rPr>
                      <w:rFonts w:cs="Calibri"/>
                      <w:kern w:val="0"/>
                      <w:szCs w:val="22"/>
                    </w:rPr>
                  </w:pPr>
                </w:p>
              </w:tc>
              <w:tc>
                <w:tcPr>
                  <w:tcW w:w="1188" w:type="pct"/>
                  <w:noWrap/>
                  <w:vAlign w:val="center"/>
                </w:tcPr>
                <w:p w14:paraId="19CC9703">
                  <w:pPr>
                    <w:widowControl/>
                    <w:jc w:val="center"/>
                    <w:rPr>
                      <w:rFonts w:cs="Calibri"/>
                      <w:kern w:val="0"/>
                      <w:szCs w:val="22"/>
                    </w:rPr>
                  </w:pPr>
                  <w:r>
                    <w:rPr>
                      <w:rFonts w:cs="Calibri"/>
                      <w:kern w:val="0"/>
                      <w:szCs w:val="22"/>
                    </w:rPr>
                    <w:t>茚并[1,2,3-cd]芘</w:t>
                  </w:r>
                </w:p>
              </w:tc>
              <w:tc>
                <w:tcPr>
                  <w:tcW w:w="918" w:type="pct"/>
                  <w:noWrap/>
                  <w:vAlign w:val="center"/>
                </w:tcPr>
                <w:p w14:paraId="58CA192B">
                  <w:pPr>
                    <w:widowControl/>
                    <w:jc w:val="center"/>
                    <w:rPr>
                      <w:rFonts w:cs="Calibri"/>
                      <w:kern w:val="0"/>
                      <w:szCs w:val="22"/>
                    </w:rPr>
                  </w:pPr>
                  <w:r>
                    <w:rPr>
                      <w:rFonts w:cs="Calibri"/>
                      <w:kern w:val="0"/>
                      <w:szCs w:val="22"/>
                    </w:rPr>
                    <w:t>mg/kg</w:t>
                  </w:r>
                </w:p>
              </w:tc>
              <w:tc>
                <w:tcPr>
                  <w:tcW w:w="1420" w:type="pct"/>
                  <w:noWrap/>
                  <w:vAlign w:val="center"/>
                </w:tcPr>
                <w:p w14:paraId="5C34609C">
                  <w:pPr>
                    <w:widowControl/>
                    <w:jc w:val="center"/>
                    <w:rPr>
                      <w:rFonts w:cs="Calibri"/>
                      <w:kern w:val="0"/>
                      <w:szCs w:val="22"/>
                    </w:rPr>
                  </w:pPr>
                  <w:r>
                    <w:rPr>
                      <w:rFonts w:cs="Calibri"/>
                      <w:kern w:val="0"/>
                      <w:szCs w:val="22"/>
                    </w:rPr>
                    <w:t>未检出</w:t>
                  </w:r>
                </w:p>
              </w:tc>
              <w:tc>
                <w:tcPr>
                  <w:tcW w:w="844" w:type="pct"/>
                  <w:noWrap/>
                  <w:vAlign w:val="center"/>
                </w:tcPr>
                <w:p w14:paraId="606B2047">
                  <w:pPr>
                    <w:widowControl/>
                    <w:jc w:val="center"/>
                    <w:rPr>
                      <w:rFonts w:cs="Calibri"/>
                      <w:kern w:val="0"/>
                      <w:szCs w:val="22"/>
                    </w:rPr>
                  </w:pPr>
                  <w:r>
                    <w:rPr>
                      <w:rFonts w:cs="Calibri"/>
                      <w:kern w:val="0"/>
                      <w:szCs w:val="22"/>
                    </w:rPr>
                    <w:t>15</w:t>
                  </w:r>
                </w:p>
              </w:tc>
            </w:tr>
            <w:tr w14:paraId="201EC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30" w:type="pct"/>
                  <w:vMerge w:val="continue"/>
                  <w:vAlign w:val="center"/>
                </w:tcPr>
                <w:p w14:paraId="1E69EE50">
                  <w:pPr>
                    <w:widowControl/>
                    <w:jc w:val="center"/>
                    <w:rPr>
                      <w:rFonts w:cs="Calibri"/>
                      <w:kern w:val="0"/>
                      <w:szCs w:val="22"/>
                    </w:rPr>
                  </w:pPr>
                </w:p>
              </w:tc>
              <w:tc>
                <w:tcPr>
                  <w:tcW w:w="1188" w:type="pct"/>
                  <w:noWrap/>
                  <w:vAlign w:val="center"/>
                </w:tcPr>
                <w:p w14:paraId="60E837C5">
                  <w:pPr>
                    <w:widowControl/>
                    <w:jc w:val="center"/>
                    <w:rPr>
                      <w:rFonts w:cs="Calibri"/>
                      <w:kern w:val="0"/>
                      <w:szCs w:val="22"/>
                    </w:rPr>
                  </w:pPr>
                  <w:r>
                    <w:rPr>
                      <w:rFonts w:cs="Calibri"/>
                      <w:kern w:val="0"/>
                      <w:szCs w:val="22"/>
                    </w:rPr>
                    <w:t>萘</w:t>
                  </w:r>
                </w:p>
              </w:tc>
              <w:tc>
                <w:tcPr>
                  <w:tcW w:w="918" w:type="pct"/>
                  <w:noWrap/>
                  <w:vAlign w:val="center"/>
                </w:tcPr>
                <w:p w14:paraId="47B0700F">
                  <w:pPr>
                    <w:widowControl/>
                    <w:jc w:val="center"/>
                    <w:rPr>
                      <w:rFonts w:cs="Calibri"/>
                      <w:kern w:val="0"/>
                      <w:szCs w:val="22"/>
                    </w:rPr>
                  </w:pPr>
                  <w:r>
                    <w:rPr>
                      <w:rFonts w:cs="Calibri"/>
                      <w:kern w:val="0"/>
                      <w:szCs w:val="22"/>
                    </w:rPr>
                    <w:t>mg/kg</w:t>
                  </w:r>
                </w:p>
              </w:tc>
              <w:tc>
                <w:tcPr>
                  <w:tcW w:w="1420" w:type="pct"/>
                  <w:noWrap/>
                  <w:vAlign w:val="center"/>
                </w:tcPr>
                <w:p w14:paraId="56C7D414">
                  <w:pPr>
                    <w:widowControl/>
                    <w:jc w:val="center"/>
                    <w:rPr>
                      <w:rFonts w:cs="Calibri"/>
                      <w:kern w:val="0"/>
                      <w:szCs w:val="22"/>
                    </w:rPr>
                  </w:pPr>
                  <w:r>
                    <w:rPr>
                      <w:rFonts w:cs="Calibri"/>
                      <w:kern w:val="0"/>
                      <w:szCs w:val="22"/>
                    </w:rPr>
                    <w:t>未检出</w:t>
                  </w:r>
                </w:p>
              </w:tc>
              <w:tc>
                <w:tcPr>
                  <w:tcW w:w="844" w:type="pct"/>
                  <w:noWrap/>
                  <w:vAlign w:val="center"/>
                </w:tcPr>
                <w:p w14:paraId="4B1FDAEE">
                  <w:pPr>
                    <w:widowControl/>
                    <w:jc w:val="center"/>
                    <w:rPr>
                      <w:rFonts w:cs="Calibri"/>
                      <w:kern w:val="0"/>
                      <w:szCs w:val="22"/>
                    </w:rPr>
                  </w:pPr>
                  <w:r>
                    <w:rPr>
                      <w:rFonts w:cs="Calibri"/>
                      <w:kern w:val="0"/>
                      <w:szCs w:val="22"/>
                    </w:rPr>
                    <w:t>70</w:t>
                  </w:r>
                </w:p>
              </w:tc>
            </w:tr>
            <w:tr w14:paraId="5F0F3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00" w:type="pct"/>
                  <w:gridSpan w:val="5"/>
                  <w:vAlign w:val="center"/>
                </w:tcPr>
                <w:p w14:paraId="3BE166CE">
                  <w:pPr>
                    <w:widowControl/>
                    <w:rPr>
                      <w:rFonts w:cs="Calibri"/>
                      <w:kern w:val="0"/>
                      <w:szCs w:val="22"/>
                    </w:rPr>
                  </w:pPr>
                  <w:r>
                    <w:rPr>
                      <w:rFonts w:hint="eastAsia" w:cs="Calibri"/>
                      <w:kern w:val="0"/>
                      <w:szCs w:val="22"/>
                    </w:rPr>
                    <w:t>备注</w:t>
                  </w:r>
                  <w:r>
                    <w:rPr>
                      <w:rFonts w:cs="Calibri"/>
                      <w:kern w:val="0"/>
                      <w:szCs w:val="22"/>
                    </w:rPr>
                    <w:t>:1</w:t>
                  </w:r>
                  <w:r>
                    <w:rPr>
                      <w:rFonts w:hint="eastAsia" w:cs="Calibri"/>
                      <w:kern w:val="0"/>
                      <w:szCs w:val="22"/>
                    </w:rPr>
                    <w:t>、执行</w:t>
                  </w:r>
                  <w:r>
                    <w:rPr>
                      <w:rFonts w:hint="eastAsia"/>
                    </w:rPr>
                    <w:t>《土壤环境质量标准建设用地土壤污染风险管控标准》（</w:t>
                  </w:r>
                  <w:r>
                    <w:t>GB36600-2018</w:t>
                  </w:r>
                  <w:r>
                    <w:rPr>
                      <w:rFonts w:hint="eastAsia"/>
                    </w:rPr>
                    <w:t>）第二类用地筛选值</w:t>
                  </w:r>
                  <w:r>
                    <w:rPr>
                      <w:rFonts w:hint="eastAsia" w:cs="Calibri"/>
                      <w:kern w:val="0"/>
                      <w:szCs w:val="22"/>
                    </w:rPr>
                    <w:t>；</w:t>
                  </w:r>
                </w:p>
                <w:p w14:paraId="5131B571">
                  <w:pPr>
                    <w:widowControl/>
                    <w:rPr>
                      <w:rFonts w:cs="Calibri"/>
                      <w:kern w:val="0"/>
                      <w:szCs w:val="22"/>
                    </w:rPr>
                  </w:pPr>
                  <w:r>
                    <w:rPr>
                      <w:rFonts w:cs="Calibri"/>
                      <w:kern w:val="0"/>
                      <w:szCs w:val="22"/>
                    </w:rPr>
                    <w:t>2</w:t>
                  </w:r>
                  <w:r>
                    <w:rPr>
                      <w:rFonts w:hint="eastAsia" w:cs="Calibri"/>
                      <w:kern w:val="0"/>
                      <w:szCs w:val="22"/>
                    </w:rPr>
                    <w:t>、“/</w:t>
                  </w:r>
                  <w:r>
                    <w:rPr>
                      <w:rFonts w:cs="Calibri"/>
                      <w:kern w:val="0"/>
                      <w:szCs w:val="22"/>
                    </w:rPr>
                    <w:t>”</w:t>
                  </w:r>
                  <w:r>
                    <w:rPr>
                      <w:rFonts w:hint="eastAsia" w:cs="Calibri"/>
                      <w:kern w:val="0"/>
                      <w:szCs w:val="22"/>
                    </w:rPr>
                    <w:t>表示执行标准</w:t>
                  </w:r>
                  <w:r>
                    <w:rPr>
                      <w:rFonts w:cs="Calibri"/>
                      <w:kern w:val="0"/>
                      <w:szCs w:val="22"/>
                    </w:rPr>
                    <w:t>(GB/T14848-2017)</w:t>
                  </w:r>
                  <w:r>
                    <w:rPr>
                      <w:rFonts w:hint="eastAsia" w:cs="Calibri"/>
                      <w:kern w:val="0"/>
                      <w:szCs w:val="22"/>
                    </w:rPr>
                    <w:t>未对该项目作出限值要求；</w:t>
                  </w:r>
                </w:p>
                <w:p w14:paraId="45440F64">
                  <w:pPr>
                    <w:widowControl/>
                    <w:rPr>
                      <w:rFonts w:cs="Calibri"/>
                      <w:kern w:val="0"/>
                      <w:szCs w:val="22"/>
                    </w:rPr>
                  </w:pPr>
                  <w:r>
                    <w:rPr>
                      <w:rFonts w:cs="Calibri"/>
                      <w:kern w:val="0"/>
                      <w:szCs w:val="22"/>
                    </w:rPr>
                    <w:t>3</w:t>
                  </w:r>
                  <w:r>
                    <w:rPr>
                      <w:rFonts w:hint="eastAsia" w:cs="Calibri"/>
                      <w:kern w:val="0"/>
                      <w:szCs w:val="22"/>
                    </w:rPr>
                    <w:t>、“</w:t>
                  </w:r>
                  <w:r>
                    <w:rPr>
                      <w:rFonts w:cs="Calibri"/>
                      <w:kern w:val="0"/>
                      <w:szCs w:val="22"/>
                    </w:rPr>
                    <w:t>L”</w:t>
                  </w:r>
                  <w:r>
                    <w:rPr>
                      <w:rFonts w:hint="eastAsia" w:cs="Calibri"/>
                      <w:kern w:val="0"/>
                      <w:szCs w:val="22"/>
                    </w:rPr>
                    <w:t>表示检测结果低于该项目方法检出限。</w:t>
                  </w:r>
                </w:p>
              </w:tc>
            </w:tr>
          </w:tbl>
          <w:p w14:paraId="37A8C535">
            <w:pPr>
              <w:tabs>
                <w:tab w:val="left" w:pos="1081"/>
              </w:tabs>
              <w:spacing w:line="360" w:lineRule="auto"/>
              <w:ind w:firstLine="420" w:firstLineChars="200"/>
            </w:pPr>
          </w:p>
        </w:tc>
      </w:tr>
      <w:tr w14:paraId="2F982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332" w:type="pct"/>
            <w:vAlign w:val="center"/>
          </w:tcPr>
          <w:p w14:paraId="4EED7F50">
            <w:pPr>
              <w:adjustRightInd w:val="0"/>
              <w:snapToGrid w:val="0"/>
              <w:jc w:val="center"/>
              <w:rPr>
                <w:kern w:val="0"/>
                <w:sz w:val="24"/>
              </w:rPr>
            </w:pPr>
            <w:r>
              <w:rPr>
                <w:kern w:val="0"/>
                <w:sz w:val="24"/>
              </w:rPr>
              <w:t>环境保护目标</w:t>
            </w:r>
          </w:p>
        </w:tc>
        <w:tc>
          <w:tcPr>
            <w:tcW w:w="4668" w:type="pct"/>
            <w:vAlign w:val="center"/>
          </w:tcPr>
          <w:p w14:paraId="083A0944">
            <w:pPr>
              <w:tabs>
                <w:tab w:val="left" w:pos="1081"/>
              </w:tabs>
              <w:spacing w:before="120" w:beforeLines="50" w:line="360" w:lineRule="auto"/>
              <w:ind w:firstLine="482" w:firstLineChars="200"/>
              <w:rPr>
                <w:b/>
                <w:sz w:val="24"/>
              </w:rPr>
            </w:pPr>
            <w:r>
              <w:rPr>
                <w:b/>
                <w:sz w:val="24"/>
              </w:rPr>
              <w:t>1、</w:t>
            </w:r>
            <w:bookmarkStart w:id="11" w:name="大气环境"/>
            <w:r>
              <w:rPr>
                <w:b/>
                <w:sz w:val="24"/>
              </w:rPr>
              <w:t>大气环境</w:t>
            </w:r>
            <w:bookmarkEnd w:id="11"/>
          </w:p>
          <w:p w14:paraId="35822A14">
            <w:pPr>
              <w:tabs>
                <w:tab w:val="left" w:pos="1081"/>
              </w:tabs>
              <w:spacing w:line="360" w:lineRule="auto"/>
              <w:ind w:firstLine="480" w:firstLineChars="200"/>
              <w:rPr>
                <w:bCs/>
                <w:sz w:val="24"/>
              </w:rPr>
            </w:pPr>
            <w:r>
              <w:rPr>
                <w:rFonts w:hint="eastAsia"/>
                <w:bCs/>
                <w:sz w:val="24"/>
              </w:rPr>
              <w:t>根据现场勘查，</w:t>
            </w:r>
            <w:r>
              <w:rPr>
                <w:rFonts w:hint="eastAsia"/>
                <w:sz w:val="24"/>
              </w:rPr>
              <w:t>惠州市耀坤环保科技有限公司</w:t>
            </w:r>
            <w:r>
              <w:rPr>
                <w:bCs/>
                <w:sz w:val="24"/>
              </w:rPr>
              <w:t>厂界外500米范围内</w:t>
            </w:r>
            <w:r>
              <w:rPr>
                <w:rFonts w:hint="eastAsia"/>
                <w:bCs/>
                <w:sz w:val="24"/>
              </w:rPr>
              <w:t>没有大气环境保护目标，公司及周边500米范围卫星图见附图17。</w:t>
            </w:r>
          </w:p>
          <w:p w14:paraId="22E677EB">
            <w:pPr>
              <w:tabs>
                <w:tab w:val="left" w:pos="1081"/>
              </w:tabs>
              <w:spacing w:line="360" w:lineRule="auto"/>
              <w:ind w:firstLine="482" w:firstLineChars="200"/>
              <w:rPr>
                <w:b/>
                <w:sz w:val="24"/>
              </w:rPr>
            </w:pPr>
            <w:r>
              <w:rPr>
                <w:b/>
                <w:sz w:val="24"/>
              </w:rPr>
              <w:t>2、声环境</w:t>
            </w:r>
          </w:p>
          <w:p w14:paraId="3EB35086">
            <w:pPr>
              <w:tabs>
                <w:tab w:val="left" w:pos="1081"/>
              </w:tabs>
              <w:spacing w:line="360" w:lineRule="auto"/>
              <w:ind w:firstLine="480" w:firstLineChars="200"/>
              <w:rPr>
                <w:bCs/>
                <w:sz w:val="24"/>
              </w:rPr>
            </w:pPr>
            <w:r>
              <w:rPr>
                <w:sz w:val="24"/>
              </w:rPr>
              <w:t>项目厂界外50米范围内</w:t>
            </w:r>
            <w:r>
              <w:rPr>
                <w:rFonts w:hint="eastAsia"/>
                <w:bCs/>
                <w:sz w:val="24"/>
              </w:rPr>
              <w:t>没有声</w:t>
            </w:r>
            <w:r>
              <w:rPr>
                <w:bCs/>
                <w:sz w:val="24"/>
              </w:rPr>
              <w:t>环境保护目标。</w:t>
            </w:r>
          </w:p>
          <w:p w14:paraId="71336411">
            <w:pPr>
              <w:tabs>
                <w:tab w:val="left" w:pos="1081"/>
              </w:tabs>
              <w:spacing w:line="360" w:lineRule="auto"/>
              <w:ind w:firstLine="482" w:firstLineChars="200"/>
              <w:rPr>
                <w:b/>
                <w:sz w:val="24"/>
              </w:rPr>
            </w:pPr>
            <w:r>
              <w:rPr>
                <w:b/>
                <w:sz w:val="24"/>
              </w:rPr>
              <w:t>3、地下水环境</w:t>
            </w:r>
          </w:p>
          <w:p w14:paraId="5B92CF4B">
            <w:pPr>
              <w:tabs>
                <w:tab w:val="left" w:pos="1081"/>
              </w:tabs>
              <w:spacing w:line="360" w:lineRule="auto"/>
              <w:ind w:firstLine="480" w:firstLineChars="200"/>
              <w:rPr>
                <w:sz w:val="24"/>
              </w:rPr>
            </w:pPr>
            <w:r>
              <w:rPr>
                <w:sz w:val="24"/>
              </w:rPr>
              <w:t>项目厂界外500米范围内无地下水集中式饮用水水源和热水、矿泉水、温泉等特殊地下水资源。</w:t>
            </w:r>
          </w:p>
          <w:p w14:paraId="2A275879">
            <w:pPr>
              <w:tabs>
                <w:tab w:val="left" w:pos="9360"/>
              </w:tabs>
              <w:spacing w:line="360" w:lineRule="auto"/>
              <w:ind w:firstLine="482" w:firstLineChars="200"/>
              <w:rPr>
                <w:b/>
                <w:bCs/>
                <w:sz w:val="24"/>
                <w:szCs w:val="24"/>
              </w:rPr>
            </w:pPr>
            <w:r>
              <w:rPr>
                <w:b/>
                <w:bCs/>
                <w:sz w:val="24"/>
                <w:szCs w:val="24"/>
              </w:rPr>
              <w:t>4、生态环境</w:t>
            </w:r>
          </w:p>
          <w:p w14:paraId="57E776DE">
            <w:pPr>
              <w:tabs>
                <w:tab w:val="left" w:pos="1081"/>
              </w:tabs>
              <w:spacing w:line="360" w:lineRule="auto"/>
              <w:ind w:firstLine="480" w:firstLineChars="200"/>
              <w:rPr>
                <w:sz w:val="24"/>
              </w:rPr>
            </w:pPr>
            <w:r>
              <w:rPr>
                <w:rFonts w:hint="eastAsia"/>
                <w:kern w:val="0"/>
                <w:sz w:val="24"/>
                <w:szCs w:val="24"/>
              </w:rPr>
              <w:t>改扩建项目新增用地面积约</w:t>
            </w:r>
            <w:r>
              <w:rPr>
                <w:rFonts w:hint="eastAsia"/>
                <w:sz w:val="24"/>
              </w:rPr>
              <w:t>2243m</w:t>
            </w:r>
            <w:r>
              <w:rPr>
                <w:rFonts w:hint="eastAsia"/>
                <w:sz w:val="24"/>
                <w:vertAlign w:val="superscript"/>
              </w:rPr>
              <w:t>2</w:t>
            </w:r>
            <w:r>
              <w:rPr>
                <w:rFonts w:hint="eastAsia"/>
                <w:sz w:val="24"/>
              </w:rPr>
              <w:t>，根据现场勘查，用地范围内及项目周边没有生态环境保护目标。</w:t>
            </w:r>
          </w:p>
          <w:p w14:paraId="2F383A68">
            <w:pPr>
              <w:tabs>
                <w:tab w:val="left" w:pos="9360"/>
              </w:tabs>
              <w:spacing w:line="360" w:lineRule="auto"/>
              <w:ind w:firstLine="482" w:firstLineChars="200"/>
              <w:rPr>
                <w:b/>
                <w:bCs/>
                <w:sz w:val="24"/>
                <w:szCs w:val="24"/>
              </w:rPr>
            </w:pPr>
            <w:r>
              <w:rPr>
                <w:rFonts w:hint="eastAsia"/>
                <w:b/>
                <w:bCs/>
                <w:sz w:val="24"/>
                <w:szCs w:val="24"/>
              </w:rPr>
              <w:t>5、环境风险</w:t>
            </w:r>
          </w:p>
          <w:p w14:paraId="6C3104F5">
            <w:pPr>
              <w:tabs>
                <w:tab w:val="left" w:pos="1081"/>
              </w:tabs>
              <w:spacing w:line="360" w:lineRule="auto"/>
              <w:ind w:firstLine="480" w:firstLineChars="200"/>
              <w:rPr>
                <w:sz w:val="24"/>
              </w:rPr>
            </w:pPr>
            <w:r>
              <w:rPr>
                <w:rFonts w:hint="eastAsia"/>
                <w:sz w:val="24"/>
              </w:rPr>
              <w:t>详见环境风险评价专项分析。</w:t>
            </w:r>
          </w:p>
        </w:tc>
      </w:tr>
      <w:tr w14:paraId="7A74BD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6" w:hRule="atLeast"/>
          <w:jc w:val="center"/>
        </w:trPr>
        <w:tc>
          <w:tcPr>
            <w:tcW w:w="332" w:type="pct"/>
            <w:tcMar>
              <w:left w:w="28" w:type="dxa"/>
              <w:right w:w="28" w:type="dxa"/>
            </w:tcMar>
            <w:vAlign w:val="center"/>
          </w:tcPr>
          <w:p w14:paraId="7BC9E17B">
            <w:pPr>
              <w:adjustRightInd w:val="0"/>
              <w:snapToGrid w:val="0"/>
              <w:jc w:val="center"/>
              <w:rPr>
                <w:kern w:val="0"/>
                <w:sz w:val="24"/>
              </w:rPr>
            </w:pPr>
            <w:r>
              <w:rPr>
                <w:kern w:val="0"/>
                <w:sz w:val="24"/>
              </w:rPr>
              <w:t>污染物排放控制标准</w:t>
            </w:r>
          </w:p>
        </w:tc>
        <w:tc>
          <w:tcPr>
            <w:tcW w:w="4668" w:type="pct"/>
            <w:vAlign w:val="center"/>
          </w:tcPr>
          <w:p w14:paraId="0ADC21ED">
            <w:pPr>
              <w:tabs>
                <w:tab w:val="left" w:pos="2221"/>
              </w:tabs>
              <w:adjustRightInd w:val="0"/>
              <w:snapToGrid w:val="0"/>
              <w:spacing w:before="120" w:beforeLines="50" w:line="360" w:lineRule="auto"/>
              <w:ind w:firstLine="482" w:firstLineChars="200"/>
              <w:rPr>
                <w:b/>
                <w:sz w:val="24"/>
              </w:rPr>
            </w:pPr>
            <w:bookmarkStart w:id="12" w:name="_Hlk208512782"/>
            <w:r>
              <w:rPr>
                <w:b/>
                <w:sz w:val="24"/>
              </w:rPr>
              <w:t>1、废气</w:t>
            </w:r>
          </w:p>
          <w:p w14:paraId="3F46CC7E">
            <w:pPr>
              <w:spacing w:line="360" w:lineRule="auto"/>
              <w:ind w:firstLine="480" w:firstLineChars="200"/>
              <w:rPr>
                <w:bCs/>
                <w:sz w:val="24"/>
              </w:rPr>
            </w:pPr>
            <w:r>
              <w:rPr>
                <w:rFonts w:hint="eastAsia"/>
                <w:bCs/>
                <w:sz w:val="24"/>
              </w:rPr>
              <w:t>（1）锅炉废气</w:t>
            </w:r>
          </w:p>
          <w:p w14:paraId="1A1FCD46">
            <w:pPr>
              <w:spacing w:line="360" w:lineRule="auto"/>
              <w:ind w:firstLine="480" w:firstLineChars="200"/>
              <w:rPr>
                <w:bCs/>
                <w:sz w:val="24"/>
              </w:rPr>
            </w:pPr>
            <w:r>
              <w:rPr>
                <w:rFonts w:hint="eastAsia"/>
                <w:bCs/>
                <w:sz w:val="24"/>
              </w:rPr>
              <w:t>改扩建项目生物质锅炉主要污染物为颗粒物、二氧化硫、氮氧化物等，本项目</w:t>
            </w:r>
            <w:r>
              <w:rPr>
                <w:rFonts w:hint="eastAsia"/>
                <w:sz w:val="24"/>
              </w:rPr>
              <w:t>使用配置袋式除尘设施的专用锅炉，</w:t>
            </w:r>
            <w:r>
              <w:rPr>
                <w:rFonts w:hint="eastAsia"/>
                <w:bCs/>
                <w:sz w:val="24"/>
              </w:rPr>
              <w:t>锅炉废气经</w:t>
            </w:r>
            <w:r>
              <w:rPr>
                <w:bCs/>
                <w:sz w:val="24"/>
              </w:rPr>
              <w:t>低氮燃烧</w:t>
            </w:r>
            <w:r>
              <w:rPr>
                <w:rFonts w:hint="eastAsia"/>
                <w:bCs/>
                <w:sz w:val="24"/>
              </w:rPr>
              <w:t>+袋式除尘器+</w:t>
            </w:r>
            <w:r>
              <w:rPr>
                <w:bCs/>
                <w:sz w:val="24"/>
              </w:rPr>
              <w:t>SCR</w:t>
            </w:r>
            <w:r>
              <w:rPr>
                <w:rFonts w:hint="eastAsia"/>
                <w:bCs/>
                <w:sz w:val="24"/>
              </w:rPr>
              <w:t>装置处理达标后通过1根15m米高排气筒DA001排放。</w:t>
            </w:r>
          </w:p>
          <w:p w14:paraId="5112C58E">
            <w:pPr>
              <w:adjustRightInd w:val="0"/>
              <w:snapToGrid w:val="0"/>
              <w:spacing w:line="360" w:lineRule="auto"/>
              <w:ind w:firstLine="480" w:firstLineChars="200"/>
              <w:rPr>
                <w:bCs/>
                <w:sz w:val="24"/>
              </w:rPr>
            </w:pPr>
            <w:r>
              <w:rPr>
                <w:bCs/>
                <w:sz w:val="24"/>
              </w:rPr>
              <w:t>根据《惠州市人民政府关于惠州市燃气锅炉、新建燃生物质成型燃料锅炉执行大气污染物特别排放限值的通告》（惠府〔2023〕3号），</w:t>
            </w:r>
            <w:r>
              <w:rPr>
                <w:rFonts w:hint="eastAsia"/>
                <w:bCs/>
                <w:sz w:val="24"/>
              </w:rPr>
              <w:t>新建燃</w:t>
            </w:r>
            <w:r>
              <w:rPr>
                <w:bCs/>
                <w:sz w:val="24"/>
              </w:rPr>
              <w:t>生物质成型燃料锅炉</w:t>
            </w:r>
            <w:r>
              <w:rPr>
                <w:rFonts w:hint="eastAsia"/>
                <w:bCs/>
                <w:sz w:val="24"/>
              </w:rPr>
              <w:t>废气中的颗粒物、二氧化硫、氮氧化物排放</w:t>
            </w:r>
            <w:r>
              <w:rPr>
                <w:bCs/>
                <w:sz w:val="24"/>
              </w:rPr>
              <w:t>执行</w:t>
            </w:r>
            <w:bookmarkStart w:id="13" w:name="_Hlk209995477"/>
            <w:r>
              <w:rPr>
                <w:rFonts w:hint="eastAsia"/>
                <w:bCs/>
                <w:sz w:val="24"/>
              </w:rPr>
              <w:t>广东省《锅炉大气污染物排放标准》（DB44/765-2019）表3大气污染物特别排放限值，</w:t>
            </w:r>
            <w:bookmarkEnd w:id="13"/>
            <w:r>
              <w:rPr>
                <w:rFonts w:hint="eastAsia"/>
                <w:bCs/>
                <w:sz w:val="24"/>
              </w:rPr>
              <w:t>烟气黑度</w:t>
            </w:r>
            <w:r>
              <w:rPr>
                <w:bCs/>
                <w:sz w:val="24"/>
              </w:rPr>
              <w:t>执行《锅炉大气污染物排放标准》（DB44/765-2019）表2新建锅炉大气污染物排放浓度限值（燃</w:t>
            </w:r>
            <w:r>
              <w:rPr>
                <w:rFonts w:hint="eastAsia"/>
                <w:bCs/>
                <w:sz w:val="24"/>
              </w:rPr>
              <w:t>生物质成型燃料</w:t>
            </w:r>
            <w:r>
              <w:rPr>
                <w:bCs/>
                <w:sz w:val="24"/>
              </w:rPr>
              <w:t>锅炉）</w:t>
            </w:r>
            <w:r>
              <w:rPr>
                <w:rFonts w:hint="eastAsia"/>
                <w:bCs/>
                <w:sz w:val="24"/>
              </w:rPr>
              <w:t>。</w:t>
            </w:r>
          </w:p>
          <w:p w14:paraId="78611C61">
            <w:pPr>
              <w:spacing w:line="360" w:lineRule="auto"/>
              <w:ind w:firstLine="480" w:firstLineChars="200"/>
              <w:rPr>
                <w:bCs/>
                <w:sz w:val="24"/>
              </w:rPr>
            </w:pPr>
            <w:r>
              <w:rPr>
                <w:rFonts w:hint="eastAsia"/>
                <w:bCs/>
                <w:sz w:val="24"/>
              </w:rPr>
              <w:t>（2）工艺废气</w:t>
            </w:r>
          </w:p>
          <w:p w14:paraId="4BE75563">
            <w:pPr>
              <w:spacing w:line="360" w:lineRule="auto"/>
              <w:ind w:firstLine="480" w:firstLineChars="200"/>
              <w:rPr>
                <w:bCs/>
                <w:sz w:val="24"/>
              </w:rPr>
            </w:pPr>
            <w:r>
              <w:rPr>
                <w:rFonts w:hint="eastAsia"/>
                <w:bCs/>
                <w:sz w:val="24"/>
              </w:rPr>
              <w:t>改扩建项目废白土暂存、造粒过程产生臭气，主要污染物为非甲烷总烃、硫化氢和氨，冷凝系统产生冷凝不凝气，其污染物以非甲烷总烃表征。上述废气经收集后一并进入1套“二级活性炭吸附”装置处理达标后通过1根15m米高排气筒DA003排放。</w:t>
            </w:r>
          </w:p>
          <w:p w14:paraId="3404AF60">
            <w:pPr>
              <w:adjustRightInd w:val="0"/>
              <w:snapToGrid w:val="0"/>
              <w:spacing w:line="360" w:lineRule="auto"/>
              <w:ind w:firstLine="480" w:firstLineChars="200"/>
              <w:rPr>
                <w:bCs/>
                <w:sz w:val="24"/>
              </w:rPr>
            </w:pPr>
            <w:r>
              <w:rPr>
                <w:rFonts w:hint="eastAsia"/>
                <w:bCs/>
                <w:sz w:val="24"/>
              </w:rPr>
              <w:t>工艺废气中的非甲烷总烃有组织排放</w:t>
            </w:r>
            <w:r>
              <w:rPr>
                <w:bCs/>
                <w:sz w:val="24"/>
              </w:rPr>
              <w:t>执行</w:t>
            </w:r>
            <w:bookmarkStart w:id="14" w:name="_Hlk209995535"/>
            <w:r>
              <w:rPr>
                <w:rFonts w:hint="eastAsia"/>
                <w:bCs/>
                <w:sz w:val="24"/>
              </w:rPr>
              <w:t>广东省《固定污染源挥发性有机物综合排放标准》（DB44/2367-2022）表1挥发性有机物排放限值</w:t>
            </w:r>
            <w:bookmarkEnd w:id="14"/>
            <w:r>
              <w:rPr>
                <w:rFonts w:hint="eastAsia"/>
                <w:bCs/>
                <w:sz w:val="24"/>
              </w:rPr>
              <w:t>，厂内无组织排放执行表3厂区内</w:t>
            </w:r>
            <w:r>
              <w:rPr>
                <w:rFonts w:hint="eastAsia"/>
                <w:sz w:val="24"/>
              </w:rPr>
              <w:t>有机废气</w:t>
            </w:r>
            <w:r>
              <w:rPr>
                <w:rFonts w:hint="eastAsia"/>
                <w:bCs/>
                <w:sz w:val="24"/>
              </w:rPr>
              <w:t>无组织排放限值。</w:t>
            </w:r>
          </w:p>
          <w:p w14:paraId="5D4B4BD9">
            <w:pPr>
              <w:adjustRightInd w:val="0"/>
              <w:snapToGrid w:val="0"/>
              <w:spacing w:line="360" w:lineRule="auto"/>
              <w:ind w:firstLine="480" w:firstLineChars="200"/>
              <w:rPr>
                <w:bCs/>
                <w:sz w:val="24"/>
              </w:rPr>
            </w:pPr>
            <w:r>
              <w:rPr>
                <w:rFonts w:hint="eastAsia"/>
                <w:bCs/>
                <w:sz w:val="24"/>
              </w:rPr>
              <w:t>臭气浓度污染物硫化氢、氨臭气浓度有组织排放执行《恶臭污染物排放标准》（GB14554-93）表2恶臭污染物排放标准，无组织排放执行表1恶臭污染物厂界标准值二级新改扩建标准。</w:t>
            </w:r>
          </w:p>
          <w:p w14:paraId="5EA53459">
            <w:pPr>
              <w:spacing w:line="360" w:lineRule="auto"/>
              <w:ind w:firstLine="480" w:firstLineChars="200"/>
              <w:rPr>
                <w:bCs/>
                <w:sz w:val="24"/>
              </w:rPr>
            </w:pPr>
            <w:r>
              <w:rPr>
                <w:bCs/>
                <w:sz w:val="24"/>
              </w:rPr>
              <w:t>具体标准值见表</w:t>
            </w:r>
            <w:r>
              <w:rPr>
                <w:rFonts w:hint="eastAsia"/>
                <w:bCs/>
                <w:sz w:val="24"/>
              </w:rPr>
              <w:t>3-4、表3-5、表3-6</w:t>
            </w:r>
            <w:r>
              <w:rPr>
                <w:bCs/>
                <w:sz w:val="24"/>
              </w:rPr>
              <w:t>。</w:t>
            </w:r>
          </w:p>
          <w:p w14:paraId="02D63658">
            <w:pPr>
              <w:pStyle w:val="12"/>
              <w:spacing w:line="360" w:lineRule="auto"/>
              <w:ind w:left="0" w:leftChars="0" w:firstLine="0" w:firstLineChars="0"/>
              <w:jc w:val="center"/>
              <w:rPr>
                <w:b/>
              </w:rPr>
            </w:pPr>
            <w:r>
              <w:rPr>
                <w:b/>
              </w:rPr>
              <w:t>表</w:t>
            </w:r>
            <w:r>
              <w:rPr>
                <w:rFonts w:hint="eastAsia"/>
                <w:b/>
              </w:rPr>
              <w:t>3-4废气</w:t>
            </w:r>
            <w:r>
              <w:rPr>
                <w:b/>
              </w:rPr>
              <w:t>污染物</w:t>
            </w:r>
            <w:r>
              <w:rPr>
                <w:rFonts w:hint="eastAsia"/>
                <w:b/>
              </w:rPr>
              <w:t>有组织</w:t>
            </w:r>
            <w:r>
              <w:rPr>
                <w:b/>
              </w:rPr>
              <w:t>排放标准</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873"/>
              <w:gridCol w:w="1599"/>
              <w:gridCol w:w="1308"/>
              <w:gridCol w:w="3947"/>
            </w:tblGrid>
            <w:tr w14:paraId="0DBB9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Align w:val="center"/>
                </w:tcPr>
                <w:p w14:paraId="0DF44C00">
                  <w:pPr>
                    <w:pStyle w:val="47"/>
                    <w:jc w:val="center"/>
                    <w:rPr>
                      <w:sz w:val="21"/>
                    </w:rPr>
                  </w:pPr>
                  <w:r>
                    <w:rPr>
                      <w:rFonts w:hint="eastAsia"/>
                      <w:sz w:val="21"/>
                    </w:rPr>
                    <w:t>排气筒</w:t>
                  </w:r>
                </w:p>
                <w:p w14:paraId="6EEF72AE">
                  <w:pPr>
                    <w:pStyle w:val="47"/>
                    <w:jc w:val="center"/>
                    <w:rPr>
                      <w:sz w:val="21"/>
                    </w:rPr>
                  </w:pPr>
                  <w:r>
                    <w:rPr>
                      <w:rFonts w:hint="eastAsia"/>
                      <w:sz w:val="21"/>
                    </w:rPr>
                    <w:t>编号</w:t>
                  </w:r>
                </w:p>
              </w:tc>
              <w:tc>
                <w:tcPr>
                  <w:tcW w:w="501" w:type="pct"/>
                  <w:vAlign w:val="center"/>
                </w:tcPr>
                <w:p w14:paraId="08F2F4F3">
                  <w:pPr>
                    <w:pStyle w:val="47"/>
                    <w:jc w:val="center"/>
                    <w:rPr>
                      <w:sz w:val="21"/>
                    </w:rPr>
                  </w:pPr>
                  <w:r>
                    <w:rPr>
                      <w:rFonts w:hint="eastAsia"/>
                      <w:sz w:val="21"/>
                    </w:rPr>
                    <w:t>排气筒</w:t>
                  </w:r>
                </w:p>
                <w:p w14:paraId="730F7D90">
                  <w:pPr>
                    <w:pStyle w:val="47"/>
                    <w:jc w:val="center"/>
                    <w:rPr>
                      <w:sz w:val="21"/>
                    </w:rPr>
                  </w:pPr>
                  <w:r>
                    <w:rPr>
                      <w:rFonts w:hint="eastAsia"/>
                      <w:sz w:val="21"/>
                    </w:rPr>
                    <w:t>高度</w:t>
                  </w:r>
                </w:p>
              </w:tc>
              <w:tc>
                <w:tcPr>
                  <w:tcW w:w="918" w:type="pct"/>
                  <w:vAlign w:val="center"/>
                </w:tcPr>
                <w:p w14:paraId="3450F3ED">
                  <w:pPr>
                    <w:pStyle w:val="47"/>
                    <w:jc w:val="center"/>
                    <w:rPr>
                      <w:sz w:val="21"/>
                    </w:rPr>
                  </w:pPr>
                  <w:r>
                    <w:rPr>
                      <w:sz w:val="21"/>
                    </w:rPr>
                    <w:t>污染物</w:t>
                  </w:r>
                </w:p>
              </w:tc>
              <w:tc>
                <w:tcPr>
                  <w:tcW w:w="751" w:type="pct"/>
                  <w:vAlign w:val="center"/>
                </w:tcPr>
                <w:p w14:paraId="20AA9341">
                  <w:pPr>
                    <w:pStyle w:val="47"/>
                    <w:jc w:val="center"/>
                    <w:rPr>
                      <w:sz w:val="21"/>
                    </w:rPr>
                  </w:pPr>
                  <w:r>
                    <w:rPr>
                      <w:sz w:val="21"/>
                    </w:rPr>
                    <w:t>浓度</w:t>
                  </w:r>
                  <w:r>
                    <w:rPr>
                      <w:rFonts w:hint="eastAsia"/>
                      <w:sz w:val="21"/>
                    </w:rPr>
                    <w:t>/速率</w:t>
                  </w:r>
                  <w:r>
                    <w:rPr>
                      <w:sz w:val="21"/>
                    </w:rPr>
                    <w:t>限值</w:t>
                  </w:r>
                </w:p>
              </w:tc>
              <w:tc>
                <w:tcPr>
                  <w:tcW w:w="2266" w:type="pct"/>
                  <w:vAlign w:val="center"/>
                </w:tcPr>
                <w:p w14:paraId="4ADFFB61">
                  <w:pPr>
                    <w:pStyle w:val="47"/>
                    <w:jc w:val="center"/>
                    <w:rPr>
                      <w:sz w:val="21"/>
                    </w:rPr>
                  </w:pPr>
                  <w:r>
                    <w:rPr>
                      <w:sz w:val="21"/>
                    </w:rPr>
                    <w:t>标准来源</w:t>
                  </w:r>
                </w:p>
              </w:tc>
            </w:tr>
            <w:tr w14:paraId="6BE1C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restart"/>
                  <w:vAlign w:val="center"/>
                </w:tcPr>
                <w:p w14:paraId="6812B6D5">
                  <w:pPr>
                    <w:pStyle w:val="47"/>
                    <w:jc w:val="center"/>
                    <w:rPr>
                      <w:sz w:val="21"/>
                    </w:rPr>
                  </w:pPr>
                  <w:r>
                    <w:rPr>
                      <w:rFonts w:hint="eastAsia"/>
                      <w:sz w:val="21"/>
                    </w:rPr>
                    <w:t>DA001</w:t>
                  </w:r>
                </w:p>
              </w:tc>
              <w:tc>
                <w:tcPr>
                  <w:tcW w:w="501" w:type="pct"/>
                  <w:vMerge w:val="restart"/>
                  <w:vAlign w:val="center"/>
                </w:tcPr>
                <w:p w14:paraId="30FCF56D">
                  <w:pPr>
                    <w:pStyle w:val="47"/>
                    <w:jc w:val="center"/>
                    <w:rPr>
                      <w:sz w:val="21"/>
                    </w:rPr>
                  </w:pPr>
                  <w:r>
                    <w:rPr>
                      <w:rFonts w:hint="eastAsia"/>
                      <w:sz w:val="21"/>
                    </w:rPr>
                    <w:t>15m</w:t>
                  </w:r>
                </w:p>
              </w:tc>
              <w:tc>
                <w:tcPr>
                  <w:tcW w:w="918" w:type="pct"/>
                  <w:vAlign w:val="center"/>
                </w:tcPr>
                <w:p w14:paraId="73602D96">
                  <w:pPr>
                    <w:pStyle w:val="47"/>
                    <w:jc w:val="center"/>
                    <w:rPr>
                      <w:sz w:val="21"/>
                    </w:rPr>
                  </w:pPr>
                  <w:r>
                    <w:rPr>
                      <w:rFonts w:hint="eastAsia"/>
                      <w:sz w:val="21"/>
                    </w:rPr>
                    <w:t>颗粒物</w:t>
                  </w:r>
                </w:p>
              </w:tc>
              <w:tc>
                <w:tcPr>
                  <w:tcW w:w="751" w:type="pct"/>
                  <w:vAlign w:val="center"/>
                </w:tcPr>
                <w:p w14:paraId="4BC1CF46">
                  <w:pPr>
                    <w:pStyle w:val="47"/>
                    <w:jc w:val="center"/>
                    <w:rPr>
                      <w:sz w:val="21"/>
                    </w:rPr>
                  </w:pPr>
                  <w:r>
                    <w:rPr>
                      <w:rFonts w:hint="eastAsia"/>
                      <w:sz w:val="21"/>
                    </w:rPr>
                    <w:t>10mg/m</w:t>
                  </w:r>
                  <w:r>
                    <w:rPr>
                      <w:rFonts w:hint="eastAsia"/>
                      <w:sz w:val="21"/>
                      <w:vertAlign w:val="superscript"/>
                    </w:rPr>
                    <w:t>3</w:t>
                  </w:r>
                </w:p>
              </w:tc>
              <w:tc>
                <w:tcPr>
                  <w:tcW w:w="2266" w:type="pct"/>
                  <w:vMerge w:val="restart"/>
                  <w:vAlign w:val="center"/>
                </w:tcPr>
                <w:p w14:paraId="65398CF7">
                  <w:pPr>
                    <w:pStyle w:val="47"/>
                    <w:jc w:val="center"/>
                    <w:rPr>
                      <w:sz w:val="21"/>
                    </w:rPr>
                  </w:pPr>
                  <w:r>
                    <w:rPr>
                      <w:rFonts w:hint="eastAsia"/>
                      <w:bCs/>
                      <w:sz w:val="21"/>
                    </w:rPr>
                    <w:t>广东省《锅炉大气污染物排放标准》（DB44/765-2019）表3大气污染物排放浓度限值</w:t>
                  </w:r>
                </w:p>
              </w:tc>
            </w:tr>
            <w:tr w14:paraId="5C212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continue"/>
                  <w:vAlign w:val="center"/>
                </w:tcPr>
                <w:p w14:paraId="4BB9BCC3">
                  <w:pPr>
                    <w:pStyle w:val="47"/>
                    <w:jc w:val="center"/>
                    <w:rPr>
                      <w:sz w:val="21"/>
                    </w:rPr>
                  </w:pPr>
                </w:p>
              </w:tc>
              <w:tc>
                <w:tcPr>
                  <w:tcW w:w="501" w:type="pct"/>
                  <w:vMerge w:val="continue"/>
                  <w:vAlign w:val="center"/>
                </w:tcPr>
                <w:p w14:paraId="2F8B6580">
                  <w:pPr>
                    <w:pStyle w:val="47"/>
                    <w:jc w:val="center"/>
                    <w:rPr>
                      <w:sz w:val="21"/>
                    </w:rPr>
                  </w:pPr>
                </w:p>
              </w:tc>
              <w:tc>
                <w:tcPr>
                  <w:tcW w:w="918" w:type="pct"/>
                  <w:vAlign w:val="center"/>
                </w:tcPr>
                <w:p w14:paraId="11C19F1E">
                  <w:pPr>
                    <w:pStyle w:val="47"/>
                    <w:jc w:val="center"/>
                    <w:rPr>
                      <w:sz w:val="21"/>
                    </w:rPr>
                  </w:pPr>
                  <w:r>
                    <w:rPr>
                      <w:rFonts w:hint="eastAsia"/>
                      <w:sz w:val="21"/>
                    </w:rPr>
                    <w:t>二氧化硫</w:t>
                  </w:r>
                </w:p>
              </w:tc>
              <w:tc>
                <w:tcPr>
                  <w:tcW w:w="751" w:type="pct"/>
                  <w:vAlign w:val="center"/>
                </w:tcPr>
                <w:p w14:paraId="4C01FD8A">
                  <w:pPr>
                    <w:pStyle w:val="47"/>
                    <w:jc w:val="center"/>
                    <w:rPr>
                      <w:sz w:val="21"/>
                    </w:rPr>
                  </w:pPr>
                  <w:r>
                    <w:rPr>
                      <w:rFonts w:hint="eastAsia"/>
                      <w:sz w:val="21"/>
                    </w:rPr>
                    <w:t>35mg/m</w:t>
                  </w:r>
                  <w:r>
                    <w:rPr>
                      <w:rFonts w:hint="eastAsia"/>
                      <w:sz w:val="21"/>
                      <w:vertAlign w:val="superscript"/>
                    </w:rPr>
                    <w:t>3</w:t>
                  </w:r>
                </w:p>
              </w:tc>
              <w:tc>
                <w:tcPr>
                  <w:tcW w:w="2266" w:type="pct"/>
                  <w:vMerge w:val="continue"/>
                  <w:vAlign w:val="center"/>
                </w:tcPr>
                <w:p w14:paraId="03688774">
                  <w:pPr>
                    <w:pStyle w:val="47"/>
                    <w:jc w:val="center"/>
                    <w:rPr>
                      <w:sz w:val="21"/>
                    </w:rPr>
                  </w:pPr>
                </w:p>
              </w:tc>
            </w:tr>
            <w:tr w14:paraId="35469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continue"/>
                  <w:vAlign w:val="center"/>
                </w:tcPr>
                <w:p w14:paraId="303CEDC4">
                  <w:pPr>
                    <w:pStyle w:val="47"/>
                    <w:jc w:val="center"/>
                    <w:rPr>
                      <w:sz w:val="21"/>
                    </w:rPr>
                  </w:pPr>
                </w:p>
              </w:tc>
              <w:tc>
                <w:tcPr>
                  <w:tcW w:w="501" w:type="pct"/>
                  <w:vMerge w:val="continue"/>
                  <w:vAlign w:val="center"/>
                </w:tcPr>
                <w:p w14:paraId="2C7A345F">
                  <w:pPr>
                    <w:pStyle w:val="47"/>
                    <w:jc w:val="center"/>
                    <w:rPr>
                      <w:sz w:val="21"/>
                    </w:rPr>
                  </w:pPr>
                </w:p>
              </w:tc>
              <w:tc>
                <w:tcPr>
                  <w:tcW w:w="918" w:type="pct"/>
                  <w:vAlign w:val="center"/>
                </w:tcPr>
                <w:p w14:paraId="6737F4E1">
                  <w:pPr>
                    <w:pStyle w:val="47"/>
                    <w:jc w:val="center"/>
                    <w:rPr>
                      <w:sz w:val="21"/>
                    </w:rPr>
                  </w:pPr>
                  <w:r>
                    <w:rPr>
                      <w:rFonts w:hint="eastAsia"/>
                      <w:sz w:val="21"/>
                    </w:rPr>
                    <w:t>氮氧化物</w:t>
                  </w:r>
                </w:p>
              </w:tc>
              <w:tc>
                <w:tcPr>
                  <w:tcW w:w="751" w:type="pct"/>
                  <w:vAlign w:val="center"/>
                </w:tcPr>
                <w:p w14:paraId="68BA49CE">
                  <w:pPr>
                    <w:pStyle w:val="47"/>
                    <w:jc w:val="center"/>
                    <w:rPr>
                      <w:sz w:val="21"/>
                    </w:rPr>
                  </w:pPr>
                  <w:r>
                    <w:rPr>
                      <w:rFonts w:hint="eastAsia"/>
                      <w:sz w:val="21"/>
                    </w:rPr>
                    <w:t>50mg/m</w:t>
                  </w:r>
                  <w:r>
                    <w:rPr>
                      <w:rFonts w:hint="eastAsia"/>
                      <w:sz w:val="21"/>
                      <w:vertAlign w:val="superscript"/>
                    </w:rPr>
                    <w:t>3</w:t>
                  </w:r>
                </w:p>
              </w:tc>
              <w:tc>
                <w:tcPr>
                  <w:tcW w:w="2266" w:type="pct"/>
                  <w:vMerge w:val="continue"/>
                  <w:vAlign w:val="center"/>
                </w:tcPr>
                <w:p w14:paraId="4DAE5D85">
                  <w:pPr>
                    <w:pStyle w:val="47"/>
                    <w:jc w:val="center"/>
                    <w:rPr>
                      <w:sz w:val="21"/>
                    </w:rPr>
                  </w:pPr>
                </w:p>
              </w:tc>
            </w:tr>
            <w:tr w14:paraId="1F3E3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continue"/>
                  <w:vAlign w:val="center"/>
                </w:tcPr>
                <w:p w14:paraId="1DBBA15B">
                  <w:pPr>
                    <w:pStyle w:val="47"/>
                    <w:jc w:val="center"/>
                    <w:rPr>
                      <w:sz w:val="21"/>
                    </w:rPr>
                  </w:pPr>
                </w:p>
              </w:tc>
              <w:tc>
                <w:tcPr>
                  <w:tcW w:w="501" w:type="pct"/>
                  <w:vMerge w:val="continue"/>
                  <w:vAlign w:val="center"/>
                </w:tcPr>
                <w:p w14:paraId="4229F0C2">
                  <w:pPr>
                    <w:pStyle w:val="47"/>
                    <w:jc w:val="center"/>
                    <w:rPr>
                      <w:sz w:val="21"/>
                    </w:rPr>
                  </w:pPr>
                </w:p>
              </w:tc>
              <w:tc>
                <w:tcPr>
                  <w:tcW w:w="918" w:type="pct"/>
                  <w:vAlign w:val="center"/>
                </w:tcPr>
                <w:p w14:paraId="5E060E01">
                  <w:pPr>
                    <w:pStyle w:val="47"/>
                    <w:jc w:val="center"/>
                    <w:rPr>
                      <w:sz w:val="21"/>
                    </w:rPr>
                  </w:pPr>
                  <w:r>
                    <w:rPr>
                      <w:rFonts w:hint="eastAsia"/>
                      <w:sz w:val="21"/>
                    </w:rPr>
                    <w:t>烟气黑度</w:t>
                  </w:r>
                </w:p>
              </w:tc>
              <w:tc>
                <w:tcPr>
                  <w:tcW w:w="751" w:type="pct"/>
                  <w:vAlign w:val="center"/>
                </w:tcPr>
                <w:p w14:paraId="295419CD">
                  <w:pPr>
                    <w:pStyle w:val="47"/>
                    <w:jc w:val="center"/>
                    <w:rPr>
                      <w:sz w:val="21"/>
                    </w:rPr>
                  </w:pPr>
                  <w:r>
                    <w:rPr>
                      <w:sz w:val="21"/>
                    </w:rPr>
                    <w:t>≤1</w:t>
                  </w:r>
                </w:p>
              </w:tc>
              <w:tc>
                <w:tcPr>
                  <w:tcW w:w="2266" w:type="pct"/>
                  <w:vMerge w:val="restart"/>
                  <w:vAlign w:val="center"/>
                </w:tcPr>
                <w:p w14:paraId="1A6E945C">
                  <w:pPr>
                    <w:pStyle w:val="47"/>
                    <w:jc w:val="center"/>
                    <w:rPr>
                      <w:sz w:val="21"/>
                    </w:rPr>
                  </w:pPr>
                  <w:r>
                    <w:rPr>
                      <w:bCs/>
                      <w:sz w:val="21"/>
                    </w:rPr>
                    <w:t>《锅炉大气污染物排放标准》（DB44/765-2019）表2新建锅炉大气污染物排放浓度限值</w:t>
                  </w:r>
                </w:p>
              </w:tc>
            </w:tr>
            <w:tr w14:paraId="0F9FC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continue"/>
                  <w:vAlign w:val="center"/>
                </w:tcPr>
                <w:p w14:paraId="67A5825E">
                  <w:pPr>
                    <w:pStyle w:val="47"/>
                    <w:jc w:val="center"/>
                    <w:rPr>
                      <w:sz w:val="21"/>
                    </w:rPr>
                  </w:pPr>
                </w:p>
              </w:tc>
              <w:tc>
                <w:tcPr>
                  <w:tcW w:w="501" w:type="pct"/>
                  <w:vMerge w:val="continue"/>
                  <w:vAlign w:val="center"/>
                </w:tcPr>
                <w:p w14:paraId="53872E08">
                  <w:pPr>
                    <w:pStyle w:val="47"/>
                    <w:jc w:val="center"/>
                    <w:rPr>
                      <w:sz w:val="21"/>
                    </w:rPr>
                  </w:pPr>
                </w:p>
              </w:tc>
              <w:tc>
                <w:tcPr>
                  <w:tcW w:w="918" w:type="pct"/>
                  <w:vAlign w:val="center"/>
                </w:tcPr>
                <w:p w14:paraId="03FDD99A">
                  <w:pPr>
                    <w:pStyle w:val="47"/>
                    <w:jc w:val="center"/>
                    <w:rPr>
                      <w:sz w:val="21"/>
                    </w:rPr>
                  </w:pPr>
                  <w:r>
                    <w:rPr>
                      <w:rFonts w:hint="eastAsia"/>
                      <w:sz w:val="21"/>
                    </w:rPr>
                    <w:t>一氧化碳</w:t>
                  </w:r>
                </w:p>
              </w:tc>
              <w:tc>
                <w:tcPr>
                  <w:tcW w:w="751" w:type="pct"/>
                  <w:vAlign w:val="center"/>
                </w:tcPr>
                <w:p w14:paraId="3C91A39D">
                  <w:pPr>
                    <w:pStyle w:val="47"/>
                    <w:jc w:val="center"/>
                    <w:rPr>
                      <w:sz w:val="21"/>
                    </w:rPr>
                  </w:pPr>
                  <w:r>
                    <w:rPr>
                      <w:rFonts w:hint="eastAsia"/>
                      <w:sz w:val="21"/>
                    </w:rPr>
                    <w:t>200</w:t>
                  </w:r>
                </w:p>
              </w:tc>
              <w:tc>
                <w:tcPr>
                  <w:tcW w:w="2266" w:type="pct"/>
                  <w:vMerge w:val="continue"/>
                  <w:vAlign w:val="center"/>
                </w:tcPr>
                <w:p w14:paraId="3A3EA07E">
                  <w:pPr>
                    <w:pStyle w:val="47"/>
                    <w:jc w:val="center"/>
                    <w:rPr>
                      <w:bCs/>
                      <w:sz w:val="21"/>
                    </w:rPr>
                  </w:pPr>
                </w:p>
              </w:tc>
            </w:tr>
            <w:tr w14:paraId="57E5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restart"/>
                  <w:vAlign w:val="center"/>
                </w:tcPr>
                <w:p w14:paraId="71D4046F">
                  <w:pPr>
                    <w:pStyle w:val="47"/>
                    <w:jc w:val="center"/>
                    <w:rPr>
                      <w:sz w:val="21"/>
                    </w:rPr>
                  </w:pPr>
                  <w:r>
                    <w:rPr>
                      <w:rFonts w:hint="eastAsia"/>
                      <w:sz w:val="21"/>
                    </w:rPr>
                    <w:t>DA003</w:t>
                  </w:r>
                </w:p>
              </w:tc>
              <w:tc>
                <w:tcPr>
                  <w:tcW w:w="501" w:type="pct"/>
                  <w:vMerge w:val="restart"/>
                  <w:vAlign w:val="center"/>
                </w:tcPr>
                <w:p w14:paraId="6DBAFB8D">
                  <w:pPr>
                    <w:pStyle w:val="47"/>
                    <w:jc w:val="center"/>
                    <w:rPr>
                      <w:sz w:val="21"/>
                    </w:rPr>
                  </w:pPr>
                  <w:r>
                    <w:rPr>
                      <w:rFonts w:hint="eastAsia"/>
                      <w:sz w:val="21"/>
                    </w:rPr>
                    <w:t>15m</w:t>
                  </w:r>
                </w:p>
              </w:tc>
              <w:tc>
                <w:tcPr>
                  <w:tcW w:w="918" w:type="pct"/>
                  <w:vAlign w:val="center"/>
                </w:tcPr>
                <w:p w14:paraId="39513959">
                  <w:pPr>
                    <w:pStyle w:val="47"/>
                    <w:jc w:val="center"/>
                    <w:rPr>
                      <w:sz w:val="21"/>
                    </w:rPr>
                  </w:pPr>
                  <w:r>
                    <w:rPr>
                      <w:rFonts w:hint="eastAsia"/>
                      <w:sz w:val="21"/>
                    </w:rPr>
                    <w:t>非甲烷总烃</w:t>
                  </w:r>
                </w:p>
              </w:tc>
              <w:tc>
                <w:tcPr>
                  <w:tcW w:w="751" w:type="pct"/>
                  <w:vAlign w:val="center"/>
                </w:tcPr>
                <w:p w14:paraId="7C11DF2C">
                  <w:pPr>
                    <w:pStyle w:val="47"/>
                    <w:jc w:val="center"/>
                    <w:rPr>
                      <w:sz w:val="21"/>
                    </w:rPr>
                  </w:pPr>
                  <w:r>
                    <w:rPr>
                      <w:rFonts w:hint="eastAsia"/>
                      <w:sz w:val="21"/>
                    </w:rPr>
                    <w:t>80</w:t>
                  </w:r>
                  <w:r>
                    <w:rPr>
                      <w:sz w:val="21"/>
                    </w:rPr>
                    <w:t>mg/m</w:t>
                  </w:r>
                  <w:r>
                    <w:rPr>
                      <w:sz w:val="21"/>
                      <w:vertAlign w:val="superscript"/>
                    </w:rPr>
                    <w:t>3</w:t>
                  </w:r>
                </w:p>
              </w:tc>
              <w:tc>
                <w:tcPr>
                  <w:tcW w:w="2266" w:type="pct"/>
                  <w:vAlign w:val="center"/>
                </w:tcPr>
                <w:p w14:paraId="54ABA500">
                  <w:pPr>
                    <w:pStyle w:val="47"/>
                    <w:jc w:val="center"/>
                    <w:rPr>
                      <w:sz w:val="21"/>
                    </w:rPr>
                  </w:pPr>
                  <w:r>
                    <w:rPr>
                      <w:rFonts w:hint="eastAsia"/>
                      <w:sz w:val="21"/>
                    </w:rPr>
                    <w:t>广东省《固定污染源挥发性有机物综合排放标准》（DB44/2367-2022）表1</w:t>
                  </w:r>
                </w:p>
              </w:tc>
            </w:tr>
            <w:tr w14:paraId="199D3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continue"/>
                  <w:vAlign w:val="center"/>
                </w:tcPr>
                <w:p w14:paraId="0052936B">
                  <w:pPr>
                    <w:pStyle w:val="47"/>
                    <w:jc w:val="center"/>
                    <w:rPr>
                      <w:sz w:val="21"/>
                    </w:rPr>
                  </w:pPr>
                </w:p>
              </w:tc>
              <w:tc>
                <w:tcPr>
                  <w:tcW w:w="501" w:type="pct"/>
                  <w:vMerge w:val="continue"/>
                  <w:vAlign w:val="center"/>
                </w:tcPr>
                <w:p w14:paraId="7AEE2824">
                  <w:pPr>
                    <w:pStyle w:val="47"/>
                    <w:jc w:val="center"/>
                    <w:rPr>
                      <w:sz w:val="21"/>
                    </w:rPr>
                  </w:pPr>
                </w:p>
              </w:tc>
              <w:tc>
                <w:tcPr>
                  <w:tcW w:w="918" w:type="pct"/>
                  <w:vAlign w:val="center"/>
                </w:tcPr>
                <w:p w14:paraId="1D86D6BB">
                  <w:pPr>
                    <w:pStyle w:val="47"/>
                    <w:jc w:val="center"/>
                    <w:rPr>
                      <w:sz w:val="21"/>
                    </w:rPr>
                  </w:pPr>
                  <w:r>
                    <w:rPr>
                      <w:rFonts w:hint="eastAsia"/>
                      <w:sz w:val="21"/>
                    </w:rPr>
                    <w:t>硫化氢</w:t>
                  </w:r>
                </w:p>
              </w:tc>
              <w:tc>
                <w:tcPr>
                  <w:tcW w:w="751" w:type="pct"/>
                  <w:vAlign w:val="center"/>
                </w:tcPr>
                <w:p w14:paraId="58E88A24">
                  <w:pPr>
                    <w:pStyle w:val="47"/>
                    <w:jc w:val="center"/>
                    <w:rPr>
                      <w:sz w:val="21"/>
                    </w:rPr>
                  </w:pPr>
                  <w:r>
                    <w:rPr>
                      <w:rFonts w:hint="eastAsia"/>
                      <w:sz w:val="21"/>
                    </w:rPr>
                    <w:t>0.33kg/h</w:t>
                  </w:r>
                </w:p>
              </w:tc>
              <w:tc>
                <w:tcPr>
                  <w:tcW w:w="2266" w:type="pct"/>
                  <w:vMerge w:val="restart"/>
                  <w:vAlign w:val="center"/>
                </w:tcPr>
                <w:p w14:paraId="6C08687C">
                  <w:pPr>
                    <w:pStyle w:val="47"/>
                    <w:jc w:val="center"/>
                    <w:rPr>
                      <w:sz w:val="21"/>
                    </w:rPr>
                  </w:pPr>
                  <w:r>
                    <w:rPr>
                      <w:rFonts w:hint="eastAsia"/>
                      <w:sz w:val="21"/>
                    </w:rPr>
                    <w:t>《恶臭污染物排放标准》（GB14554-93）</w:t>
                  </w:r>
                </w:p>
              </w:tc>
            </w:tr>
            <w:tr w14:paraId="78BC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continue"/>
                  <w:vAlign w:val="center"/>
                </w:tcPr>
                <w:p w14:paraId="4A9E21D3">
                  <w:pPr>
                    <w:pStyle w:val="47"/>
                    <w:jc w:val="center"/>
                    <w:rPr>
                      <w:sz w:val="21"/>
                    </w:rPr>
                  </w:pPr>
                </w:p>
              </w:tc>
              <w:tc>
                <w:tcPr>
                  <w:tcW w:w="501" w:type="pct"/>
                  <w:vMerge w:val="continue"/>
                  <w:vAlign w:val="center"/>
                </w:tcPr>
                <w:p w14:paraId="2F8469F4">
                  <w:pPr>
                    <w:pStyle w:val="47"/>
                    <w:jc w:val="center"/>
                    <w:rPr>
                      <w:sz w:val="21"/>
                    </w:rPr>
                  </w:pPr>
                </w:p>
              </w:tc>
              <w:tc>
                <w:tcPr>
                  <w:tcW w:w="918" w:type="pct"/>
                  <w:vAlign w:val="center"/>
                </w:tcPr>
                <w:p w14:paraId="05E1885E">
                  <w:pPr>
                    <w:pStyle w:val="47"/>
                    <w:jc w:val="center"/>
                    <w:rPr>
                      <w:sz w:val="21"/>
                    </w:rPr>
                  </w:pPr>
                  <w:r>
                    <w:rPr>
                      <w:rFonts w:hint="eastAsia"/>
                      <w:sz w:val="21"/>
                    </w:rPr>
                    <w:t>氨</w:t>
                  </w:r>
                </w:p>
              </w:tc>
              <w:tc>
                <w:tcPr>
                  <w:tcW w:w="751" w:type="pct"/>
                  <w:vAlign w:val="center"/>
                </w:tcPr>
                <w:p w14:paraId="38391FA4">
                  <w:pPr>
                    <w:pStyle w:val="47"/>
                    <w:jc w:val="center"/>
                    <w:rPr>
                      <w:sz w:val="21"/>
                    </w:rPr>
                  </w:pPr>
                  <w:r>
                    <w:rPr>
                      <w:rFonts w:hint="eastAsia"/>
                      <w:sz w:val="21"/>
                    </w:rPr>
                    <w:t>4.9kg/h</w:t>
                  </w:r>
                </w:p>
              </w:tc>
              <w:tc>
                <w:tcPr>
                  <w:tcW w:w="2266" w:type="pct"/>
                  <w:vMerge w:val="continue"/>
                  <w:vAlign w:val="center"/>
                </w:tcPr>
                <w:p w14:paraId="027FB7D7">
                  <w:pPr>
                    <w:pStyle w:val="47"/>
                    <w:jc w:val="center"/>
                    <w:rPr>
                      <w:sz w:val="21"/>
                    </w:rPr>
                  </w:pPr>
                </w:p>
              </w:tc>
            </w:tr>
            <w:tr w14:paraId="7812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4" w:type="pct"/>
                  <w:vMerge w:val="continue"/>
                  <w:vAlign w:val="center"/>
                </w:tcPr>
                <w:p w14:paraId="72A8D0CD">
                  <w:pPr>
                    <w:pStyle w:val="47"/>
                    <w:jc w:val="center"/>
                    <w:rPr>
                      <w:sz w:val="21"/>
                    </w:rPr>
                  </w:pPr>
                </w:p>
              </w:tc>
              <w:tc>
                <w:tcPr>
                  <w:tcW w:w="501" w:type="pct"/>
                  <w:vMerge w:val="continue"/>
                  <w:vAlign w:val="center"/>
                </w:tcPr>
                <w:p w14:paraId="515F4B4C">
                  <w:pPr>
                    <w:pStyle w:val="47"/>
                    <w:jc w:val="center"/>
                    <w:rPr>
                      <w:sz w:val="21"/>
                    </w:rPr>
                  </w:pPr>
                </w:p>
              </w:tc>
              <w:tc>
                <w:tcPr>
                  <w:tcW w:w="918" w:type="pct"/>
                  <w:vAlign w:val="center"/>
                </w:tcPr>
                <w:p w14:paraId="4FD88224">
                  <w:pPr>
                    <w:pStyle w:val="47"/>
                    <w:jc w:val="center"/>
                    <w:rPr>
                      <w:sz w:val="21"/>
                    </w:rPr>
                  </w:pPr>
                  <w:r>
                    <w:rPr>
                      <w:rFonts w:hint="eastAsia"/>
                      <w:sz w:val="21"/>
                    </w:rPr>
                    <w:t>臭气浓度</w:t>
                  </w:r>
                </w:p>
              </w:tc>
              <w:tc>
                <w:tcPr>
                  <w:tcW w:w="751" w:type="pct"/>
                  <w:vAlign w:val="center"/>
                </w:tcPr>
                <w:p w14:paraId="2E7EDCC9">
                  <w:pPr>
                    <w:pStyle w:val="47"/>
                    <w:jc w:val="center"/>
                    <w:rPr>
                      <w:sz w:val="21"/>
                    </w:rPr>
                  </w:pPr>
                  <w:r>
                    <w:rPr>
                      <w:rFonts w:hint="eastAsia"/>
                      <w:sz w:val="21"/>
                    </w:rPr>
                    <w:t>2000</w:t>
                  </w:r>
                </w:p>
                <w:p w14:paraId="40058F9F">
                  <w:pPr>
                    <w:pStyle w:val="47"/>
                    <w:jc w:val="center"/>
                    <w:rPr>
                      <w:sz w:val="21"/>
                    </w:rPr>
                  </w:pPr>
                  <w:r>
                    <w:rPr>
                      <w:rFonts w:hint="eastAsia"/>
                      <w:sz w:val="21"/>
                    </w:rPr>
                    <w:t>（无量纲）</w:t>
                  </w:r>
                </w:p>
              </w:tc>
              <w:tc>
                <w:tcPr>
                  <w:tcW w:w="2266" w:type="pct"/>
                  <w:vMerge w:val="continue"/>
                  <w:vAlign w:val="center"/>
                </w:tcPr>
                <w:p w14:paraId="306399DC">
                  <w:pPr>
                    <w:pStyle w:val="47"/>
                    <w:jc w:val="center"/>
                    <w:rPr>
                      <w:sz w:val="21"/>
                    </w:rPr>
                  </w:pPr>
                </w:p>
              </w:tc>
            </w:tr>
          </w:tbl>
          <w:p w14:paraId="765E1885">
            <w:pPr>
              <w:pStyle w:val="12"/>
              <w:spacing w:before="120" w:beforeLines="50" w:line="360" w:lineRule="auto"/>
              <w:ind w:left="0" w:leftChars="0" w:firstLine="0" w:firstLineChars="0"/>
              <w:jc w:val="center"/>
              <w:rPr>
                <w:b/>
              </w:rPr>
            </w:pPr>
            <w:r>
              <w:rPr>
                <w:b/>
              </w:rPr>
              <w:t>表</w:t>
            </w:r>
            <w:r>
              <w:rPr>
                <w:rFonts w:hint="eastAsia"/>
                <w:b/>
              </w:rPr>
              <w:t>3-5 厂区内有机废气无组织</w:t>
            </w:r>
            <w:r>
              <w:rPr>
                <w:b/>
              </w:rPr>
              <w:t>排放</w:t>
            </w:r>
            <w:r>
              <w:rPr>
                <w:rFonts w:hint="eastAsia"/>
                <w:b/>
              </w:rPr>
              <w:t>限值</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3"/>
              <w:gridCol w:w="1164"/>
              <w:gridCol w:w="2905"/>
              <w:gridCol w:w="1164"/>
              <w:gridCol w:w="2493"/>
            </w:tblGrid>
            <w:tr w14:paraId="51F04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5" w:type="pct"/>
                  <w:vAlign w:val="center"/>
                </w:tcPr>
                <w:p w14:paraId="2A34C05B">
                  <w:pPr>
                    <w:pStyle w:val="47"/>
                    <w:jc w:val="center"/>
                    <w:rPr>
                      <w:b/>
                      <w:sz w:val="21"/>
                    </w:rPr>
                  </w:pPr>
                  <w:r>
                    <w:rPr>
                      <w:sz w:val="21"/>
                    </w:rPr>
                    <w:t>污染物</w:t>
                  </w:r>
                </w:p>
              </w:tc>
              <w:tc>
                <w:tcPr>
                  <w:tcW w:w="668" w:type="pct"/>
                  <w:vAlign w:val="center"/>
                </w:tcPr>
                <w:p w14:paraId="44C43495">
                  <w:pPr>
                    <w:pStyle w:val="47"/>
                    <w:jc w:val="center"/>
                    <w:rPr>
                      <w:b/>
                      <w:sz w:val="21"/>
                    </w:rPr>
                  </w:pPr>
                  <w:r>
                    <w:rPr>
                      <w:rFonts w:hint="eastAsia"/>
                      <w:sz w:val="21"/>
                    </w:rPr>
                    <w:t>排放</w:t>
                  </w:r>
                  <w:r>
                    <w:rPr>
                      <w:sz w:val="21"/>
                    </w:rPr>
                    <w:t>限值</w:t>
                  </w:r>
                </w:p>
              </w:tc>
              <w:tc>
                <w:tcPr>
                  <w:tcW w:w="1668" w:type="pct"/>
                  <w:vAlign w:val="center"/>
                </w:tcPr>
                <w:p w14:paraId="0439B1B5">
                  <w:pPr>
                    <w:pStyle w:val="47"/>
                    <w:jc w:val="center"/>
                    <w:rPr>
                      <w:b/>
                      <w:sz w:val="21"/>
                    </w:rPr>
                  </w:pPr>
                  <w:r>
                    <w:rPr>
                      <w:rFonts w:hint="eastAsia"/>
                      <w:sz w:val="21"/>
                    </w:rPr>
                    <w:t>限值含义</w:t>
                  </w:r>
                </w:p>
              </w:tc>
              <w:tc>
                <w:tcPr>
                  <w:tcW w:w="668" w:type="pct"/>
                  <w:vAlign w:val="center"/>
                </w:tcPr>
                <w:p w14:paraId="6185D171">
                  <w:pPr>
                    <w:pStyle w:val="47"/>
                    <w:jc w:val="center"/>
                    <w:rPr>
                      <w:b/>
                      <w:sz w:val="21"/>
                    </w:rPr>
                  </w:pPr>
                  <w:r>
                    <w:rPr>
                      <w:rFonts w:hint="eastAsia"/>
                      <w:sz w:val="21"/>
                    </w:rPr>
                    <w:t>监控位置</w:t>
                  </w:r>
                </w:p>
              </w:tc>
              <w:tc>
                <w:tcPr>
                  <w:tcW w:w="1431" w:type="pct"/>
                  <w:vAlign w:val="center"/>
                </w:tcPr>
                <w:p w14:paraId="36220395">
                  <w:pPr>
                    <w:pStyle w:val="47"/>
                    <w:jc w:val="center"/>
                    <w:rPr>
                      <w:b/>
                      <w:sz w:val="21"/>
                    </w:rPr>
                  </w:pPr>
                  <w:r>
                    <w:rPr>
                      <w:sz w:val="21"/>
                    </w:rPr>
                    <w:t>标准来源</w:t>
                  </w:r>
                </w:p>
              </w:tc>
            </w:tr>
            <w:tr w14:paraId="4A0B0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565" w:type="pct"/>
                  <w:vMerge w:val="restart"/>
                  <w:vAlign w:val="center"/>
                </w:tcPr>
                <w:p w14:paraId="790D2E82">
                  <w:pPr>
                    <w:pStyle w:val="47"/>
                    <w:jc w:val="center"/>
                    <w:rPr>
                      <w:b/>
                      <w:sz w:val="21"/>
                    </w:rPr>
                  </w:pPr>
                  <w:r>
                    <w:rPr>
                      <w:rFonts w:hint="eastAsia"/>
                      <w:sz w:val="21"/>
                    </w:rPr>
                    <w:t>非甲烷总烃</w:t>
                  </w:r>
                </w:p>
              </w:tc>
              <w:tc>
                <w:tcPr>
                  <w:tcW w:w="668" w:type="pct"/>
                  <w:vAlign w:val="center"/>
                </w:tcPr>
                <w:p w14:paraId="09BE3B53">
                  <w:pPr>
                    <w:pStyle w:val="47"/>
                    <w:jc w:val="center"/>
                    <w:rPr>
                      <w:b/>
                      <w:sz w:val="21"/>
                    </w:rPr>
                  </w:pPr>
                  <w:r>
                    <w:rPr>
                      <w:rFonts w:hint="eastAsia"/>
                      <w:sz w:val="21"/>
                    </w:rPr>
                    <w:t>6</w:t>
                  </w:r>
                  <w:r>
                    <w:rPr>
                      <w:sz w:val="21"/>
                    </w:rPr>
                    <w:t>mg/m</w:t>
                  </w:r>
                  <w:r>
                    <w:rPr>
                      <w:sz w:val="21"/>
                      <w:vertAlign w:val="superscript"/>
                    </w:rPr>
                    <w:t>3</w:t>
                  </w:r>
                </w:p>
              </w:tc>
              <w:tc>
                <w:tcPr>
                  <w:tcW w:w="1668" w:type="pct"/>
                  <w:vAlign w:val="center"/>
                </w:tcPr>
                <w:p w14:paraId="5C003046">
                  <w:pPr>
                    <w:pStyle w:val="47"/>
                    <w:jc w:val="center"/>
                    <w:rPr>
                      <w:b/>
                      <w:sz w:val="21"/>
                    </w:rPr>
                  </w:pPr>
                  <w:r>
                    <w:rPr>
                      <w:rFonts w:hint="eastAsia"/>
                      <w:sz w:val="21"/>
                    </w:rPr>
                    <w:t>监控点处1小时平均浓度值</w:t>
                  </w:r>
                </w:p>
              </w:tc>
              <w:tc>
                <w:tcPr>
                  <w:tcW w:w="668" w:type="pct"/>
                  <w:vMerge w:val="restart"/>
                  <w:vAlign w:val="center"/>
                </w:tcPr>
                <w:p w14:paraId="2F2E050F">
                  <w:pPr>
                    <w:pStyle w:val="47"/>
                    <w:jc w:val="center"/>
                    <w:rPr>
                      <w:b/>
                      <w:sz w:val="21"/>
                    </w:rPr>
                  </w:pPr>
                  <w:r>
                    <w:rPr>
                      <w:rFonts w:hint="eastAsia"/>
                      <w:sz w:val="21"/>
                    </w:rPr>
                    <w:t>在厂房外设置监控点</w:t>
                  </w:r>
                </w:p>
              </w:tc>
              <w:tc>
                <w:tcPr>
                  <w:tcW w:w="1431" w:type="pct"/>
                  <w:vMerge w:val="restart"/>
                  <w:vAlign w:val="center"/>
                </w:tcPr>
                <w:p w14:paraId="61F689A3">
                  <w:pPr>
                    <w:pStyle w:val="47"/>
                    <w:jc w:val="center"/>
                    <w:rPr>
                      <w:b/>
                      <w:sz w:val="21"/>
                    </w:rPr>
                  </w:pPr>
                  <w:r>
                    <w:rPr>
                      <w:rFonts w:hint="eastAsia"/>
                      <w:sz w:val="21"/>
                    </w:rPr>
                    <w:t>广东省《固定污染源挥发性有机物综合排放标准》（DB44/2367-2022）表3</w:t>
                  </w:r>
                </w:p>
              </w:tc>
            </w:tr>
            <w:tr w14:paraId="5BF51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5" w:type="pct"/>
                  <w:vMerge w:val="continue"/>
                  <w:vAlign w:val="center"/>
                </w:tcPr>
                <w:p w14:paraId="3D79486A">
                  <w:pPr>
                    <w:pStyle w:val="47"/>
                    <w:jc w:val="center"/>
                    <w:rPr>
                      <w:sz w:val="21"/>
                    </w:rPr>
                  </w:pPr>
                </w:p>
              </w:tc>
              <w:tc>
                <w:tcPr>
                  <w:tcW w:w="668" w:type="pct"/>
                  <w:vAlign w:val="center"/>
                </w:tcPr>
                <w:p w14:paraId="70DBD6DB">
                  <w:pPr>
                    <w:pStyle w:val="47"/>
                    <w:jc w:val="center"/>
                    <w:rPr>
                      <w:b/>
                      <w:sz w:val="21"/>
                    </w:rPr>
                  </w:pPr>
                  <w:r>
                    <w:rPr>
                      <w:rFonts w:hint="eastAsia"/>
                      <w:sz w:val="21"/>
                    </w:rPr>
                    <w:t>20</w:t>
                  </w:r>
                  <w:r>
                    <w:rPr>
                      <w:sz w:val="21"/>
                    </w:rPr>
                    <w:t>mg/m</w:t>
                  </w:r>
                  <w:r>
                    <w:rPr>
                      <w:sz w:val="21"/>
                      <w:vertAlign w:val="superscript"/>
                    </w:rPr>
                    <w:t>3</w:t>
                  </w:r>
                </w:p>
              </w:tc>
              <w:tc>
                <w:tcPr>
                  <w:tcW w:w="1668" w:type="pct"/>
                  <w:vAlign w:val="center"/>
                </w:tcPr>
                <w:p w14:paraId="1B281BB0">
                  <w:pPr>
                    <w:pStyle w:val="47"/>
                    <w:jc w:val="center"/>
                    <w:rPr>
                      <w:b/>
                      <w:sz w:val="21"/>
                    </w:rPr>
                  </w:pPr>
                  <w:r>
                    <w:rPr>
                      <w:rFonts w:hint="eastAsia"/>
                      <w:sz w:val="21"/>
                    </w:rPr>
                    <w:t>监控点处任意一次浓度值</w:t>
                  </w:r>
                </w:p>
              </w:tc>
              <w:tc>
                <w:tcPr>
                  <w:tcW w:w="668" w:type="pct"/>
                  <w:vMerge w:val="continue"/>
                  <w:vAlign w:val="center"/>
                </w:tcPr>
                <w:p w14:paraId="6B4E1F60">
                  <w:pPr>
                    <w:pStyle w:val="47"/>
                    <w:jc w:val="center"/>
                    <w:rPr>
                      <w:sz w:val="21"/>
                    </w:rPr>
                  </w:pPr>
                </w:p>
              </w:tc>
              <w:tc>
                <w:tcPr>
                  <w:tcW w:w="1431" w:type="pct"/>
                  <w:vMerge w:val="continue"/>
                  <w:vAlign w:val="center"/>
                </w:tcPr>
                <w:p w14:paraId="3CCE9348">
                  <w:pPr>
                    <w:pStyle w:val="47"/>
                    <w:jc w:val="center"/>
                    <w:rPr>
                      <w:sz w:val="21"/>
                    </w:rPr>
                  </w:pPr>
                </w:p>
              </w:tc>
            </w:tr>
          </w:tbl>
          <w:p w14:paraId="2FAA082D">
            <w:pPr>
              <w:pStyle w:val="12"/>
              <w:spacing w:before="120" w:beforeLines="50" w:line="360" w:lineRule="auto"/>
              <w:ind w:left="0" w:leftChars="0" w:firstLine="0" w:firstLineChars="0"/>
              <w:jc w:val="center"/>
              <w:rPr>
                <w:b/>
              </w:rPr>
            </w:pPr>
            <w:r>
              <w:rPr>
                <w:b/>
              </w:rPr>
              <w:t>表</w:t>
            </w:r>
            <w:r>
              <w:rPr>
                <w:rFonts w:hint="eastAsia"/>
                <w:b/>
              </w:rPr>
              <w:t>3-6 企业边界废气</w:t>
            </w:r>
            <w:r>
              <w:rPr>
                <w:b/>
              </w:rPr>
              <w:t>污染物</w:t>
            </w:r>
            <w:r>
              <w:rPr>
                <w:rFonts w:hint="eastAsia"/>
                <w:b/>
              </w:rPr>
              <w:t>无组织</w:t>
            </w:r>
            <w:r>
              <w:rPr>
                <w:b/>
              </w:rPr>
              <w:t>排放标准</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1648"/>
              <w:gridCol w:w="1947"/>
              <w:gridCol w:w="4382"/>
            </w:tblGrid>
            <w:tr w14:paraId="2D16B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20" w:type="pct"/>
                  <w:vAlign w:val="center"/>
                </w:tcPr>
                <w:p w14:paraId="290874A6">
                  <w:pPr>
                    <w:pStyle w:val="47"/>
                    <w:jc w:val="center"/>
                    <w:rPr>
                      <w:b/>
                      <w:sz w:val="21"/>
                    </w:rPr>
                  </w:pPr>
                  <w:r>
                    <w:rPr>
                      <w:rFonts w:hint="eastAsia"/>
                      <w:sz w:val="21"/>
                    </w:rPr>
                    <w:t>序号</w:t>
                  </w:r>
                </w:p>
              </w:tc>
              <w:tc>
                <w:tcPr>
                  <w:tcW w:w="946" w:type="pct"/>
                  <w:vAlign w:val="center"/>
                </w:tcPr>
                <w:p w14:paraId="446FD707">
                  <w:pPr>
                    <w:pStyle w:val="47"/>
                    <w:jc w:val="center"/>
                    <w:rPr>
                      <w:b/>
                      <w:sz w:val="21"/>
                    </w:rPr>
                  </w:pPr>
                  <w:r>
                    <w:rPr>
                      <w:sz w:val="21"/>
                    </w:rPr>
                    <w:t>污染物</w:t>
                  </w:r>
                </w:p>
              </w:tc>
              <w:tc>
                <w:tcPr>
                  <w:tcW w:w="1118" w:type="pct"/>
                  <w:vAlign w:val="center"/>
                </w:tcPr>
                <w:p w14:paraId="1198EF67">
                  <w:pPr>
                    <w:pStyle w:val="47"/>
                    <w:jc w:val="center"/>
                    <w:rPr>
                      <w:b/>
                      <w:sz w:val="21"/>
                    </w:rPr>
                  </w:pPr>
                  <w:r>
                    <w:rPr>
                      <w:sz w:val="21"/>
                    </w:rPr>
                    <w:t>浓度限值</w:t>
                  </w:r>
                </w:p>
              </w:tc>
              <w:tc>
                <w:tcPr>
                  <w:tcW w:w="2516" w:type="pct"/>
                  <w:vAlign w:val="center"/>
                </w:tcPr>
                <w:p w14:paraId="3324FD50">
                  <w:pPr>
                    <w:pStyle w:val="47"/>
                    <w:jc w:val="center"/>
                    <w:rPr>
                      <w:b/>
                      <w:sz w:val="21"/>
                    </w:rPr>
                  </w:pPr>
                  <w:r>
                    <w:rPr>
                      <w:sz w:val="21"/>
                    </w:rPr>
                    <w:t>标准来源</w:t>
                  </w:r>
                </w:p>
              </w:tc>
            </w:tr>
            <w:tr w14:paraId="3C03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20" w:type="pct"/>
                  <w:vAlign w:val="center"/>
                </w:tcPr>
                <w:p w14:paraId="1A6CC374">
                  <w:pPr>
                    <w:pStyle w:val="47"/>
                    <w:jc w:val="center"/>
                    <w:rPr>
                      <w:sz w:val="21"/>
                    </w:rPr>
                  </w:pPr>
                  <w:r>
                    <w:rPr>
                      <w:rFonts w:hint="eastAsia"/>
                      <w:sz w:val="21"/>
                    </w:rPr>
                    <w:t>1</w:t>
                  </w:r>
                </w:p>
              </w:tc>
              <w:tc>
                <w:tcPr>
                  <w:tcW w:w="946" w:type="pct"/>
                  <w:vAlign w:val="center"/>
                </w:tcPr>
                <w:p w14:paraId="5992E951">
                  <w:pPr>
                    <w:pStyle w:val="47"/>
                    <w:jc w:val="center"/>
                    <w:rPr>
                      <w:b/>
                      <w:sz w:val="21"/>
                    </w:rPr>
                  </w:pPr>
                  <w:r>
                    <w:rPr>
                      <w:rFonts w:hint="eastAsia"/>
                      <w:sz w:val="21"/>
                    </w:rPr>
                    <w:t>硫化氢</w:t>
                  </w:r>
                </w:p>
              </w:tc>
              <w:tc>
                <w:tcPr>
                  <w:tcW w:w="1118" w:type="pct"/>
                  <w:vAlign w:val="center"/>
                </w:tcPr>
                <w:p w14:paraId="740DC0C2">
                  <w:pPr>
                    <w:pStyle w:val="47"/>
                    <w:jc w:val="center"/>
                    <w:rPr>
                      <w:b/>
                      <w:sz w:val="21"/>
                    </w:rPr>
                  </w:pPr>
                  <w:r>
                    <w:rPr>
                      <w:rFonts w:hint="eastAsia"/>
                      <w:sz w:val="21"/>
                    </w:rPr>
                    <w:t>0.06</w:t>
                  </w:r>
                  <w:r>
                    <w:rPr>
                      <w:sz w:val="21"/>
                    </w:rPr>
                    <w:t xml:space="preserve"> mg/m</w:t>
                  </w:r>
                  <w:r>
                    <w:rPr>
                      <w:sz w:val="21"/>
                      <w:vertAlign w:val="superscript"/>
                    </w:rPr>
                    <w:t>3</w:t>
                  </w:r>
                </w:p>
              </w:tc>
              <w:tc>
                <w:tcPr>
                  <w:tcW w:w="2516" w:type="pct"/>
                  <w:vMerge w:val="restart"/>
                  <w:vAlign w:val="center"/>
                </w:tcPr>
                <w:p w14:paraId="4EA8C7BD">
                  <w:pPr>
                    <w:pStyle w:val="47"/>
                    <w:jc w:val="center"/>
                    <w:rPr>
                      <w:sz w:val="21"/>
                    </w:rPr>
                  </w:pPr>
                  <w:r>
                    <w:rPr>
                      <w:rFonts w:hint="eastAsia"/>
                      <w:sz w:val="21"/>
                    </w:rPr>
                    <w:t>《恶臭污染物排放标准》（GB14554-93）</w:t>
                  </w:r>
                </w:p>
              </w:tc>
            </w:tr>
            <w:tr w14:paraId="26BA1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20" w:type="pct"/>
                  <w:vAlign w:val="center"/>
                </w:tcPr>
                <w:p w14:paraId="6D98E953">
                  <w:pPr>
                    <w:pStyle w:val="47"/>
                    <w:jc w:val="center"/>
                    <w:rPr>
                      <w:sz w:val="21"/>
                    </w:rPr>
                  </w:pPr>
                  <w:r>
                    <w:rPr>
                      <w:rFonts w:hint="eastAsia"/>
                      <w:sz w:val="21"/>
                    </w:rPr>
                    <w:t>2</w:t>
                  </w:r>
                </w:p>
              </w:tc>
              <w:tc>
                <w:tcPr>
                  <w:tcW w:w="946" w:type="pct"/>
                  <w:vAlign w:val="center"/>
                </w:tcPr>
                <w:p w14:paraId="1E3BF54A">
                  <w:pPr>
                    <w:pStyle w:val="47"/>
                    <w:jc w:val="center"/>
                    <w:rPr>
                      <w:b/>
                      <w:sz w:val="21"/>
                    </w:rPr>
                  </w:pPr>
                  <w:r>
                    <w:rPr>
                      <w:rFonts w:hint="eastAsia"/>
                      <w:sz w:val="21"/>
                    </w:rPr>
                    <w:t>氨</w:t>
                  </w:r>
                </w:p>
              </w:tc>
              <w:tc>
                <w:tcPr>
                  <w:tcW w:w="1118" w:type="pct"/>
                  <w:vAlign w:val="center"/>
                </w:tcPr>
                <w:p w14:paraId="7D3DCD27">
                  <w:pPr>
                    <w:pStyle w:val="47"/>
                    <w:jc w:val="center"/>
                    <w:rPr>
                      <w:b/>
                      <w:sz w:val="21"/>
                    </w:rPr>
                  </w:pPr>
                  <w:r>
                    <w:rPr>
                      <w:rFonts w:hint="eastAsia"/>
                      <w:sz w:val="21"/>
                    </w:rPr>
                    <w:t>1.5</w:t>
                  </w:r>
                  <w:r>
                    <w:rPr>
                      <w:sz w:val="21"/>
                    </w:rPr>
                    <w:t xml:space="preserve"> mg/m</w:t>
                  </w:r>
                  <w:r>
                    <w:rPr>
                      <w:sz w:val="21"/>
                      <w:vertAlign w:val="superscript"/>
                    </w:rPr>
                    <w:t>3</w:t>
                  </w:r>
                </w:p>
              </w:tc>
              <w:tc>
                <w:tcPr>
                  <w:tcW w:w="2516" w:type="pct"/>
                  <w:vMerge w:val="continue"/>
                  <w:vAlign w:val="center"/>
                </w:tcPr>
                <w:p w14:paraId="46F456FD">
                  <w:pPr>
                    <w:pStyle w:val="47"/>
                    <w:jc w:val="center"/>
                    <w:rPr>
                      <w:sz w:val="21"/>
                    </w:rPr>
                  </w:pPr>
                </w:p>
              </w:tc>
            </w:tr>
            <w:tr w14:paraId="3607F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20" w:type="pct"/>
                  <w:vAlign w:val="center"/>
                </w:tcPr>
                <w:p w14:paraId="4B435901">
                  <w:pPr>
                    <w:pStyle w:val="47"/>
                    <w:jc w:val="center"/>
                    <w:rPr>
                      <w:sz w:val="21"/>
                    </w:rPr>
                  </w:pPr>
                  <w:r>
                    <w:rPr>
                      <w:rFonts w:hint="eastAsia"/>
                      <w:sz w:val="21"/>
                    </w:rPr>
                    <w:t>3</w:t>
                  </w:r>
                </w:p>
              </w:tc>
              <w:tc>
                <w:tcPr>
                  <w:tcW w:w="946" w:type="pct"/>
                  <w:vAlign w:val="center"/>
                </w:tcPr>
                <w:p w14:paraId="71BA5D71">
                  <w:pPr>
                    <w:pStyle w:val="47"/>
                    <w:jc w:val="center"/>
                    <w:rPr>
                      <w:b/>
                      <w:sz w:val="21"/>
                    </w:rPr>
                  </w:pPr>
                  <w:r>
                    <w:rPr>
                      <w:rFonts w:hint="eastAsia"/>
                      <w:sz w:val="21"/>
                    </w:rPr>
                    <w:t>臭气浓度</w:t>
                  </w:r>
                </w:p>
              </w:tc>
              <w:tc>
                <w:tcPr>
                  <w:tcW w:w="1118" w:type="pct"/>
                  <w:vAlign w:val="center"/>
                </w:tcPr>
                <w:p w14:paraId="159FAF57">
                  <w:pPr>
                    <w:pStyle w:val="47"/>
                    <w:jc w:val="center"/>
                    <w:rPr>
                      <w:b/>
                      <w:sz w:val="21"/>
                    </w:rPr>
                  </w:pPr>
                  <w:r>
                    <w:rPr>
                      <w:rFonts w:hint="eastAsia"/>
                      <w:sz w:val="21"/>
                    </w:rPr>
                    <w:t>20（无量纲）</w:t>
                  </w:r>
                </w:p>
              </w:tc>
              <w:tc>
                <w:tcPr>
                  <w:tcW w:w="2516" w:type="pct"/>
                  <w:vMerge w:val="continue"/>
                  <w:vAlign w:val="center"/>
                </w:tcPr>
                <w:p w14:paraId="2A1656AD">
                  <w:pPr>
                    <w:pStyle w:val="47"/>
                    <w:jc w:val="center"/>
                    <w:rPr>
                      <w:b/>
                      <w:sz w:val="21"/>
                    </w:rPr>
                  </w:pPr>
                </w:p>
              </w:tc>
            </w:tr>
          </w:tbl>
          <w:p w14:paraId="3DDB9243">
            <w:pPr>
              <w:adjustRightInd w:val="0"/>
              <w:snapToGrid w:val="0"/>
              <w:spacing w:before="120" w:beforeLines="50" w:line="360" w:lineRule="auto"/>
              <w:ind w:firstLine="482" w:firstLineChars="200"/>
              <w:rPr>
                <w:b/>
                <w:sz w:val="24"/>
              </w:rPr>
            </w:pPr>
            <w:r>
              <w:rPr>
                <w:b/>
                <w:sz w:val="24"/>
              </w:rPr>
              <w:t>2、废水</w:t>
            </w:r>
          </w:p>
          <w:p w14:paraId="2B86D9A6">
            <w:pPr>
              <w:spacing w:line="360" w:lineRule="auto"/>
              <w:ind w:firstLine="480" w:firstLineChars="200"/>
              <w:rPr>
                <w:bCs/>
                <w:kern w:val="0"/>
                <w:sz w:val="24"/>
              </w:rPr>
            </w:pPr>
            <w:r>
              <w:rPr>
                <w:rFonts w:hint="eastAsia"/>
                <w:bCs/>
                <w:sz w:val="24"/>
              </w:rPr>
              <w:t>改扩建</w:t>
            </w:r>
            <w:r>
              <w:rPr>
                <w:bCs/>
                <w:sz w:val="24"/>
              </w:rPr>
              <w:t>项目</w:t>
            </w:r>
            <w:r>
              <w:rPr>
                <w:rFonts w:hint="eastAsia"/>
                <w:bCs/>
                <w:sz w:val="24"/>
              </w:rPr>
              <w:t>无生产</w:t>
            </w:r>
            <w:r>
              <w:rPr>
                <w:bCs/>
                <w:sz w:val="24"/>
              </w:rPr>
              <w:t>废水</w:t>
            </w:r>
            <w:r>
              <w:rPr>
                <w:rFonts w:hint="eastAsia"/>
                <w:bCs/>
                <w:sz w:val="24"/>
              </w:rPr>
              <w:t>外排。冷凝系统冷凝水、锅炉排污水和软化浓水均回用于现有项目蒸炒，</w:t>
            </w:r>
            <w:r>
              <w:rPr>
                <w:bCs/>
                <w:sz w:val="24"/>
              </w:rPr>
              <w:t>生活污水</w:t>
            </w:r>
            <w:r>
              <w:rPr>
                <w:rFonts w:hint="eastAsia"/>
                <w:bCs/>
                <w:sz w:val="24"/>
              </w:rPr>
              <w:t>依托厂区现有“微生物处理</w:t>
            </w:r>
            <w:r>
              <w:rPr>
                <w:bCs/>
                <w:sz w:val="24"/>
              </w:rPr>
              <w:t>+</w:t>
            </w:r>
            <w:r>
              <w:rPr>
                <w:rFonts w:hint="eastAsia"/>
                <w:bCs/>
                <w:sz w:val="24"/>
              </w:rPr>
              <w:t>人工湿地”系统处理，参照现有项目生活污水排放标准，生活污水处理</w:t>
            </w:r>
            <w:r>
              <w:rPr>
                <w:rFonts w:hint="eastAsia"/>
                <w:bCs/>
                <w:sz w:val="24"/>
                <w:szCs w:val="24"/>
              </w:rPr>
              <w:t>达到《城镇污水处理厂污染物排放标准》</w:t>
            </w:r>
            <w:r>
              <w:rPr>
                <w:bCs/>
                <w:sz w:val="24"/>
                <w:szCs w:val="24"/>
              </w:rPr>
              <w:t>(GB18918-2002)</w:t>
            </w:r>
            <w:r>
              <w:rPr>
                <w:rFonts w:hint="eastAsia"/>
                <w:bCs/>
                <w:sz w:val="24"/>
                <w:szCs w:val="24"/>
              </w:rPr>
              <w:t>二级标准及广东省《水污染物排放限值》</w:t>
            </w:r>
            <w:r>
              <w:rPr>
                <w:bCs/>
                <w:sz w:val="24"/>
                <w:szCs w:val="24"/>
              </w:rPr>
              <w:t>(DB44/26-2001)</w:t>
            </w:r>
            <w:r>
              <w:rPr>
                <w:rFonts w:hint="eastAsia"/>
                <w:bCs/>
                <w:sz w:val="24"/>
                <w:szCs w:val="24"/>
              </w:rPr>
              <w:t>第二时段二级标准</w:t>
            </w:r>
            <w:r>
              <w:rPr>
                <w:bCs/>
                <w:sz w:val="24"/>
                <w:szCs w:val="24"/>
              </w:rPr>
              <w:t>（</w:t>
            </w:r>
            <w:r>
              <w:rPr>
                <w:rFonts w:hint="eastAsia"/>
                <w:bCs/>
                <w:sz w:val="24"/>
                <w:szCs w:val="24"/>
              </w:rPr>
              <w:t>城镇二级污水处理厂</w:t>
            </w:r>
            <w:r>
              <w:rPr>
                <w:bCs/>
                <w:sz w:val="24"/>
                <w:szCs w:val="24"/>
              </w:rPr>
              <w:t>）</w:t>
            </w:r>
            <w:r>
              <w:rPr>
                <w:rFonts w:hint="eastAsia"/>
                <w:bCs/>
                <w:sz w:val="24"/>
                <w:szCs w:val="24"/>
              </w:rPr>
              <w:t>较严者后，用于山林灌溉。</w:t>
            </w:r>
            <w:r>
              <w:rPr>
                <w:bCs/>
                <w:kern w:val="0"/>
                <w:sz w:val="24"/>
              </w:rPr>
              <w:t>具体</w:t>
            </w:r>
            <w:r>
              <w:rPr>
                <w:rFonts w:hint="eastAsia"/>
                <w:bCs/>
                <w:kern w:val="0"/>
                <w:sz w:val="24"/>
              </w:rPr>
              <w:t>控制限值见表3-7</w:t>
            </w:r>
            <w:r>
              <w:rPr>
                <w:bCs/>
                <w:kern w:val="0"/>
                <w:sz w:val="24"/>
              </w:rPr>
              <w:t>。</w:t>
            </w:r>
          </w:p>
          <w:p w14:paraId="6F588FD1">
            <w:pPr>
              <w:pStyle w:val="12"/>
              <w:ind w:left="0" w:leftChars="0" w:firstLine="0" w:firstLineChars="0"/>
              <w:jc w:val="center"/>
              <w:rPr>
                <w:b/>
              </w:rPr>
            </w:pPr>
            <w:r>
              <w:rPr>
                <w:b/>
              </w:rPr>
              <w:t>表3-</w:t>
            </w:r>
            <w:r>
              <w:rPr>
                <w:rFonts w:hint="eastAsia"/>
                <w:b/>
              </w:rPr>
              <w:t>7</w:t>
            </w:r>
            <w:r>
              <w:rPr>
                <w:b/>
              </w:rPr>
              <w:t xml:space="preserve"> </w:t>
            </w:r>
            <w:r>
              <w:rPr>
                <w:rFonts w:hint="eastAsia"/>
                <w:b/>
              </w:rPr>
              <w:t>生活污水控制</w:t>
            </w:r>
            <w:r>
              <w:rPr>
                <w:b/>
              </w:rPr>
              <w:t>标准（mg/L</w:t>
            </w:r>
            <w:r>
              <w:rPr>
                <w:rFonts w:hint="eastAsia"/>
                <w:b/>
              </w:rPr>
              <w:t>，</w:t>
            </w:r>
            <w:r>
              <w:rPr>
                <w:b/>
              </w:rPr>
              <w:t>pH</w:t>
            </w:r>
            <w:r>
              <w:rPr>
                <w:rFonts w:hint="eastAsia"/>
                <w:b/>
              </w:rPr>
              <w:t>值</w:t>
            </w:r>
            <w:r>
              <w:rPr>
                <w:b/>
              </w:rPr>
              <w:t>无量纲）</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599"/>
              <w:gridCol w:w="726"/>
              <w:gridCol w:w="726"/>
              <w:gridCol w:w="874"/>
              <w:gridCol w:w="580"/>
              <w:gridCol w:w="726"/>
              <w:gridCol w:w="1478"/>
            </w:tblGrid>
            <w:tr w14:paraId="6E7B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066" w:type="pct"/>
                  <w:vMerge w:val="restart"/>
                  <w:vAlign w:val="center"/>
                </w:tcPr>
                <w:p w14:paraId="33922EF3">
                  <w:pPr>
                    <w:pStyle w:val="49"/>
                  </w:pPr>
                  <w:r>
                    <w:rPr>
                      <w:rFonts w:hint="eastAsia"/>
                    </w:rPr>
                    <w:t>标准名称</w:t>
                  </w:r>
                </w:p>
              </w:tc>
              <w:tc>
                <w:tcPr>
                  <w:tcW w:w="2934" w:type="pct"/>
                  <w:gridSpan w:val="6"/>
                  <w:vAlign w:val="center"/>
                </w:tcPr>
                <w:p w14:paraId="42B9D707">
                  <w:pPr>
                    <w:pStyle w:val="49"/>
                  </w:pPr>
                  <w:r>
                    <w:rPr>
                      <w:rFonts w:hint="eastAsia"/>
                    </w:rPr>
                    <w:t>污染物</w:t>
                  </w:r>
                </w:p>
              </w:tc>
            </w:tr>
            <w:tr w14:paraId="20889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066" w:type="pct"/>
                  <w:vMerge w:val="continue"/>
                  <w:vAlign w:val="center"/>
                </w:tcPr>
                <w:p w14:paraId="1A27D15B">
                  <w:pPr>
                    <w:pStyle w:val="49"/>
                  </w:pPr>
                </w:p>
              </w:tc>
              <w:tc>
                <w:tcPr>
                  <w:tcW w:w="417" w:type="pct"/>
                  <w:vAlign w:val="center"/>
                </w:tcPr>
                <w:p w14:paraId="04973F58">
                  <w:pPr>
                    <w:pStyle w:val="49"/>
                  </w:pPr>
                  <w:r>
                    <w:t>COD</w:t>
                  </w:r>
                  <w:r>
                    <w:rPr>
                      <w:rFonts w:hint="eastAsia"/>
                      <w:vertAlign w:val="subscript"/>
                    </w:rPr>
                    <w:t>cr</w:t>
                  </w:r>
                </w:p>
              </w:tc>
              <w:tc>
                <w:tcPr>
                  <w:tcW w:w="417" w:type="pct"/>
                  <w:vAlign w:val="center"/>
                </w:tcPr>
                <w:p w14:paraId="3965B7AF">
                  <w:pPr>
                    <w:pStyle w:val="49"/>
                  </w:pPr>
                  <w:r>
                    <w:t>BOD</w:t>
                  </w:r>
                  <w:r>
                    <w:rPr>
                      <w:vertAlign w:val="subscript"/>
                    </w:rPr>
                    <w:t>5</w:t>
                  </w:r>
                </w:p>
              </w:tc>
              <w:tc>
                <w:tcPr>
                  <w:tcW w:w="502" w:type="pct"/>
                  <w:vAlign w:val="center"/>
                </w:tcPr>
                <w:p w14:paraId="0E448E91">
                  <w:pPr>
                    <w:pStyle w:val="49"/>
                  </w:pPr>
                  <w:r>
                    <w:t>NH</w:t>
                  </w:r>
                  <w:r>
                    <w:rPr>
                      <w:vertAlign w:val="subscript"/>
                    </w:rPr>
                    <w:t>3</w:t>
                  </w:r>
                  <w:r>
                    <w:t>-N</w:t>
                  </w:r>
                </w:p>
              </w:tc>
              <w:tc>
                <w:tcPr>
                  <w:tcW w:w="333" w:type="pct"/>
                  <w:vAlign w:val="center"/>
                </w:tcPr>
                <w:p w14:paraId="771E09EB">
                  <w:pPr>
                    <w:pStyle w:val="49"/>
                  </w:pPr>
                  <w:r>
                    <w:t>SS</w:t>
                  </w:r>
                </w:p>
              </w:tc>
              <w:tc>
                <w:tcPr>
                  <w:tcW w:w="417" w:type="pct"/>
                  <w:vAlign w:val="center"/>
                </w:tcPr>
                <w:p w14:paraId="566F73E1">
                  <w:pPr>
                    <w:pStyle w:val="49"/>
                    <w:rPr>
                      <w:szCs w:val="18"/>
                    </w:rPr>
                  </w:pPr>
                  <w:r>
                    <w:rPr>
                      <w:szCs w:val="18"/>
                    </w:rPr>
                    <w:t>pH</w:t>
                  </w:r>
                  <w:r>
                    <w:rPr>
                      <w:rFonts w:hint="eastAsia"/>
                      <w:szCs w:val="18"/>
                    </w:rPr>
                    <w:t>值</w:t>
                  </w:r>
                </w:p>
              </w:tc>
              <w:tc>
                <w:tcPr>
                  <w:tcW w:w="847" w:type="pct"/>
                  <w:vAlign w:val="center"/>
                </w:tcPr>
                <w:p w14:paraId="5B1DC7D8">
                  <w:pPr>
                    <w:pStyle w:val="49"/>
                  </w:pPr>
                  <w:r>
                    <w:t>TP</w:t>
                  </w:r>
                </w:p>
              </w:tc>
            </w:tr>
            <w:tr w14:paraId="7D235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066" w:type="pct"/>
                  <w:vAlign w:val="center"/>
                </w:tcPr>
                <w:p w14:paraId="417E38E1">
                  <w:pPr>
                    <w:pStyle w:val="49"/>
                  </w:pPr>
                  <w:r>
                    <w:t>《城镇污水处理厂污染物排放标准》（GB18918-2002）</w:t>
                  </w:r>
                  <w:r>
                    <w:rPr>
                      <w:rFonts w:hint="eastAsia"/>
                    </w:rPr>
                    <w:t>二</w:t>
                  </w:r>
                  <w:r>
                    <w:t>级</w:t>
                  </w:r>
                </w:p>
              </w:tc>
              <w:tc>
                <w:tcPr>
                  <w:tcW w:w="417" w:type="pct"/>
                  <w:vAlign w:val="center"/>
                </w:tcPr>
                <w:p w14:paraId="2258D7EF">
                  <w:pPr>
                    <w:pStyle w:val="49"/>
                  </w:pPr>
                  <w:r>
                    <w:rPr>
                      <w:rFonts w:hint="eastAsia"/>
                    </w:rPr>
                    <w:t>100</w:t>
                  </w:r>
                </w:p>
              </w:tc>
              <w:tc>
                <w:tcPr>
                  <w:tcW w:w="417" w:type="pct"/>
                  <w:vAlign w:val="center"/>
                </w:tcPr>
                <w:p w14:paraId="4560B2DB">
                  <w:pPr>
                    <w:pStyle w:val="49"/>
                  </w:pPr>
                  <w:r>
                    <w:rPr>
                      <w:rFonts w:hint="eastAsia"/>
                    </w:rPr>
                    <w:t>30</w:t>
                  </w:r>
                </w:p>
              </w:tc>
              <w:tc>
                <w:tcPr>
                  <w:tcW w:w="502" w:type="pct"/>
                  <w:vAlign w:val="center"/>
                </w:tcPr>
                <w:p w14:paraId="29BA5CE4">
                  <w:pPr>
                    <w:pStyle w:val="49"/>
                  </w:pPr>
                  <w:r>
                    <w:rPr>
                      <w:rFonts w:hint="eastAsia"/>
                    </w:rPr>
                    <w:t>25</w:t>
                  </w:r>
                </w:p>
              </w:tc>
              <w:tc>
                <w:tcPr>
                  <w:tcW w:w="333" w:type="pct"/>
                  <w:vAlign w:val="center"/>
                </w:tcPr>
                <w:p w14:paraId="6D8A6ECB">
                  <w:pPr>
                    <w:pStyle w:val="49"/>
                  </w:pPr>
                  <w:r>
                    <w:rPr>
                      <w:rFonts w:hint="eastAsia"/>
                    </w:rPr>
                    <w:t>30</w:t>
                  </w:r>
                </w:p>
              </w:tc>
              <w:tc>
                <w:tcPr>
                  <w:tcW w:w="417" w:type="pct"/>
                  <w:vAlign w:val="center"/>
                </w:tcPr>
                <w:p w14:paraId="72C94506">
                  <w:pPr>
                    <w:pStyle w:val="49"/>
                  </w:pPr>
                  <w:r>
                    <w:t>6-9</w:t>
                  </w:r>
                </w:p>
              </w:tc>
              <w:tc>
                <w:tcPr>
                  <w:tcW w:w="847" w:type="pct"/>
                  <w:vAlign w:val="center"/>
                </w:tcPr>
                <w:p w14:paraId="306711D1">
                  <w:pPr>
                    <w:pStyle w:val="49"/>
                  </w:pPr>
                  <w:r>
                    <w:rPr>
                      <w:rFonts w:hint="eastAsia"/>
                    </w:rPr>
                    <w:t>3</w:t>
                  </w:r>
                </w:p>
              </w:tc>
            </w:tr>
            <w:tr w14:paraId="3244B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066" w:type="pct"/>
                  <w:vAlign w:val="center"/>
                </w:tcPr>
                <w:p w14:paraId="57D83D9B">
                  <w:pPr>
                    <w:pStyle w:val="49"/>
                  </w:pPr>
                  <w:r>
                    <w:t>广东省《水污染物排放限值》（DB44/26-2001）第二时段</w:t>
                  </w:r>
                  <w:r>
                    <w:rPr>
                      <w:rFonts w:hint="eastAsia"/>
                    </w:rPr>
                    <w:t>二</w:t>
                  </w:r>
                  <w:r>
                    <w:t>级标准</w:t>
                  </w:r>
                </w:p>
              </w:tc>
              <w:tc>
                <w:tcPr>
                  <w:tcW w:w="417" w:type="pct"/>
                  <w:vAlign w:val="center"/>
                </w:tcPr>
                <w:p w14:paraId="1DC0483D">
                  <w:pPr>
                    <w:pStyle w:val="49"/>
                  </w:pPr>
                  <w:r>
                    <w:rPr>
                      <w:rFonts w:hint="eastAsia"/>
                    </w:rPr>
                    <w:t>60</w:t>
                  </w:r>
                </w:p>
              </w:tc>
              <w:tc>
                <w:tcPr>
                  <w:tcW w:w="417" w:type="pct"/>
                  <w:vAlign w:val="center"/>
                </w:tcPr>
                <w:p w14:paraId="74A01955">
                  <w:pPr>
                    <w:pStyle w:val="49"/>
                  </w:pPr>
                  <w:r>
                    <w:rPr>
                      <w:rFonts w:hint="eastAsia"/>
                    </w:rPr>
                    <w:t>30</w:t>
                  </w:r>
                </w:p>
              </w:tc>
              <w:tc>
                <w:tcPr>
                  <w:tcW w:w="502" w:type="pct"/>
                  <w:vAlign w:val="center"/>
                </w:tcPr>
                <w:p w14:paraId="3CF8D587">
                  <w:pPr>
                    <w:pStyle w:val="49"/>
                  </w:pPr>
                  <w:r>
                    <w:rPr>
                      <w:rFonts w:hint="eastAsia"/>
                    </w:rPr>
                    <w:t>15</w:t>
                  </w:r>
                </w:p>
              </w:tc>
              <w:tc>
                <w:tcPr>
                  <w:tcW w:w="333" w:type="pct"/>
                  <w:vAlign w:val="center"/>
                </w:tcPr>
                <w:p w14:paraId="31247B6E">
                  <w:pPr>
                    <w:pStyle w:val="49"/>
                  </w:pPr>
                  <w:r>
                    <w:rPr>
                      <w:rFonts w:hint="eastAsia"/>
                    </w:rPr>
                    <w:t>30</w:t>
                  </w:r>
                </w:p>
              </w:tc>
              <w:tc>
                <w:tcPr>
                  <w:tcW w:w="417" w:type="pct"/>
                  <w:vAlign w:val="center"/>
                </w:tcPr>
                <w:p w14:paraId="5F9FE734">
                  <w:pPr>
                    <w:pStyle w:val="49"/>
                  </w:pPr>
                  <w:r>
                    <w:t>6-9</w:t>
                  </w:r>
                </w:p>
              </w:tc>
              <w:tc>
                <w:tcPr>
                  <w:tcW w:w="847" w:type="pct"/>
                  <w:vAlign w:val="center"/>
                </w:tcPr>
                <w:p w14:paraId="7D514804">
                  <w:pPr>
                    <w:pStyle w:val="49"/>
                  </w:pPr>
                  <w:r>
                    <w:rPr>
                      <w:rFonts w:hint="eastAsia"/>
                    </w:rPr>
                    <w:t>1.0（磷酸盐）</w:t>
                  </w:r>
                </w:p>
              </w:tc>
            </w:tr>
            <w:tr w14:paraId="72664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2066" w:type="pct"/>
                  <w:vAlign w:val="center"/>
                </w:tcPr>
                <w:p w14:paraId="4A5F3AC6">
                  <w:pPr>
                    <w:pStyle w:val="49"/>
                  </w:pPr>
                  <w:r>
                    <w:rPr>
                      <w:rFonts w:hint="eastAsia"/>
                    </w:rPr>
                    <w:t>本项目控制标准</w:t>
                  </w:r>
                </w:p>
              </w:tc>
              <w:tc>
                <w:tcPr>
                  <w:tcW w:w="417" w:type="pct"/>
                  <w:vAlign w:val="center"/>
                </w:tcPr>
                <w:p w14:paraId="425E90E0">
                  <w:pPr>
                    <w:pStyle w:val="49"/>
                  </w:pPr>
                  <w:r>
                    <w:rPr>
                      <w:rFonts w:hint="eastAsia"/>
                    </w:rPr>
                    <w:t>60</w:t>
                  </w:r>
                </w:p>
              </w:tc>
              <w:tc>
                <w:tcPr>
                  <w:tcW w:w="417" w:type="pct"/>
                  <w:vAlign w:val="center"/>
                </w:tcPr>
                <w:p w14:paraId="40E8BE23">
                  <w:pPr>
                    <w:pStyle w:val="49"/>
                  </w:pPr>
                  <w:r>
                    <w:t>30</w:t>
                  </w:r>
                </w:p>
              </w:tc>
              <w:tc>
                <w:tcPr>
                  <w:tcW w:w="502" w:type="pct"/>
                  <w:vAlign w:val="center"/>
                </w:tcPr>
                <w:p w14:paraId="3BD3199C">
                  <w:pPr>
                    <w:pStyle w:val="49"/>
                  </w:pPr>
                  <w:r>
                    <w:rPr>
                      <w:rFonts w:hint="eastAsia"/>
                    </w:rPr>
                    <w:t>15</w:t>
                  </w:r>
                </w:p>
              </w:tc>
              <w:tc>
                <w:tcPr>
                  <w:tcW w:w="333" w:type="pct"/>
                  <w:vAlign w:val="center"/>
                </w:tcPr>
                <w:p w14:paraId="2C8A47CB">
                  <w:pPr>
                    <w:pStyle w:val="49"/>
                  </w:pPr>
                  <w:r>
                    <w:rPr>
                      <w:rFonts w:hint="eastAsia"/>
                    </w:rPr>
                    <w:t>30</w:t>
                  </w:r>
                </w:p>
              </w:tc>
              <w:tc>
                <w:tcPr>
                  <w:tcW w:w="417" w:type="pct"/>
                  <w:vAlign w:val="center"/>
                </w:tcPr>
                <w:p w14:paraId="4FF11395">
                  <w:pPr>
                    <w:pStyle w:val="49"/>
                  </w:pPr>
                  <w:r>
                    <w:t>6-9</w:t>
                  </w:r>
                </w:p>
              </w:tc>
              <w:tc>
                <w:tcPr>
                  <w:tcW w:w="847" w:type="pct"/>
                  <w:vAlign w:val="center"/>
                </w:tcPr>
                <w:p w14:paraId="1C43DC47">
                  <w:pPr>
                    <w:pStyle w:val="49"/>
                  </w:pPr>
                  <w:r>
                    <w:rPr>
                      <w:rFonts w:hint="eastAsia"/>
                    </w:rPr>
                    <w:t>1.0（磷酸盐）</w:t>
                  </w:r>
                </w:p>
              </w:tc>
            </w:tr>
          </w:tbl>
          <w:p w14:paraId="7FFA5ADC">
            <w:pPr>
              <w:spacing w:before="120" w:beforeLines="50" w:line="360" w:lineRule="auto"/>
              <w:ind w:firstLine="480" w:firstLineChars="200"/>
              <w:rPr>
                <w:bCs/>
                <w:kern w:val="0"/>
                <w:sz w:val="24"/>
              </w:rPr>
            </w:pPr>
            <w:r>
              <w:rPr>
                <w:rFonts w:hint="eastAsia"/>
                <w:bCs/>
                <w:sz w:val="24"/>
              </w:rPr>
              <w:t>冷凝系统冷凝水、锅炉排污水和软化浓水执行</w:t>
            </w:r>
            <w:r>
              <w:rPr>
                <w:rFonts w:hint="eastAsia"/>
                <w:bCs/>
                <w:kern w:val="0"/>
                <w:sz w:val="24"/>
              </w:rPr>
              <w:t>《城市污水再生利用工业用水水质》（GB/T19923-2024）中“间冷开式循环冷却水补充水、锅炉补给水、工艺用水、产品用水”标准后回用于</w:t>
            </w:r>
            <w:r>
              <w:rPr>
                <w:rFonts w:hint="eastAsia"/>
                <w:bCs/>
                <w:sz w:val="24"/>
              </w:rPr>
              <w:t>现有项目蒸炒</w:t>
            </w:r>
            <w:r>
              <w:rPr>
                <w:rFonts w:hint="eastAsia"/>
                <w:bCs/>
                <w:kern w:val="0"/>
                <w:sz w:val="24"/>
              </w:rPr>
              <w:t>，不外排。标准限值见表3-8。</w:t>
            </w:r>
          </w:p>
          <w:p w14:paraId="6A2841EA">
            <w:pPr>
              <w:pStyle w:val="12"/>
              <w:spacing w:line="360" w:lineRule="auto"/>
              <w:ind w:left="0" w:leftChars="0" w:firstLine="0" w:firstLineChars="0"/>
              <w:jc w:val="center"/>
              <w:rPr>
                <w:b/>
              </w:rPr>
            </w:pPr>
            <w:r>
              <w:rPr>
                <w:rFonts w:hint="eastAsia"/>
                <w:b/>
              </w:rPr>
              <w:t>表3-8 回用水回用标准限值</w:t>
            </w:r>
            <w:r>
              <w:rPr>
                <w:b/>
              </w:rPr>
              <w:t>（mg/L</w:t>
            </w:r>
            <w:r>
              <w:rPr>
                <w:rFonts w:hint="eastAsia"/>
                <w:b/>
              </w:rPr>
              <w:t>，</w:t>
            </w:r>
            <w:r>
              <w:rPr>
                <w:b/>
              </w:rPr>
              <w:t>pH</w:t>
            </w:r>
            <w:r>
              <w:rPr>
                <w:rFonts w:hint="eastAsia"/>
                <w:b/>
              </w:rPr>
              <w:t>值</w:t>
            </w:r>
            <w:r>
              <w:rPr>
                <w:b/>
              </w:rPr>
              <w:t>无量纲）</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8"/>
              <w:gridCol w:w="1151"/>
              <w:gridCol w:w="902"/>
              <w:gridCol w:w="1090"/>
              <w:gridCol w:w="1036"/>
              <w:gridCol w:w="1151"/>
              <w:gridCol w:w="680"/>
              <w:gridCol w:w="1201"/>
            </w:tblGrid>
            <w:tr w14:paraId="26D54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60" w:type="pct"/>
                  <w:vAlign w:val="center"/>
                </w:tcPr>
                <w:p w14:paraId="3C590F57">
                  <w:pPr>
                    <w:pStyle w:val="49"/>
                  </w:pPr>
                  <w:r>
                    <w:rPr>
                      <w:rFonts w:hint="eastAsia"/>
                    </w:rPr>
                    <w:t>污染物</w:t>
                  </w:r>
                </w:p>
              </w:tc>
              <w:tc>
                <w:tcPr>
                  <w:tcW w:w="661" w:type="pct"/>
                  <w:vAlign w:val="center"/>
                </w:tcPr>
                <w:p w14:paraId="20426B62">
                  <w:pPr>
                    <w:pStyle w:val="49"/>
                  </w:pPr>
                  <w:r>
                    <w:t>pH</w:t>
                  </w:r>
                  <w:r>
                    <w:rPr>
                      <w:rFonts w:hint="eastAsia"/>
                    </w:rPr>
                    <w:t>值</w:t>
                  </w:r>
                </w:p>
              </w:tc>
              <w:tc>
                <w:tcPr>
                  <w:tcW w:w="518" w:type="pct"/>
                  <w:vAlign w:val="center"/>
                </w:tcPr>
                <w:p w14:paraId="29C88A91">
                  <w:pPr>
                    <w:pStyle w:val="49"/>
                  </w:pPr>
                  <w:r>
                    <w:rPr>
                      <w:rFonts w:hint="eastAsia"/>
                    </w:rPr>
                    <w:t>色度</w:t>
                  </w:r>
                </w:p>
              </w:tc>
              <w:tc>
                <w:tcPr>
                  <w:tcW w:w="626" w:type="pct"/>
                  <w:vAlign w:val="center"/>
                </w:tcPr>
                <w:p w14:paraId="3FAE4C8E">
                  <w:pPr>
                    <w:pStyle w:val="49"/>
                  </w:pPr>
                  <w:r>
                    <w:t>COD</w:t>
                  </w:r>
                  <w:r>
                    <w:rPr>
                      <w:rFonts w:hint="eastAsia"/>
                      <w:vertAlign w:val="subscript"/>
                    </w:rPr>
                    <w:t>cr</w:t>
                  </w:r>
                </w:p>
              </w:tc>
              <w:tc>
                <w:tcPr>
                  <w:tcW w:w="595" w:type="pct"/>
                  <w:vAlign w:val="center"/>
                </w:tcPr>
                <w:p w14:paraId="1CBBB629">
                  <w:pPr>
                    <w:pStyle w:val="49"/>
                  </w:pPr>
                  <w:r>
                    <w:t>BOD</w:t>
                  </w:r>
                  <w:r>
                    <w:rPr>
                      <w:vertAlign w:val="subscript"/>
                    </w:rPr>
                    <w:t>5</w:t>
                  </w:r>
                </w:p>
              </w:tc>
              <w:tc>
                <w:tcPr>
                  <w:tcW w:w="661" w:type="pct"/>
                  <w:vAlign w:val="center"/>
                </w:tcPr>
                <w:p w14:paraId="6847FCD0">
                  <w:pPr>
                    <w:pStyle w:val="49"/>
                  </w:pPr>
                  <w:r>
                    <w:t>NH</w:t>
                  </w:r>
                  <w:r>
                    <w:rPr>
                      <w:vertAlign w:val="subscript"/>
                    </w:rPr>
                    <w:t>3</w:t>
                  </w:r>
                  <w:r>
                    <w:t>-N</w:t>
                  </w:r>
                </w:p>
              </w:tc>
              <w:tc>
                <w:tcPr>
                  <w:tcW w:w="390" w:type="pct"/>
                  <w:vAlign w:val="center"/>
                </w:tcPr>
                <w:p w14:paraId="0EA03BB2">
                  <w:pPr>
                    <w:pStyle w:val="49"/>
                  </w:pPr>
                  <w:r>
                    <w:t>TP</w:t>
                  </w:r>
                </w:p>
              </w:tc>
              <w:tc>
                <w:tcPr>
                  <w:tcW w:w="689" w:type="pct"/>
                  <w:vAlign w:val="center"/>
                </w:tcPr>
                <w:p w14:paraId="2CBAA110">
                  <w:pPr>
                    <w:pStyle w:val="49"/>
                  </w:pPr>
                  <w:r>
                    <w:rPr>
                      <w:rFonts w:hint="eastAsia"/>
                    </w:rPr>
                    <w:t>石油类</w:t>
                  </w:r>
                </w:p>
              </w:tc>
            </w:tr>
            <w:tr w14:paraId="18F10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60" w:type="pct"/>
                  <w:vAlign w:val="center"/>
                </w:tcPr>
                <w:p w14:paraId="3AA2CB96">
                  <w:pPr>
                    <w:pStyle w:val="49"/>
                  </w:pPr>
                  <w:r>
                    <w:rPr>
                      <w:rFonts w:hint="eastAsia"/>
                    </w:rPr>
                    <w:t>标准限值</w:t>
                  </w:r>
                </w:p>
              </w:tc>
              <w:tc>
                <w:tcPr>
                  <w:tcW w:w="661" w:type="pct"/>
                  <w:vAlign w:val="center"/>
                </w:tcPr>
                <w:p w14:paraId="3BC4D24B">
                  <w:pPr>
                    <w:pStyle w:val="49"/>
                  </w:pPr>
                  <w:r>
                    <w:t>6</w:t>
                  </w:r>
                  <w:r>
                    <w:rPr>
                      <w:rFonts w:hint="eastAsia"/>
                    </w:rPr>
                    <w:t>.0</w:t>
                  </w:r>
                  <w:r>
                    <w:t>-9</w:t>
                  </w:r>
                  <w:r>
                    <w:rPr>
                      <w:rFonts w:hint="eastAsia"/>
                    </w:rPr>
                    <w:t>.0</w:t>
                  </w:r>
                </w:p>
              </w:tc>
              <w:tc>
                <w:tcPr>
                  <w:tcW w:w="518" w:type="pct"/>
                  <w:vAlign w:val="center"/>
                </w:tcPr>
                <w:p w14:paraId="683E774F">
                  <w:pPr>
                    <w:pStyle w:val="49"/>
                  </w:pPr>
                  <w:r>
                    <w:rPr>
                      <w:rFonts w:hint="eastAsia"/>
                    </w:rPr>
                    <w:t>20</w:t>
                  </w:r>
                </w:p>
              </w:tc>
              <w:tc>
                <w:tcPr>
                  <w:tcW w:w="626" w:type="pct"/>
                  <w:vAlign w:val="center"/>
                </w:tcPr>
                <w:p w14:paraId="126910C9">
                  <w:pPr>
                    <w:pStyle w:val="49"/>
                  </w:pPr>
                  <w:r>
                    <w:t>50</w:t>
                  </w:r>
                </w:p>
              </w:tc>
              <w:tc>
                <w:tcPr>
                  <w:tcW w:w="595" w:type="pct"/>
                  <w:vAlign w:val="center"/>
                </w:tcPr>
                <w:p w14:paraId="63B5B9F2">
                  <w:pPr>
                    <w:pStyle w:val="49"/>
                  </w:pPr>
                  <w:r>
                    <w:rPr>
                      <w:rFonts w:hint="eastAsia"/>
                    </w:rPr>
                    <w:t>10</w:t>
                  </w:r>
                </w:p>
              </w:tc>
              <w:tc>
                <w:tcPr>
                  <w:tcW w:w="661" w:type="pct"/>
                  <w:vAlign w:val="center"/>
                </w:tcPr>
                <w:p w14:paraId="4DAB6B54">
                  <w:pPr>
                    <w:pStyle w:val="49"/>
                  </w:pPr>
                  <w:r>
                    <w:rPr>
                      <w:rFonts w:hint="eastAsia"/>
                    </w:rPr>
                    <w:t>5</w:t>
                  </w:r>
                </w:p>
              </w:tc>
              <w:tc>
                <w:tcPr>
                  <w:tcW w:w="390" w:type="pct"/>
                  <w:vAlign w:val="center"/>
                </w:tcPr>
                <w:p w14:paraId="1D87638B">
                  <w:pPr>
                    <w:pStyle w:val="49"/>
                  </w:pPr>
                  <w:r>
                    <w:rPr>
                      <w:rFonts w:hint="eastAsia"/>
                    </w:rPr>
                    <w:t>0.5</w:t>
                  </w:r>
                </w:p>
              </w:tc>
              <w:tc>
                <w:tcPr>
                  <w:tcW w:w="689" w:type="pct"/>
                  <w:vAlign w:val="center"/>
                </w:tcPr>
                <w:p w14:paraId="44415D5E">
                  <w:pPr>
                    <w:pStyle w:val="49"/>
                  </w:pPr>
                  <w:r>
                    <w:rPr>
                      <w:rFonts w:hint="eastAsia"/>
                    </w:rPr>
                    <w:t>1.0</w:t>
                  </w:r>
                </w:p>
              </w:tc>
            </w:tr>
          </w:tbl>
          <w:p w14:paraId="5FAE8CBC">
            <w:pPr>
              <w:spacing w:before="120" w:beforeLines="50" w:line="360" w:lineRule="auto"/>
              <w:ind w:firstLine="482" w:firstLineChars="200"/>
              <w:rPr>
                <w:b/>
                <w:kern w:val="0"/>
                <w:sz w:val="24"/>
              </w:rPr>
            </w:pPr>
            <w:r>
              <w:rPr>
                <w:b/>
                <w:kern w:val="0"/>
                <w:sz w:val="24"/>
              </w:rPr>
              <w:t>3、噪声</w:t>
            </w:r>
          </w:p>
          <w:p w14:paraId="4659F983">
            <w:pPr>
              <w:adjustRightInd w:val="0"/>
              <w:snapToGrid w:val="0"/>
              <w:spacing w:line="360" w:lineRule="auto"/>
              <w:ind w:firstLine="480" w:firstLineChars="200"/>
              <w:rPr>
                <w:sz w:val="24"/>
                <w:szCs w:val="24"/>
              </w:rPr>
            </w:pPr>
            <w:r>
              <w:rPr>
                <w:sz w:val="24"/>
                <w:szCs w:val="24"/>
              </w:rPr>
              <w:t>项目运营期厂界噪声执行《工业企业厂界环境噪声排放标准》（GB12348-2008）中的</w:t>
            </w:r>
            <w:r>
              <w:rPr>
                <w:rFonts w:hint="eastAsia"/>
                <w:sz w:val="24"/>
                <w:szCs w:val="24"/>
              </w:rPr>
              <w:t>2</w:t>
            </w:r>
            <w:r>
              <w:rPr>
                <w:sz w:val="24"/>
                <w:szCs w:val="24"/>
              </w:rPr>
              <w:t>类标准（</w:t>
            </w:r>
            <w:r>
              <w:rPr>
                <w:rFonts w:hint="eastAsia"/>
                <w:sz w:val="24"/>
                <w:szCs w:val="24"/>
              </w:rPr>
              <w:t>即</w:t>
            </w:r>
            <w:r>
              <w:rPr>
                <w:sz w:val="24"/>
                <w:szCs w:val="24"/>
              </w:rPr>
              <w:t>昼间≤</w:t>
            </w:r>
            <w:r>
              <w:rPr>
                <w:rFonts w:hint="eastAsia"/>
                <w:sz w:val="24"/>
                <w:szCs w:val="24"/>
              </w:rPr>
              <w:t>60</w:t>
            </w:r>
            <w:r>
              <w:rPr>
                <w:sz w:val="24"/>
                <w:szCs w:val="24"/>
              </w:rPr>
              <w:t>dB(A)，夜间≤</w:t>
            </w:r>
            <w:r>
              <w:rPr>
                <w:rFonts w:hint="eastAsia"/>
                <w:sz w:val="24"/>
                <w:szCs w:val="24"/>
              </w:rPr>
              <w:t>50</w:t>
            </w:r>
            <w:r>
              <w:rPr>
                <w:sz w:val="24"/>
                <w:szCs w:val="24"/>
              </w:rPr>
              <w:t>dB(A)）。</w:t>
            </w:r>
          </w:p>
          <w:p w14:paraId="04C6020A">
            <w:pPr>
              <w:adjustRightInd w:val="0"/>
              <w:snapToGrid w:val="0"/>
              <w:spacing w:line="360" w:lineRule="auto"/>
              <w:ind w:firstLine="482" w:firstLineChars="200"/>
              <w:rPr>
                <w:b/>
                <w:sz w:val="24"/>
              </w:rPr>
            </w:pPr>
            <w:r>
              <w:rPr>
                <w:b/>
                <w:sz w:val="24"/>
              </w:rPr>
              <w:t>4、固体废物</w:t>
            </w:r>
          </w:p>
          <w:p w14:paraId="3B48FF3E">
            <w:pPr>
              <w:adjustRightInd w:val="0"/>
              <w:snapToGrid w:val="0"/>
              <w:spacing w:line="360" w:lineRule="auto"/>
              <w:ind w:firstLine="480" w:firstLineChars="200"/>
              <w:rPr>
                <w:kern w:val="0"/>
                <w:sz w:val="24"/>
              </w:rPr>
            </w:pPr>
            <w:r>
              <w:rPr>
                <w:rFonts w:hint="eastAsia"/>
                <w:sz w:val="24"/>
                <w:szCs w:val="24"/>
              </w:rPr>
              <w:t>一般</w:t>
            </w:r>
            <w:r>
              <w:rPr>
                <w:sz w:val="24"/>
                <w:szCs w:val="24"/>
              </w:rPr>
              <w:t>固体废物管理应遵循《中华人民共和国固体废物污染环境防治法》、《广东省固体废物污染环境防治条例》。危险废物执行《危险废物贮存污染控制标准》（GB18597-2023）和《国家危险废物名录（</w:t>
            </w:r>
            <w:r>
              <w:rPr>
                <w:rFonts w:hint="eastAsia"/>
                <w:sz w:val="24"/>
                <w:szCs w:val="24"/>
              </w:rPr>
              <w:t>2025</w:t>
            </w:r>
            <w:r>
              <w:rPr>
                <w:sz w:val="24"/>
                <w:szCs w:val="24"/>
              </w:rPr>
              <w:t>年版）》的有关规定。</w:t>
            </w:r>
            <w:bookmarkEnd w:id="12"/>
          </w:p>
        </w:tc>
      </w:tr>
      <w:tr w14:paraId="7186D9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95" w:hRule="atLeast"/>
          <w:jc w:val="center"/>
        </w:trPr>
        <w:tc>
          <w:tcPr>
            <w:tcW w:w="332" w:type="pct"/>
            <w:vAlign w:val="center"/>
          </w:tcPr>
          <w:p w14:paraId="6B987D65">
            <w:pPr>
              <w:adjustRightInd w:val="0"/>
              <w:snapToGrid w:val="0"/>
              <w:jc w:val="center"/>
              <w:rPr>
                <w:kern w:val="0"/>
                <w:sz w:val="24"/>
              </w:rPr>
            </w:pPr>
            <w:r>
              <w:rPr>
                <w:kern w:val="0"/>
                <w:sz w:val="24"/>
              </w:rPr>
              <w:t>总量</w:t>
            </w:r>
          </w:p>
          <w:p w14:paraId="540F8E4A">
            <w:pPr>
              <w:adjustRightInd w:val="0"/>
              <w:snapToGrid w:val="0"/>
              <w:jc w:val="center"/>
              <w:rPr>
                <w:kern w:val="0"/>
                <w:sz w:val="24"/>
              </w:rPr>
            </w:pPr>
            <w:r>
              <w:rPr>
                <w:kern w:val="0"/>
                <w:sz w:val="24"/>
              </w:rPr>
              <w:t>控制</w:t>
            </w:r>
          </w:p>
          <w:p w14:paraId="73D29DCC">
            <w:pPr>
              <w:adjustRightInd w:val="0"/>
              <w:snapToGrid w:val="0"/>
              <w:jc w:val="center"/>
              <w:rPr>
                <w:kern w:val="0"/>
              </w:rPr>
            </w:pPr>
            <w:r>
              <w:rPr>
                <w:kern w:val="0"/>
                <w:sz w:val="24"/>
              </w:rPr>
              <w:t>指标</w:t>
            </w:r>
          </w:p>
        </w:tc>
        <w:tc>
          <w:tcPr>
            <w:tcW w:w="4668" w:type="pct"/>
          </w:tcPr>
          <w:p w14:paraId="757F2E5E">
            <w:pPr>
              <w:adjustRightInd w:val="0"/>
              <w:snapToGrid w:val="0"/>
              <w:spacing w:before="120" w:beforeLines="50" w:line="360" w:lineRule="auto"/>
              <w:ind w:firstLine="480" w:firstLineChars="200"/>
              <w:rPr>
                <w:sz w:val="24"/>
                <w:szCs w:val="24"/>
              </w:rPr>
            </w:pPr>
            <w:r>
              <w:rPr>
                <w:rFonts w:hint="eastAsia"/>
                <w:sz w:val="24"/>
                <w:szCs w:val="24"/>
              </w:rPr>
              <w:t>改扩建项目</w:t>
            </w:r>
            <w:r>
              <w:rPr>
                <w:sz w:val="24"/>
                <w:szCs w:val="24"/>
              </w:rPr>
              <w:t>污染物排放总量控制指标建议</w:t>
            </w:r>
            <w:r>
              <w:rPr>
                <w:rFonts w:hint="eastAsia"/>
                <w:sz w:val="24"/>
                <w:szCs w:val="24"/>
              </w:rPr>
              <w:t>值见表3-9。</w:t>
            </w:r>
          </w:p>
          <w:p w14:paraId="2B22D5DE">
            <w:pPr>
              <w:pStyle w:val="12"/>
              <w:spacing w:line="360" w:lineRule="auto"/>
              <w:ind w:left="0" w:leftChars="0" w:firstLine="0" w:firstLineChars="0"/>
              <w:jc w:val="center"/>
              <w:rPr>
                <w:b/>
              </w:rPr>
            </w:pPr>
            <w:r>
              <w:rPr>
                <w:b/>
              </w:rPr>
              <w:t>表</w:t>
            </w:r>
            <w:r>
              <w:rPr>
                <w:rFonts w:hint="eastAsia"/>
                <w:b/>
              </w:rPr>
              <w:t>3-9</w:t>
            </w:r>
            <w:r>
              <w:rPr>
                <w:b/>
              </w:rPr>
              <w:t xml:space="preserve"> </w:t>
            </w:r>
            <w:r>
              <w:rPr>
                <w:rFonts w:hint="eastAsia"/>
                <w:b/>
              </w:rPr>
              <w:t>改扩建</w:t>
            </w:r>
            <w:r>
              <w:rPr>
                <w:b/>
              </w:rPr>
              <w:t>项目污染物总量控制指标</w:t>
            </w:r>
            <w:r>
              <w:rPr>
                <w:rFonts w:hint="eastAsia"/>
                <w:b/>
              </w:rPr>
              <w:t>建议值（t/a）</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
              <w:gridCol w:w="763"/>
              <w:gridCol w:w="911"/>
              <w:gridCol w:w="1052"/>
              <w:gridCol w:w="1015"/>
              <w:gridCol w:w="873"/>
              <w:gridCol w:w="1028"/>
              <w:gridCol w:w="2628"/>
            </w:tblGrid>
            <w:tr w14:paraId="5818F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2" w:type="pct"/>
                  <w:vAlign w:val="center"/>
                </w:tcPr>
                <w:p w14:paraId="72737A17">
                  <w:pPr>
                    <w:pStyle w:val="49"/>
                  </w:pPr>
                  <w:r>
                    <w:t>类别</w:t>
                  </w:r>
                </w:p>
              </w:tc>
              <w:tc>
                <w:tcPr>
                  <w:tcW w:w="961" w:type="pct"/>
                  <w:gridSpan w:val="2"/>
                  <w:vAlign w:val="center"/>
                </w:tcPr>
                <w:p w14:paraId="531FB965">
                  <w:pPr>
                    <w:pStyle w:val="49"/>
                  </w:pPr>
                  <w:r>
                    <w:t>污染物名称</w:t>
                  </w:r>
                </w:p>
              </w:tc>
              <w:tc>
                <w:tcPr>
                  <w:tcW w:w="604" w:type="pct"/>
                  <w:vAlign w:val="center"/>
                </w:tcPr>
                <w:p w14:paraId="0318270B">
                  <w:pPr>
                    <w:pStyle w:val="49"/>
                  </w:pPr>
                  <w:r>
                    <w:rPr>
                      <w:rFonts w:hint="eastAsia"/>
                    </w:rPr>
                    <w:t>现有项目许可</w:t>
                  </w:r>
                  <w:r>
                    <w:t>量</w:t>
                  </w:r>
                </w:p>
              </w:tc>
              <w:tc>
                <w:tcPr>
                  <w:tcW w:w="583" w:type="pct"/>
                  <w:vAlign w:val="center"/>
                </w:tcPr>
                <w:p w14:paraId="509E922F">
                  <w:pPr>
                    <w:pStyle w:val="49"/>
                  </w:pPr>
                  <w:r>
                    <w:rPr>
                      <w:rFonts w:hint="eastAsia"/>
                    </w:rPr>
                    <w:t>本项目排放量</w:t>
                  </w:r>
                </w:p>
              </w:tc>
              <w:tc>
                <w:tcPr>
                  <w:tcW w:w="501" w:type="pct"/>
                  <w:vAlign w:val="center"/>
                </w:tcPr>
                <w:p w14:paraId="6E5AEFF6">
                  <w:pPr>
                    <w:pStyle w:val="49"/>
                  </w:pPr>
                  <w:r>
                    <w:rPr>
                      <w:rFonts w:hint="eastAsia"/>
                    </w:rPr>
                    <w:t>削减量</w:t>
                  </w:r>
                </w:p>
              </w:tc>
              <w:tc>
                <w:tcPr>
                  <w:tcW w:w="590" w:type="pct"/>
                  <w:vAlign w:val="center"/>
                </w:tcPr>
                <w:p w14:paraId="31B4ADE0">
                  <w:pPr>
                    <w:pStyle w:val="49"/>
                    <w:rPr>
                      <w:bCs/>
                    </w:rPr>
                  </w:pPr>
                  <w:r>
                    <w:rPr>
                      <w:rFonts w:hint="eastAsia"/>
                      <w:bCs/>
                    </w:rPr>
                    <w:t>本项目申请总量</w:t>
                  </w:r>
                </w:p>
              </w:tc>
              <w:tc>
                <w:tcPr>
                  <w:tcW w:w="1509" w:type="pct"/>
                  <w:vAlign w:val="center"/>
                </w:tcPr>
                <w:p w14:paraId="7B7F2770">
                  <w:pPr>
                    <w:pStyle w:val="49"/>
                  </w:pPr>
                  <w:r>
                    <w:t>备注</w:t>
                  </w:r>
                </w:p>
              </w:tc>
            </w:tr>
            <w:tr w14:paraId="2ECCE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2" w:type="pct"/>
                  <w:vMerge w:val="restart"/>
                  <w:vAlign w:val="center"/>
                </w:tcPr>
                <w:p w14:paraId="5087E131">
                  <w:pPr>
                    <w:pStyle w:val="49"/>
                  </w:pPr>
                  <w:r>
                    <w:rPr>
                      <w:rFonts w:hint="eastAsia"/>
                    </w:rPr>
                    <w:t>废气</w:t>
                  </w:r>
                </w:p>
              </w:tc>
              <w:tc>
                <w:tcPr>
                  <w:tcW w:w="961" w:type="pct"/>
                  <w:gridSpan w:val="2"/>
                  <w:vAlign w:val="center"/>
                </w:tcPr>
                <w:p w14:paraId="07D6FA8F">
                  <w:pPr>
                    <w:pStyle w:val="49"/>
                  </w:pPr>
                  <w:r>
                    <w:rPr>
                      <w:rFonts w:hint="eastAsia"/>
                    </w:rPr>
                    <w:t>颗粒物</w:t>
                  </w:r>
                </w:p>
              </w:tc>
              <w:tc>
                <w:tcPr>
                  <w:tcW w:w="604" w:type="pct"/>
                  <w:vAlign w:val="center"/>
                </w:tcPr>
                <w:p w14:paraId="5D56E6B0">
                  <w:pPr>
                    <w:pStyle w:val="49"/>
                  </w:pPr>
                  <w:r>
                    <w:rPr>
                      <w:rFonts w:hint="eastAsia"/>
                    </w:rPr>
                    <w:t>/</w:t>
                  </w:r>
                </w:p>
              </w:tc>
              <w:tc>
                <w:tcPr>
                  <w:tcW w:w="583" w:type="pct"/>
                  <w:vAlign w:val="center"/>
                </w:tcPr>
                <w:p w14:paraId="69DCC441">
                  <w:pPr>
                    <w:pStyle w:val="49"/>
                    <w:rPr>
                      <w:kern w:val="0"/>
                    </w:rPr>
                  </w:pPr>
                  <w:r>
                    <w:rPr>
                      <w:kern w:val="0"/>
                    </w:rPr>
                    <w:t>0.005</w:t>
                  </w:r>
                </w:p>
              </w:tc>
              <w:tc>
                <w:tcPr>
                  <w:tcW w:w="501" w:type="pct"/>
                  <w:vAlign w:val="center"/>
                </w:tcPr>
                <w:p w14:paraId="5561D50B">
                  <w:pPr>
                    <w:pStyle w:val="49"/>
                    <w:rPr>
                      <w:kern w:val="0"/>
                    </w:rPr>
                  </w:pPr>
                  <w:r>
                    <w:rPr>
                      <w:rFonts w:hint="eastAsia"/>
                      <w:kern w:val="0"/>
                    </w:rPr>
                    <w:t>/</w:t>
                  </w:r>
                </w:p>
              </w:tc>
              <w:tc>
                <w:tcPr>
                  <w:tcW w:w="590" w:type="pct"/>
                  <w:vAlign w:val="center"/>
                </w:tcPr>
                <w:p w14:paraId="2536E243">
                  <w:pPr>
                    <w:pStyle w:val="49"/>
                  </w:pPr>
                  <w:r>
                    <w:rPr>
                      <w:kern w:val="0"/>
                    </w:rPr>
                    <w:t>0.005</w:t>
                  </w:r>
                </w:p>
              </w:tc>
              <w:tc>
                <w:tcPr>
                  <w:tcW w:w="1509" w:type="pct"/>
                  <w:vMerge w:val="restart"/>
                  <w:vAlign w:val="center"/>
                </w:tcPr>
                <w:p w14:paraId="4592E0F5">
                  <w:pPr>
                    <w:pStyle w:val="49"/>
                  </w:pPr>
                  <w:r>
                    <w:rPr>
                      <w:rFonts w:hint="eastAsia"/>
                    </w:rPr>
                    <w:t>改扩建项目拆除现有1台2蒸吨燃生物质成型燃料锅炉，削减现有项目二氧化硫、氮氧化物污染物总量指标。改扩建项目所需总量指标</w:t>
                  </w:r>
                  <w:r>
                    <w:t>由惠州市生态环境局博罗分局调配</w:t>
                  </w:r>
                </w:p>
              </w:tc>
            </w:tr>
            <w:tr w14:paraId="19703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2" w:type="pct"/>
                  <w:vMerge w:val="continue"/>
                  <w:vAlign w:val="center"/>
                </w:tcPr>
                <w:p w14:paraId="06F2C3A3">
                  <w:pPr>
                    <w:pStyle w:val="49"/>
                  </w:pPr>
                </w:p>
              </w:tc>
              <w:tc>
                <w:tcPr>
                  <w:tcW w:w="961" w:type="pct"/>
                  <w:gridSpan w:val="2"/>
                  <w:vAlign w:val="center"/>
                </w:tcPr>
                <w:p w14:paraId="2A47F36C">
                  <w:pPr>
                    <w:pStyle w:val="49"/>
                  </w:pPr>
                  <w:r>
                    <w:rPr>
                      <w:rFonts w:hint="eastAsia"/>
                    </w:rPr>
                    <w:t>二氧化硫</w:t>
                  </w:r>
                </w:p>
              </w:tc>
              <w:tc>
                <w:tcPr>
                  <w:tcW w:w="604" w:type="pct"/>
                  <w:vAlign w:val="center"/>
                </w:tcPr>
                <w:p w14:paraId="25523A59">
                  <w:pPr>
                    <w:pStyle w:val="49"/>
                  </w:pPr>
                  <w:r>
                    <w:rPr>
                      <w:rFonts w:hint="eastAsia" w:cs="宋体"/>
                      <w:kern w:val="0"/>
                      <w:szCs w:val="22"/>
                    </w:rPr>
                    <w:t>0.5</w:t>
                  </w:r>
                </w:p>
              </w:tc>
              <w:tc>
                <w:tcPr>
                  <w:tcW w:w="583" w:type="pct"/>
                  <w:vAlign w:val="center"/>
                </w:tcPr>
                <w:p w14:paraId="5E952014">
                  <w:pPr>
                    <w:pStyle w:val="49"/>
                    <w:rPr>
                      <w:kern w:val="0"/>
                    </w:rPr>
                  </w:pPr>
                  <w:r>
                    <w:rPr>
                      <w:kern w:val="0"/>
                    </w:rPr>
                    <w:t>0.56</w:t>
                  </w:r>
                </w:p>
              </w:tc>
              <w:tc>
                <w:tcPr>
                  <w:tcW w:w="501" w:type="pct"/>
                  <w:vAlign w:val="center"/>
                </w:tcPr>
                <w:p w14:paraId="19FC7E81">
                  <w:pPr>
                    <w:pStyle w:val="49"/>
                    <w:rPr>
                      <w:kern w:val="0"/>
                    </w:rPr>
                  </w:pPr>
                  <w:r>
                    <w:rPr>
                      <w:rFonts w:hint="eastAsia" w:cs="宋体"/>
                      <w:kern w:val="0"/>
                      <w:szCs w:val="22"/>
                    </w:rPr>
                    <w:t>0.5</w:t>
                  </w:r>
                </w:p>
              </w:tc>
              <w:tc>
                <w:tcPr>
                  <w:tcW w:w="590" w:type="pct"/>
                  <w:vAlign w:val="center"/>
                </w:tcPr>
                <w:p w14:paraId="068DC92C">
                  <w:pPr>
                    <w:pStyle w:val="49"/>
                  </w:pPr>
                  <w:r>
                    <w:rPr>
                      <w:kern w:val="0"/>
                    </w:rPr>
                    <w:t>0.56</w:t>
                  </w:r>
                </w:p>
              </w:tc>
              <w:tc>
                <w:tcPr>
                  <w:tcW w:w="1509" w:type="pct"/>
                  <w:vMerge w:val="continue"/>
                  <w:vAlign w:val="center"/>
                </w:tcPr>
                <w:p w14:paraId="086B5A34">
                  <w:pPr>
                    <w:pStyle w:val="49"/>
                  </w:pPr>
                </w:p>
              </w:tc>
            </w:tr>
            <w:tr w14:paraId="3E5CC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2" w:type="pct"/>
                  <w:vMerge w:val="continue"/>
                  <w:vAlign w:val="center"/>
                </w:tcPr>
                <w:p w14:paraId="02499D50">
                  <w:pPr>
                    <w:pStyle w:val="49"/>
                  </w:pPr>
                </w:p>
              </w:tc>
              <w:tc>
                <w:tcPr>
                  <w:tcW w:w="961" w:type="pct"/>
                  <w:gridSpan w:val="2"/>
                  <w:vAlign w:val="center"/>
                </w:tcPr>
                <w:p w14:paraId="5D24B843">
                  <w:pPr>
                    <w:pStyle w:val="49"/>
                  </w:pPr>
                  <w:r>
                    <w:rPr>
                      <w:rFonts w:hint="eastAsia"/>
                    </w:rPr>
                    <w:t>氮氧化物</w:t>
                  </w:r>
                </w:p>
              </w:tc>
              <w:tc>
                <w:tcPr>
                  <w:tcW w:w="604" w:type="pct"/>
                  <w:vAlign w:val="center"/>
                </w:tcPr>
                <w:p w14:paraId="64BDD701">
                  <w:pPr>
                    <w:pStyle w:val="49"/>
                  </w:pPr>
                  <w:r>
                    <w:rPr>
                      <w:rFonts w:hint="eastAsia" w:cs="宋体"/>
                      <w:kern w:val="0"/>
                      <w:szCs w:val="22"/>
                    </w:rPr>
                    <w:t>1.26</w:t>
                  </w:r>
                </w:p>
              </w:tc>
              <w:tc>
                <w:tcPr>
                  <w:tcW w:w="583" w:type="pct"/>
                  <w:vAlign w:val="center"/>
                </w:tcPr>
                <w:p w14:paraId="61EE2B16">
                  <w:pPr>
                    <w:pStyle w:val="49"/>
                    <w:rPr>
                      <w:kern w:val="0"/>
                    </w:rPr>
                  </w:pPr>
                  <w:r>
                    <w:rPr>
                      <w:kern w:val="0"/>
                    </w:rPr>
                    <w:t>0.71</w:t>
                  </w:r>
                </w:p>
              </w:tc>
              <w:tc>
                <w:tcPr>
                  <w:tcW w:w="501" w:type="pct"/>
                  <w:vAlign w:val="center"/>
                </w:tcPr>
                <w:p w14:paraId="08F7D026">
                  <w:pPr>
                    <w:pStyle w:val="49"/>
                    <w:rPr>
                      <w:kern w:val="0"/>
                    </w:rPr>
                  </w:pPr>
                  <w:r>
                    <w:rPr>
                      <w:rFonts w:hint="eastAsia" w:cs="宋体"/>
                      <w:kern w:val="0"/>
                      <w:szCs w:val="22"/>
                    </w:rPr>
                    <w:t>1.26</w:t>
                  </w:r>
                </w:p>
              </w:tc>
              <w:tc>
                <w:tcPr>
                  <w:tcW w:w="590" w:type="pct"/>
                  <w:vAlign w:val="center"/>
                </w:tcPr>
                <w:p w14:paraId="25F8FD86">
                  <w:pPr>
                    <w:pStyle w:val="49"/>
                  </w:pPr>
                  <w:r>
                    <w:rPr>
                      <w:kern w:val="0"/>
                    </w:rPr>
                    <w:t>0.71</w:t>
                  </w:r>
                </w:p>
              </w:tc>
              <w:tc>
                <w:tcPr>
                  <w:tcW w:w="1509" w:type="pct"/>
                  <w:vMerge w:val="continue"/>
                  <w:vAlign w:val="center"/>
                </w:tcPr>
                <w:p w14:paraId="5C22CE9A">
                  <w:pPr>
                    <w:pStyle w:val="49"/>
                  </w:pPr>
                </w:p>
              </w:tc>
            </w:tr>
            <w:tr w14:paraId="113B6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2" w:type="pct"/>
                  <w:vMerge w:val="continue"/>
                  <w:vAlign w:val="center"/>
                </w:tcPr>
                <w:p w14:paraId="08CCBC50">
                  <w:pPr>
                    <w:pStyle w:val="49"/>
                  </w:pPr>
                </w:p>
              </w:tc>
              <w:tc>
                <w:tcPr>
                  <w:tcW w:w="438" w:type="pct"/>
                  <w:vMerge w:val="restart"/>
                  <w:vAlign w:val="center"/>
                </w:tcPr>
                <w:p w14:paraId="31611112">
                  <w:pPr>
                    <w:pStyle w:val="49"/>
                  </w:pPr>
                  <w:r>
                    <w:rPr>
                      <w:rFonts w:hint="eastAsia"/>
                    </w:rPr>
                    <w:t>VOCs</w:t>
                  </w:r>
                </w:p>
              </w:tc>
              <w:tc>
                <w:tcPr>
                  <w:tcW w:w="523" w:type="pct"/>
                  <w:vAlign w:val="center"/>
                </w:tcPr>
                <w:p w14:paraId="73D8A85E">
                  <w:pPr>
                    <w:pStyle w:val="49"/>
                  </w:pPr>
                  <w:r>
                    <w:t>有组织</w:t>
                  </w:r>
                </w:p>
              </w:tc>
              <w:tc>
                <w:tcPr>
                  <w:tcW w:w="604" w:type="pct"/>
                  <w:vAlign w:val="center"/>
                </w:tcPr>
                <w:p w14:paraId="59C00D44">
                  <w:pPr>
                    <w:pStyle w:val="49"/>
                  </w:pPr>
                  <w:r>
                    <w:rPr>
                      <w:rFonts w:hint="eastAsia"/>
                    </w:rPr>
                    <w:t>/</w:t>
                  </w:r>
                </w:p>
              </w:tc>
              <w:tc>
                <w:tcPr>
                  <w:tcW w:w="583" w:type="pct"/>
                  <w:vAlign w:val="center"/>
                </w:tcPr>
                <w:p w14:paraId="37C9D1EE">
                  <w:pPr>
                    <w:pStyle w:val="49"/>
                  </w:pPr>
                  <w:r>
                    <w:rPr>
                      <w:rFonts w:hint="eastAsia"/>
                    </w:rPr>
                    <w:t>0.158</w:t>
                  </w:r>
                </w:p>
              </w:tc>
              <w:tc>
                <w:tcPr>
                  <w:tcW w:w="501" w:type="pct"/>
                  <w:vAlign w:val="center"/>
                </w:tcPr>
                <w:p w14:paraId="54876456">
                  <w:pPr>
                    <w:pStyle w:val="49"/>
                  </w:pPr>
                  <w:r>
                    <w:rPr>
                      <w:rFonts w:hint="eastAsia"/>
                    </w:rPr>
                    <w:t>/</w:t>
                  </w:r>
                </w:p>
              </w:tc>
              <w:tc>
                <w:tcPr>
                  <w:tcW w:w="590" w:type="pct"/>
                  <w:vAlign w:val="center"/>
                </w:tcPr>
                <w:p w14:paraId="69211F04">
                  <w:pPr>
                    <w:pStyle w:val="49"/>
                  </w:pPr>
                  <w:r>
                    <w:rPr>
                      <w:rFonts w:hint="eastAsia"/>
                    </w:rPr>
                    <w:t>/</w:t>
                  </w:r>
                </w:p>
              </w:tc>
              <w:tc>
                <w:tcPr>
                  <w:tcW w:w="1509" w:type="pct"/>
                  <w:vMerge w:val="continue"/>
                  <w:vAlign w:val="center"/>
                </w:tcPr>
                <w:p w14:paraId="36AFCC3F">
                  <w:pPr>
                    <w:pStyle w:val="49"/>
                  </w:pPr>
                </w:p>
              </w:tc>
            </w:tr>
            <w:tr w14:paraId="4C0B1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2" w:type="pct"/>
                  <w:vMerge w:val="continue"/>
                  <w:vAlign w:val="center"/>
                </w:tcPr>
                <w:p w14:paraId="2EEC3EBA">
                  <w:pPr>
                    <w:pStyle w:val="49"/>
                  </w:pPr>
                </w:p>
              </w:tc>
              <w:tc>
                <w:tcPr>
                  <w:tcW w:w="438" w:type="pct"/>
                  <w:vMerge w:val="continue"/>
                  <w:vAlign w:val="center"/>
                </w:tcPr>
                <w:p w14:paraId="382F2E7A">
                  <w:pPr>
                    <w:pStyle w:val="49"/>
                  </w:pPr>
                </w:p>
              </w:tc>
              <w:tc>
                <w:tcPr>
                  <w:tcW w:w="523" w:type="pct"/>
                  <w:vAlign w:val="center"/>
                </w:tcPr>
                <w:p w14:paraId="0516CE0C">
                  <w:pPr>
                    <w:pStyle w:val="49"/>
                  </w:pPr>
                  <w:r>
                    <w:t>无组织</w:t>
                  </w:r>
                </w:p>
              </w:tc>
              <w:tc>
                <w:tcPr>
                  <w:tcW w:w="604" w:type="pct"/>
                  <w:vAlign w:val="center"/>
                </w:tcPr>
                <w:p w14:paraId="56EB6006">
                  <w:pPr>
                    <w:pStyle w:val="49"/>
                  </w:pPr>
                  <w:r>
                    <w:rPr>
                      <w:rFonts w:hint="eastAsia"/>
                    </w:rPr>
                    <w:t>/</w:t>
                  </w:r>
                </w:p>
              </w:tc>
              <w:tc>
                <w:tcPr>
                  <w:tcW w:w="583" w:type="pct"/>
                  <w:vAlign w:val="center"/>
                </w:tcPr>
                <w:p w14:paraId="1ECFB2D4">
                  <w:pPr>
                    <w:pStyle w:val="49"/>
                  </w:pPr>
                  <w:r>
                    <w:rPr>
                      <w:rFonts w:hint="eastAsia"/>
                    </w:rPr>
                    <w:t>0.345</w:t>
                  </w:r>
                </w:p>
              </w:tc>
              <w:tc>
                <w:tcPr>
                  <w:tcW w:w="501" w:type="pct"/>
                  <w:vAlign w:val="center"/>
                </w:tcPr>
                <w:p w14:paraId="210C3108">
                  <w:pPr>
                    <w:pStyle w:val="49"/>
                  </w:pPr>
                  <w:r>
                    <w:rPr>
                      <w:rFonts w:hint="eastAsia"/>
                    </w:rPr>
                    <w:t>/</w:t>
                  </w:r>
                </w:p>
              </w:tc>
              <w:tc>
                <w:tcPr>
                  <w:tcW w:w="590" w:type="pct"/>
                  <w:vAlign w:val="center"/>
                </w:tcPr>
                <w:p w14:paraId="6BC1B45B">
                  <w:pPr>
                    <w:pStyle w:val="49"/>
                  </w:pPr>
                  <w:r>
                    <w:rPr>
                      <w:rFonts w:hint="eastAsia"/>
                    </w:rPr>
                    <w:t>/</w:t>
                  </w:r>
                </w:p>
              </w:tc>
              <w:tc>
                <w:tcPr>
                  <w:tcW w:w="1509" w:type="pct"/>
                  <w:vMerge w:val="continue"/>
                  <w:vAlign w:val="center"/>
                </w:tcPr>
                <w:p w14:paraId="0130E699">
                  <w:pPr>
                    <w:pStyle w:val="49"/>
                  </w:pPr>
                </w:p>
              </w:tc>
            </w:tr>
            <w:tr w14:paraId="31BF4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2" w:type="pct"/>
                  <w:vMerge w:val="continue"/>
                  <w:vAlign w:val="center"/>
                </w:tcPr>
                <w:p w14:paraId="61C33F05">
                  <w:pPr>
                    <w:pStyle w:val="49"/>
                  </w:pPr>
                </w:p>
              </w:tc>
              <w:tc>
                <w:tcPr>
                  <w:tcW w:w="438" w:type="pct"/>
                  <w:vMerge w:val="continue"/>
                  <w:vAlign w:val="center"/>
                </w:tcPr>
                <w:p w14:paraId="1A5594DC">
                  <w:pPr>
                    <w:pStyle w:val="49"/>
                  </w:pPr>
                </w:p>
              </w:tc>
              <w:tc>
                <w:tcPr>
                  <w:tcW w:w="523" w:type="pct"/>
                  <w:vAlign w:val="center"/>
                </w:tcPr>
                <w:p w14:paraId="603C80EE">
                  <w:pPr>
                    <w:pStyle w:val="49"/>
                  </w:pPr>
                  <w:r>
                    <w:rPr>
                      <w:rFonts w:hint="eastAsia"/>
                    </w:rPr>
                    <w:t>合计</w:t>
                  </w:r>
                </w:p>
              </w:tc>
              <w:tc>
                <w:tcPr>
                  <w:tcW w:w="604" w:type="pct"/>
                  <w:vAlign w:val="center"/>
                </w:tcPr>
                <w:p w14:paraId="0C2B0F78">
                  <w:pPr>
                    <w:pStyle w:val="49"/>
                  </w:pPr>
                  <w:r>
                    <w:rPr>
                      <w:rFonts w:hint="eastAsia"/>
                    </w:rPr>
                    <w:t>/</w:t>
                  </w:r>
                </w:p>
              </w:tc>
              <w:tc>
                <w:tcPr>
                  <w:tcW w:w="583" w:type="pct"/>
                  <w:vAlign w:val="center"/>
                </w:tcPr>
                <w:p w14:paraId="6AFD1C5F">
                  <w:pPr>
                    <w:pStyle w:val="49"/>
                  </w:pPr>
                  <w:r>
                    <w:rPr>
                      <w:rFonts w:hint="eastAsia"/>
                    </w:rPr>
                    <w:t>0.503</w:t>
                  </w:r>
                </w:p>
              </w:tc>
              <w:tc>
                <w:tcPr>
                  <w:tcW w:w="501" w:type="pct"/>
                  <w:vAlign w:val="center"/>
                </w:tcPr>
                <w:p w14:paraId="0B36680B">
                  <w:pPr>
                    <w:pStyle w:val="49"/>
                  </w:pPr>
                  <w:r>
                    <w:rPr>
                      <w:rFonts w:hint="eastAsia"/>
                    </w:rPr>
                    <w:t>/</w:t>
                  </w:r>
                </w:p>
              </w:tc>
              <w:tc>
                <w:tcPr>
                  <w:tcW w:w="590" w:type="pct"/>
                  <w:vAlign w:val="center"/>
                </w:tcPr>
                <w:p w14:paraId="41422777">
                  <w:pPr>
                    <w:pStyle w:val="49"/>
                  </w:pPr>
                  <w:r>
                    <w:rPr>
                      <w:rFonts w:hint="eastAsia"/>
                    </w:rPr>
                    <w:t>0.503</w:t>
                  </w:r>
                </w:p>
              </w:tc>
              <w:tc>
                <w:tcPr>
                  <w:tcW w:w="1509" w:type="pct"/>
                  <w:vMerge w:val="continue"/>
                  <w:vAlign w:val="center"/>
                </w:tcPr>
                <w:p w14:paraId="21F0E649">
                  <w:pPr>
                    <w:pStyle w:val="49"/>
                  </w:pPr>
                </w:p>
              </w:tc>
            </w:tr>
          </w:tbl>
          <w:p w14:paraId="7DED36EC">
            <w:pPr>
              <w:adjustRightInd w:val="0"/>
              <w:snapToGrid w:val="0"/>
              <w:spacing w:before="120" w:beforeLines="50" w:line="360" w:lineRule="auto"/>
              <w:ind w:firstLine="480" w:firstLineChars="200"/>
              <w:rPr>
                <w:sz w:val="24"/>
                <w:szCs w:val="24"/>
              </w:rPr>
            </w:pPr>
          </w:p>
          <w:p w14:paraId="74157347">
            <w:pPr>
              <w:adjustRightInd w:val="0"/>
              <w:snapToGrid w:val="0"/>
              <w:spacing w:before="120" w:beforeLines="50" w:line="360" w:lineRule="auto"/>
              <w:ind w:firstLine="480" w:firstLineChars="200"/>
              <w:rPr>
                <w:sz w:val="24"/>
                <w:szCs w:val="24"/>
              </w:rPr>
            </w:pPr>
          </w:p>
          <w:p w14:paraId="38B758A1">
            <w:pPr>
              <w:adjustRightInd w:val="0"/>
              <w:snapToGrid w:val="0"/>
              <w:spacing w:before="120" w:beforeLines="50" w:line="360" w:lineRule="auto"/>
              <w:ind w:firstLine="480" w:firstLineChars="200"/>
              <w:rPr>
                <w:sz w:val="24"/>
                <w:szCs w:val="24"/>
              </w:rPr>
            </w:pPr>
          </w:p>
          <w:p w14:paraId="7EDB65D7">
            <w:pPr>
              <w:adjustRightInd w:val="0"/>
              <w:snapToGrid w:val="0"/>
              <w:spacing w:before="120" w:beforeLines="50" w:line="360" w:lineRule="auto"/>
              <w:ind w:firstLine="480" w:firstLineChars="200"/>
              <w:rPr>
                <w:sz w:val="24"/>
                <w:szCs w:val="24"/>
              </w:rPr>
            </w:pPr>
          </w:p>
          <w:p w14:paraId="2180B83D">
            <w:pPr>
              <w:adjustRightInd w:val="0"/>
              <w:snapToGrid w:val="0"/>
              <w:spacing w:before="120" w:beforeLines="50" w:line="360" w:lineRule="auto"/>
              <w:ind w:firstLine="480" w:firstLineChars="200"/>
              <w:rPr>
                <w:sz w:val="24"/>
                <w:szCs w:val="24"/>
              </w:rPr>
            </w:pPr>
          </w:p>
          <w:p w14:paraId="51144D49">
            <w:pPr>
              <w:adjustRightInd w:val="0"/>
              <w:snapToGrid w:val="0"/>
              <w:spacing w:before="120" w:beforeLines="50" w:line="360" w:lineRule="auto"/>
              <w:ind w:firstLine="480" w:firstLineChars="200"/>
              <w:rPr>
                <w:sz w:val="24"/>
                <w:szCs w:val="24"/>
              </w:rPr>
            </w:pPr>
          </w:p>
          <w:p w14:paraId="16E5AB2B">
            <w:pPr>
              <w:adjustRightInd w:val="0"/>
              <w:snapToGrid w:val="0"/>
              <w:spacing w:before="120" w:beforeLines="50" w:line="360" w:lineRule="auto"/>
              <w:ind w:firstLine="480" w:firstLineChars="200"/>
              <w:rPr>
                <w:sz w:val="24"/>
                <w:szCs w:val="24"/>
              </w:rPr>
            </w:pPr>
          </w:p>
          <w:p w14:paraId="6AD8396D">
            <w:pPr>
              <w:adjustRightInd w:val="0"/>
              <w:snapToGrid w:val="0"/>
              <w:spacing w:before="120" w:beforeLines="50" w:line="360" w:lineRule="auto"/>
              <w:ind w:firstLine="480" w:firstLineChars="200"/>
              <w:rPr>
                <w:sz w:val="24"/>
                <w:szCs w:val="24"/>
              </w:rPr>
            </w:pPr>
          </w:p>
          <w:p w14:paraId="5C4E0C04">
            <w:pPr>
              <w:adjustRightInd w:val="0"/>
              <w:snapToGrid w:val="0"/>
              <w:spacing w:before="120" w:beforeLines="50" w:line="360" w:lineRule="auto"/>
              <w:ind w:firstLine="480" w:firstLineChars="200"/>
              <w:rPr>
                <w:sz w:val="24"/>
                <w:szCs w:val="24"/>
              </w:rPr>
            </w:pPr>
          </w:p>
          <w:p w14:paraId="7980E9CE">
            <w:pPr>
              <w:adjustRightInd w:val="0"/>
              <w:snapToGrid w:val="0"/>
              <w:spacing w:before="120" w:beforeLines="50" w:line="360" w:lineRule="auto"/>
              <w:ind w:firstLine="480" w:firstLineChars="200"/>
              <w:rPr>
                <w:sz w:val="24"/>
                <w:szCs w:val="24"/>
              </w:rPr>
            </w:pPr>
          </w:p>
          <w:p w14:paraId="63B0C3B2">
            <w:pPr>
              <w:adjustRightInd w:val="0"/>
              <w:snapToGrid w:val="0"/>
              <w:spacing w:before="120" w:beforeLines="50" w:line="360" w:lineRule="auto"/>
              <w:ind w:firstLine="480" w:firstLineChars="200"/>
              <w:rPr>
                <w:sz w:val="24"/>
                <w:szCs w:val="24"/>
              </w:rPr>
            </w:pPr>
          </w:p>
          <w:p w14:paraId="1A760026">
            <w:pPr>
              <w:adjustRightInd w:val="0"/>
              <w:snapToGrid w:val="0"/>
              <w:spacing w:before="120" w:beforeLines="50" w:line="360" w:lineRule="auto"/>
              <w:ind w:firstLine="480" w:firstLineChars="200"/>
              <w:rPr>
                <w:sz w:val="24"/>
                <w:szCs w:val="24"/>
              </w:rPr>
            </w:pPr>
          </w:p>
          <w:p w14:paraId="11981F41">
            <w:pPr>
              <w:adjustRightInd w:val="0"/>
              <w:snapToGrid w:val="0"/>
              <w:spacing w:before="120" w:beforeLines="50" w:line="360" w:lineRule="auto"/>
              <w:ind w:firstLine="480" w:firstLineChars="200"/>
              <w:rPr>
                <w:sz w:val="24"/>
                <w:szCs w:val="24"/>
              </w:rPr>
            </w:pPr>
          </w:p>
          <w:p w14:paraId="05A45B4D">
            <w:pPr>
              <w:adjustRightInd w:val="0"/>
              <w:snapToGrid w:val="0"/>
              <w:spacing w:before="120" w:beforeLines="50" w:line="360" w:lineRule="auto"/>
              <w:ind w:firstLine="480" w:firstLineChars="200"/>
              <w:rPr>
                <w:sz w:val="24"/>
                <w:szCs w:val="24"/>
              </w:rPr>
            </w:pPr>
          </w:p>
          <w:p w14:paraId="362C09D7">
            <w:pPr>
              <w:adjustRightInd w:val="0"/>
              <w:snapToGrid w:val="0"/>
              <w:spacing w:before="120" w:beforeLines="50" w:line="360" w:lineRule="auto"/>
              <w:ind w:firstLine="480" w:firstLineChars="200"/>
              <w:rPr>
                <w:sz w:val="24"/>
                <w:szCs w:val="24"/>
              </w:rPr>
            </w:pPr>
          </w:p>
          <w:p w14:paraId="6957A13C">
            <w:pPr>
              <w:adjustRightInd w:val="0"/>
              <w:snapToGrid w:val="0"/>
              <w:spacing w:before="120" w:beforeLines="50" w:line="360" w:lineRule="auto"/>
              <w:ind w:firstLine="480" w:firstLineChars="200"/>
              <w:rPr>
                <w:sz w:val="24"/>
                <w:szCs w:val="24"/>
              </w:rPr>
            </w:pPr>
          </w:p>
          <w:p w14:paraId="3BE166C0">
            <w:pPr>
              <w:adjustRightInd w:val="0"/>
              <w:snapToGrid w:val="0"/>
              <w:spacing w:before="120" w:beforeLines="50" w:line="360" w:lineRule="auto"/>
              <w:ind w:firstLine="480" w:firstLineChars="200"/>
              <w:rPr>
                <w:sz w:val="24"/>
                <w:szCs w:val="24"/>
              </w:rPr>
            </w:pPr>
          </w:p>
          <w:p w14:paraId="69E42C5D">
            <w:pPr>
              <w:adjustRightInd w:val="0"/>
              <w:snapToGrid w:val="0"/>
              <w:spacing w:before="120" w:beforeLines="50" w:line="360" w:lineRule="auto"/>
              <w:ind w:firstLine="480" w:firstLineChars="200"/>
              <w:rPr>
                <w:rFonts w:hint="eastAsia"/>
                <w:sz w:val="24"/>
                <w:szCs w:val="24"/>
              </w:rPr>
            </w:pPr>
          </w:p>
        </w:tc>
      </w:tr>
    </w:tbl>
    <w:p w14:paraId="7CF4F817"/>
    <w:p w14:paraId="5D5D9A02">
      <w:pPr>
        <w:sectPr>
          <w:pgSz w:w="11906" w:h="16838"/>
          <w:pgMar w:top="1418" w:right="1134" w:bottom="1418" w:left="1418" w:header="851" w:footer="992" w:gutter="0"/>
          <w:pgNumType w:fmt="decimal"/>
          <w:cols w:space="425" w:num="1"/>
          <w:docGrid w:linePitch="312" w:charSpace="0"/>
        </w:sectPr>
      </w:pPr>
    </w:p>
    <w:p w14:paraId="6AEA1C29">
      <w:pPr>
        <w:pStyle w:val="32"/>
        <w:spacing w:before="0" w:beforeAutospacing="0" w:after="0" w:afterAutospacing="0"/>
        <w:jc w:val="center"/>
        <w:outlineLvl w:val="0"/>
        <w:rPr>
          <w:rFonts w:hint="eastAsia" w:ascii="黑体" w:hAnsi="黑体" w:eastAsia="黑体"/>
          <w:snapToGrid w:val="0"/>
          <w:sz w:val="30"/>
          <w:szCs w:val="30"/>
        </w:rPr>
      </w:pPr>
      <w:bookmarkStart w:id="15" w:name="_Toc209949142"/>
      <w:r>
        <w:rPr>
          <w:rFonts w:hint="eastAsia" w:ascii="黑体" w:hAnsi="黑体" w:eastAsia="黑体"/>
          <w:snapToGrid w:val="0"/>
          <w:sz w:val="30"/>
          <w:szCs w:val="30"/>
        </w:rPr>
        <w:t>四、</w:t>
      </w:r>
      <w:r>
        <w:rPr>
          <w:rFonts w:ascii="黑体" w:hAnsi="黑体" w:eastAsia="黑体"/>
          <w:snapToGrid w:val="0"/>
          <w:sz w:val="30"/>
          <w:szCs w:val="30"/>
        </w:rPr>
        <w:t>主要环境影响和保护措施</w:t>
      </w:r>
      <w:bookmarkEnd w:id="15"/>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8721"/>
      </w:tblGrid>
      <w:tr w14:paraId="79C8C7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41" w:hRule="atLeast"/>
          <w:jc w:val="center"/>
        </w:trPr>
        <w:tc>
          <w:tcPr>
            <w:tcW w:w="405" w:type="pct"/>
            <w:tcMar>
              <w:left w:w="28" w:type="dxa"/>
              <w:right w:w="28" w:type="dxa"/>
            </w:tcMar>
            <w:vAlign w:val="center"/>
          </w:tcPr>
          <w:p w14:paraId="32473E24">
            <w:pPr>
              <w:jc w:val="center"/>
            </w:pPr>
            <w:r>
              <w:rPr>
                <w:bCs/>
                <w:sz w:val="24"/>
              </w:rPr>
              <w:t>施工期环境保护措施</w:t>
            </w:r>
          </w:p>
        </w:tc>
        <w:tc>
          <w:tcPr>
            <w:tcW w:w="4595" w:type="pct"/>
          </w:tcPr>
          <w:p w14:paraId="34CCD063">
            <w:pPr>
              <w:spacing w:line="360" w:lineRule="auto"/>
              <w:ind w:firstLine="482" w:firstLineChars="200"/>
              <w:rPr>
                <w:b/>
                <w:sz w:val="24"/>
              </w:rPr>
            </w:pPr>
            <w:r>
              <w:rPr>
                <w:rFonts w:hint="eastAsia"/>
                <w:b/>
                <w:sz w:val="24"/>
              </w:rPr>
              <w:t>1</w:t>
            </w:r>
            <w:r>
              <w:rPr>
                <w:b/>
                <w:sz w:val="24"/>
              </w:rPr>
              <w:t>、</w:t>
            </w:r>
            <w:r>
              <w:rPr>
                <w:rFonts w:hint="eastAsia"/>
                <w:b/>
                <w:sz w:val="24"/>
              </w:rPr>
              <w:t>施工期大气环境保护措施</w:t>
            </w:r>
          </w:p>
          <w:p w14:paraId="3063359D">
            <w:pPr>
              <w:spacing w:line="360" w:lineRule="auto"/>
              <w:ind w:firstLine="480" w:firstLineChars="200"/>
              <w:rPr>
                <w:sz w:val="24"/>
              </w:rPr>
            </w:pPr>
            <w:r>
              <w:rPr>
                <w:sz w:val="24"/>
              </w:rPr>
              <w:t>施工期废气主要包括施工扬尘、运输车辆</w:t>
            </w:r>
            <w:r>
              <w:rPr>
                <w:rFonts w:hint="eastAsia"/>
                <w:sz w:val="24"/>
              </w:rPr>
              <w:t>和</w:t>
            </w:r>
            <w:r>
              <w:rPr>
                <w:sz w:val="24"/>
              </w:rPr>
              <w:t>施工机械尾气及装修废气。</w:t>
            </w:r>
          </w:p>
          <w:p w14:paraId="690CA518">
            <w:pPr>
              <w:spacing w:line="360" w:lineRule="auto"/>
              <w:ind w:firstLine="480" w:firstLineChars="200"/>
              <w:rPr>
                <w:sz w:val="24"/>
              </w:rPr>
            </w:pPr>
            <w:r>
              <w:rPr>
                <w:sz w:val="24"/>
              </w:rPr>
              <w:t>（1）施工扬尘</w:t>
            </w:r>
          </w:p>
          <w:p w14:paraId="25267A7D">
            <w:pPr>
              <w:spacing w:line="360" w:lineRule="auto"/>
              <w:ind w:firstLine="480" w:firstLineChars="200"/>
              <w:rPr>
                <w:sz w:val="24"/>
              </w:rPr>
            </w:pPr>
            <w:r>
              <w:rPr>
                <w:sz w:val="24"/>
              </w:rPr>
              <w:t>主要来自场地</w:t>
            </w:r>
            <w:r>
              <w:rPr>
                <w:rFonts w:hint="eastAsia"/>
                <w:sz w:val="24"/>
              </w:rPr>
              <w:t>开挖、平整、基础施工</w:t>
            </w:r>
            <w:r>
              <w:rPr>
                <w:sz w:val="24"/>
              </w:rPr>
              <w:t>等活动直接产生的扬尘，</w:t>
            </w:r>
            <w:r>
              <w:rPr>
                <w:rFonts w:hint="eastAsia"/>
                <w:sz w:val="24"/>
              </w:rPr>
              <w:t>以及</w:t>
            </w:r>
            <w:r>
              <w:rPr>
                <w:sz w:val="24"/>
              </w:rPr>
              <w:t>施工场地露天堆放的建筑材料受风蚀作用产生的二次扬尘。为了减少施工扬尘对周边的影响，本环评建议施工期采取如下措施降低施工扬尘的产生：</w:t>
            </w:r>
            <w:r>
              <w:rPr>
                <w:rFonts w:ascii="Cambria Math" w:hAnsi="Cambria Math" w:cs="Cambria Math"/>
                <w:sz w:val="24"/>
              </w:rPr>
              <w:t>①</w:t>
            </w:r>
            <w:r>
              <w:rPr>
                <w:sz w:val="24"/>
              </w:rPr>
              <w:t>文明施工，严格管理。</w:t>
            </w:r>
            <w:r>
              <w:rPr>
                <w:rFonts w:hint="eastAsia"/>
                <w:sz w:val="24"/>
              </w:rPr>
              <w:t>地块开挖、平整前应进行洒水，减少作业过程扬尘的产生；易起尘材料应对</w:t>
            </w:r>
            <w:r>
              <w:rPr>
                <w:sz w:val="24"/>
              </w:rPr>
              <w:t>临时堆存处采取洒水或覆盖篷布等防尘、降尘措施；</w:t>
            </w:r>
            <w:r>
              <w:rPr>
                <w:rFonts w:ascii="Cambria Math" w:hAnsi="Cambria Math" w:cs="Cambria Math"/>
                <w:sz w:val="24"/>
              </w:rPr>
              <w:t>②</w:t>
            </w:r>
            <w:r>
              <w:rPr>
                <w:sz w:val="24"/>
              </w:rPr>
              <w:t>尽量避免在大风天气下进行施工作业，以减少扬尘的产生。</w:t>
            </w:r>
          </w:p>
          <w:p w14:paraId="5035CF0C">
            <w:pPr>
              <w:spacing w:line="360" w:lineRule="auto"/>
              <w:ind w:firstLine="480" w:firstLineChars="200"/>
              <w:rPr>
                <w:sz w:val="24"/>
              </w:rPr>
            </w:pPr>
            <w:r>
              <w:rPr>
                <w:sz w:val="24"/>
              </w:rPr>
              <w:t>（2）运输扬尘</w:t>
            </w:r>
          </w:p>
          <w:p w14:paraId="3B54DDB2">
            <w:pPr>
              <w:spacing w:line="360" w:lineRule="auto"/>
              <w:ind w:firstLine="480" w:firstLineChars="200"/>
              <w:rPr>
                <w:sz w:val="24"/>
              </w:rPr>
            </w:pPr>
            <w:r>
              <w:rPr>
                <w:sz w:val="24"/>
              </w:rPr>
              <w:t>项目在原材料进场过程中产生一定量的运输扬尘，运输扬尘源主要为装载机装卸时产生的粉尘</w:t>
            </w:r>
            <w:r>
              <w:rPr>
                <w:rFonts w:hint="eastAsia"/>
                <w:sz w:val="24"/>
              </w:rPr>
              <w:t>及车辆行驶产生的道路扬尘</w:t>
            </w:r>
            <w:r>
              <w:rPr>
                <w:sz w:val="24"/>
              </w:rPr>
              <w:t>。本环评建议采取以下措施来减少运输扬尘对环境空气的影响：</w:t>
            </w:r>
            <w:r>
              <w:rPr>
                <w:rFonts w:ascii="Cambria Math" w:hAnsi="Cambria Math" w:cs="Cambria Math"/>
                <w:sz w:val="24"/>
              </w:rPr>
              <w:t>①</w:t>
            </w:r>
            <w:r>
              <w:rPr>
                <w:sz w:val="24"/>
              </w:rPr>
              <w:t>对运输水泥、碎料的车辆采取覆盖车厢；</w:t>
            </w:r>
            <w:r>
              <w:rPr>
                <w:rFonts w:ascii="Cambria Math" w:hAnsi="Cambria Math" w:cs="Cambria Math"/>
                <w:sz w:val="24"/>
              </w:rPr>
              <w:t>②</w:t>
            </w:r>
            <w:r>
              <w:rPr>
                <w:sz w:val="24"/>
              </w:rPr>
              <w:t>运输车辆定时清洗、谨慎慢行；</w:t>
            </w:r>
            <w:r>
              <w:rPr>
                <w:rFonts w:ascii="Cambria Math" w:hAnsi="Cambria Math" w:cs="Cambria Math"/>
                <w:sz w:val="24"/>
              </w:rPr>
              <w:t>③</w:t>
            </w:r>
            <w:r>
              <w:rPr>
                <w:sz w:val="24"/>
              </w:rPr>
              <w:t>严格控制运载量，避免在大风的情况下装卸物料</w:t>
            </w:r>
            <w:r>
              <w:rPr>
                <w:rFonts w:hint="eastAsia"/>
                <w:sz w:val="24"/>
              </w:rPr>
              <w:t>；④施工道路应每天洒水4~5次，以减少运输车辆和施工机械行驶造成的扬尘</w:t>
            </w:r>
            <w:r>
              <w:rPr>
                <w:sz w:val="24"/>
              </w:rPr>
              <w:t>。</w:t>
            </w:r>
          </w:p>
          <w:p w14:paraId="41C9C371">
            <w:pPr>
              <w:spacing w:line="360" w:lineRule="auto"/>
              <w:ind w:firstLine="480" w:firstLineChars="200"/>
              <w:rPr>
                <w:sz w:val="24"/>
              </w:rPr>
            </w:pPr>
            <w:r>
              <w:rPr>
                <w:sz w:val="24"/>
              </w:rPr>
              <w:t xml:space="preserve">（3）运输车辆及施工机械尾气 </w:t>
            </w:r>
          </w:p>
          <w:p w14:paraId="745B8E5B">
            <w:pPr>
              <w:spacing w:line="360" w:lineRule="auto"/>
              <w:ind w:firstLine="480" w:firstLineChars="200"/>
              <w:rPr>
                <w:sz w:val="24"/>
              </w:rPr>
            </w:pPr>
            <w:r>
              <w:rPr>
                <w:sz w:val="24"/>
              </w:rPr>
              <w:t>施工燃油机械车辆、挖土机等因燃油会产生一氧化碳、二氧化氮、总烃等污染物，会对大气造成不良影响，但这种污染源较分散且为流动性，污染物排放量不大，表现为局部和间歇性，故对周边大气环境的影响程度较轻。</w:t>
            </w:r>
          </w:p>
          <w:p w14:paraId="77711DC2">
            <w:pPr>
              <w:spacing w:line="360" w:lineRule="auto"/>
              <w:ind w:firstLine="480" w:firstLineChars="200"/>
              <w:rPr>
                <w:sz w:val="24"/>
              </w:rPr>
            </w:pPr>
            <w:r>
              <w:rPr>
                <w:sz w:val="24"/>
              </w:rPr>
              <w:t>（4）装修废气</w:t>
            </w:r>
          </w:p>
          <w:p w14:paraId="498FA079">
            <w:pPr>
              <w:spacing w:line="360" w:lineRule="auto"/>
              <w:ind w:firstLine="480" w:firstLineChars="200"/>
              <w:rPr>
                <w:sz w:val="24"/>
              </w:rPr>
            </w:pPr>
            <w:r>
              <w:rPr>
                <w:sz w:val="24"/>
              </w:rPr>
              <w:t>装修废气排放属于无组织排放，由于排放周期短，且装修面积较少，作业点分散，故装修期间推荐使用绿色建材，同时，应加强室内通风换气，及时散发有害气体。</w:t>
            </w:r>
          </w:p>
          <w:p w14:paraId="260C2BAF">
            <w:pPr>
              <w:snapToGrid w:val="0"/>
              <w:spacing w:line="360" w:lineRule="auto"/>
              <w:ind w:firstLine="480" w:firstLineChars="200"/>
              <w:rPr>
                <w:sz w:val="24"/>
              </w:rPr>
            </w:pPr>
            <w:r>
              <w:rPr>
                <w:sz w:val="24"/>
              </w:rPr>
              <w:t>采取上述污染防治措施后，施工期废气对大气环境污染影响较小。</w:t>
            </w:r>
          </w:p>
          <w:p w14:paraId="0B608546">
            <w:pPr>
              <w:spacing w:line="360" w:lineRule="auto"/>
              <w:ind w:firstLine="482" w:firstLineChars="200"/>
              <w:rPr>
                <w:sz w:val="24"/>
              </w:rPr>
            </w:pPr>
            <w:r>
              <w:rPr>
                <w:rFonts w:hint="eastAsia"/>
                <w:b/>
                <w:sz w:val="24"/>
              </w:rPr>
              <w:t>2</w:t>
            </w:r>
            <w:r>
              <w:rPr>
                <w:b/>
                <w:sz w:val="24"/>
              </w:rPr>
              <w:t>、</w:t>
            </w:r>
            <w:r>
              <w:rPr>
                <w:rFonts w:hint="eastAsia"/>
                <w:b/>
                <w:sz w:val="24"/>
              </w:rPr>
              <w:t>施工期水环境保护措施</w:t>
            </w:r>
          </w:p>
          <w:p w14:paraId="306D40E7">
            <w:pPr>
              <w:spacing w:line="360" w:lineRule="auto"/>
              <w:ind w:firstLine="480" w:firstLineChars="200"/>
              <w:rPr>
                <w:sz w:val="24"/>
              </w:rPr>
            </w:pPr>
            <w:r>
              <w:rPr>
                <w:rFonts w:hint="eastAsia"/>
                <w:sz w:val="24"/>
              </w:rPr>
              <w:t>施工期废水主要包括施工废水和施工人员生活污水。</w:t>
            </w:r>
          </w:p>
          <w:p w14:paraId="5099C434">
            <w:pPr>
              <w:spacing w:line="360" w:lineRule="auto"/>
              <w:ind w:firstLine="480" w:firstLineChars="200"/>
              <w:rPr>
                <w:sz w:val="24"/>
              </w:rPr>
            </w:pPr>
            <w:r>
              <w:rPr>
                <w:sz w:val="24"/>
              </w:rPr>
              <w:t>施工废水包括场地清洗、机械设备运转的冷却水和运输车辆轮胎洗涤水。场地清洗废水</w:t>
            </w:r>
            <w:r>
              <w:rPr>
                <w:rFonts w:hint="eastAsia"/>
                <w:sz w:val="24"/>
              </w:rPr>
              <w:t>悬浮</w:t>
            </w:r>
            <w:r>
              <w:rPr>
                <w:sz w:val="24"/>
              </w:rPr>
              <w:t>物浓度较高，施工机械设备的洗涤水含有较高的石油类、悬浮物等，如直接排放将会使纳污水体受到一定程度的污染。为避免施工期废水对周围水环境产生影响，建议采取以下防治措施</w:t>
            </w:r>
            <w:r>
              <w:rPr>
                <w:rFonts w:hint="eastAsia"/>
                <w:sz w:val="24"/>
              </w:rPr>
              <w:t>：</w:t>
            </w:r>
            <w:r>
              <w:rPr>
                <w:rFonts w:ascii="Cambria Math" w:hAnsi="Cambria Math" w:cs="Cambria Math"/>
                <w:sz w:val="24"/>
              </w:rPr>
              <w:t>①</w:t>
            </w:r>
            <w:r>
              <w:rPr>
                <w:sz w:val="24"/>
              </w:rPr>
              <w:t>在工程场地内建设相应的沉沙池和排水沟，收集地表径流和施工过程产生的泥浆水、废水。</w:t>
            </w:r>
            <w:r>
              <w:rPr>
                <w:rFonts w:ascii="Cambria Math" w:hAnsi="Cambria Math" w:cs="Cambria Math"/>
                <w:sz w:val="24"/>
              </w:rPr>
              <w:t>②</w:t>
            </w:r>
            <w:r>
              <w:rPr>
                <w:sz w:val="24"/>
              </w:rPr>
              <w:t>施工废水经过沉沙、除渣和隔油等预处理后，才排入排水沟。</w:t>
            </w:r>
            <w:r>
              <w:rPr>
                <w:rFonts w:ascii="Cambria Math" w:hAnsi="Cambria Math" w:cs="Cambria Math"/>
                <w:sz w:val="24"/>
              </w:rPr>
              <w:t>③</w:t>
            </w:r>
            <w:r>
              <w:rPr>
                <w:sz w:val="24"/>
              </w:rPr>
              <w:t>在施工过程中施工单位应加强对施工机械、车辆的维护与管理，防止漏油事故发生，同时规范施工人员的操作，杜绝施工机械“跑、冒、滴、漏”现象的发生。</w:t>
            </w:r>
            <w:r>
              <w:rPr>
                <w:rFonts w:ascii="Cambria Math" w:hAnsi="Cambria Math" w:cs="Cambria Math"/>
                <w:sz w:val="24"/>
              </w:rPr>
              <w:t>④</w:t>
            </w:r>
            <w:r>
              <w:rPr>
                <w:sz w:val="24"/>
              </w:rPr>
              <w:t>此外，施工机械或车辆的冲洗应定点，并建设临时隔油沉淀池对冲洗废水进行处理。施工燃油机械维护和冲洗的含油废水经隔油、静置沉淀后回用于施工</w:t>
            </w:r>
            <w:r>
              <w:rPr>
                <w:rFonts w:hint="eastAsia"/>
                <w:sz w:val="24"/>
              </w:rPr>
              <w:t>。</w:t>
            </w:r>
          </w:p>
          <w:p w14:paraId="0F1A769C">
            <w:pPr>
              <w:spacing w:line="360" w:lineRule="auto"/>
              <w:ind w:firstLine="480" w:firstLineChars="200"/>
              <w:rPr>
                <w:sz w:val="24"/>
              </w:rPr>
            </w:pPr>
            <w:r>
              <w:rPr>
                <w:sz w:val="24"/>
              </w:rPr>
              <w:t>（2）施工期生活污水</w:t>
            </w:r>
          </w:p>
          <w:p w14:paraId="0544FB25">
            <w:pPr>
              <w:spacing w:line="360" w:lineRule="auto"/>
              <w:ind w:firstLine="480" w:firstLineChars="200"/>
              <w:rPr>
                <w:sz w:val="24"/>
              </w:rPr>
            </w:pPr>
            <w:r>
              <w:rPr>
                <w:sz w:val="24"/>
              </w:rPr>
              <w:t>本项目</w:t>
            </w:r>
            <w:r>
              <w:rPr>
                <w:rFonts w:hint="eastAsia"/>
                <w:sz w:val="24"/>
              </w:rPr>
              <w:t>施工人员基本来自项目所在地乡镇及其周边人员，现场不设置施工营地，施工人员和住宿等利用周边已有设施解决，生活污水依托周边已有的废水排污管网进行排放。</w:t>
            </w:r>
          </w:p>
          <w:p w14:paraId="42635DF5">
            <w:pPr>
              <w:spacing w:line="360" w:lineRule="auto"/>
              <w:ind w:firstLine="480" w:firstLineChars="200"/>
              <w:rPr>
                <w:b/>
                <w:sz w:val="24"/>
              </w:rPr>
            </w:pPr>
            <w:r>
              <w:rPr>
                <w:sz w:val="24"/>
              </w:rPr>
              <w:t>采取上述污染防治措施后，施工期废水对周围水环境污染影响较小。</w:t>
            </w:r>
          </w:p>
          <w:p w14:paraId="7FB9FA05">
            <w:pPr>
              <w:spacing w:line="360" w:lineRule="auto"/>
              <w:ind w:firstLine="482" w:firstLineChars="200"/>
              <w:rPr>
                <w:b/>
                <w:sz w:val="24"/>
              </w:rPr>
            </w:pPr>
            <w:r>
              <w:rPr>
                <w:b/>
                <w:sz w:val="24"/>
              </w:rPr>
              <w:t>3、</w:t>
            </w:r>
            <w:r>
              <w:rPr>
                <w:rFonts w:hint="eastAsia"/>
                <w:b/>
                <w:sz w:val="24"/>
              </w:rPr>
              <w:t>施工期</w:t>
            </w:r>
            <w:r>
              <w:rPr>
                <w:b/>
                <w:sz w:val="24"/>
              </w:rPr>
              <w:t>声环境保护措施</w:t>
            </w:r>
          </w:p>
          <w:p w14:paraId="06FC5752">
            <w:pPr>
              <w:spacing w:line="360" w:lineRule="auto"/>
              <w:ind w:firstLine="480" w:firstLineChars="200"/>
              <w:rPr>
                <w:sz w:val="24"/>
              </w:rPr>
            </w:pPr>
            <w:r>
              <w:rPr>
                <w:sz w:val="24"/>
              </w:rPr>
              <w:t>施工期间的噪声污染主要来自于施工机械作业产生的噪声和运输车辆产生的交通噪声，应采取相应的控制措施，遵照施工噪声管理的时限规定。</w:t>
            </w:r>
          </w:p>
          <w:p w14:paraId="1CB98DFA">
            <w:pPr>
              <w:spacing w:line="360" w:lineRule="auto"/>
              <w:ind w:firstLine="480" w:firstLineChars="200"/>
              <w:rPr>
                <w:sz w:val="24"/>
              </w:rPr>
            </w:pPr>
            <w:r>
              <w:rPr>
                <w:sz w:val="24"/>
              </w:rPr>
              <w:t>（1）禁止在午间（12:00～14:00）、夜间（20：00～8：00）进行高噪声设备施工，严禁在夜间（22：00～6：00）进行打桩作业；</w:t>
            </w:r>
          </w:p>
          <w:p w14:paraId="2C396D93">
            <w:pPr>
              <w:spacing w:line="360" w:lineRule="auto"/>
              <w:ind w:firstLine="480" w:firstLineChars="200"/>
              <w:rPr>
                <w:sz w:val="24"/>
              </w:rPr>
            </w:pPr>
            <w:r>
              <w:rPr>
                <w:sz w:val="24"/>
              </w:rPr>
              <w:t>（2）</w:t>
            </w:r>
            <w:r>
              <w:rPr>
                <w:rFonts w:hint="eastAsia"/>
                <w:sz w:val="24"/>
              </w:rPr>
              <w:t>施工场界</w:t>
            </w:r>
            <w:r>
              <w:rPr>
                <w:sz w:val="24"/>
              </w:rPr>
              <w:t>四周设置围</w:t>
            </w:r>
            <w:r>
              <w:rPr>
                <w:rFonts w:hint="eastAsia"/>
                <w:sz w:val="24"/>
              </w:rPr>
              <w:t>闭</w:t>
            </w:r>
            <w:r>
              <w:rPr>
                <w:sz w:val="24"/>
              </w:rPr>
              <w:t>；</w:t>
            </w:r>
          </w:p>
          <w:p w14:paraId="322D7CA4">
            <w:pPr>
              <w:spacing w:line="360" w:lineRule="auto"/>
              <w:ind w:firstLine="480" w:firstLineChars="200"/>
              <w:rPr>
                <w:sz w:val="24"/>
              </w:rPr>
            </w:pPr>
            <w:r>
              <w:rPr>
                <w:sz w:val="24"/>
              </w:rPr>
              <w:t>（</w:t>
            </w:r>
            <w:r>
              <w:rPr>
                <w:rFonts w:hint="eastAsia"/>
                <w:sz w:val="24"/>
              </w:rPr>
              <w:t>3</w:t>
            </w:r>
            <w:r>
              <w:rPr>
                <w:sz w:val="24"/>
              </w:rPr>
              <w:t>）加强施工监管，防止野蛮作业，不产生人为故意的噪声。</w:t>
            </w:r>
          </w:p>
          <w:p w14:paraId="16136A0F">
            <w:pPr>
              <w:spacing w:line="360" w:lineRule="auto"/>
              <w:ind w:firstLine="480" w:firstLineChars="200"/>
              <w:rPr>
                <w:sz w:val="24"/>
              </w:rPr>
            </w:pPr>
            <w:r>
              <w:rPr>
                <w:sz w:val="24"/>
              </w:rPr>
              <w:t>采取上述措施，施工场界噪声可符合《建筑施工场界环境噪声排放标准》（GB 12523-2011）的要求，即昼间噪声限值≤70 dB(A)、夜间噪声限值≤55dB(A)，</w:t>
            </w:r>
            <w:r>
              <w:rPr>
                <w:rFonts w:hint="eastAsia"/>
                <w:sz w:val="24"/>
              </w:rPr>
              <w:t>本项目周边无居民区等敏感目标，施工噪声</w:t>
            </w:r>
            <w:r>
              <w:rPr>
                <w:sz w:val="24"/>
              </w:rPr>
              <w:t>影响较小。</w:t>
            </w:r>
          </w:p>
          <w:p w14:paraId="625601DC">
            <w:pPr>
              <w:spacing w:line="360" w:lineRule="auto"/>
              <w:ind w:firstLine="482" w:firstLineChars="200"/>
              <w:rPr>
                <w:b/>
                <w:sz w:val="24"/>
              </w:rPr>
            </w:pPr>
            <w:r>
              <w:rPr>
                <w:b/>
                <w:sz w:val="24"/>
              </w:rPr>
              <w:t>4、</w:t>
            </w:r>
            <w:r>
              <w:rPr>
                <w:rFonts w:hint="eastAsia"/>
                <w:b/>
                <w:sz w:val="24"/>
              </w:rPr>
              <w:t>施工期</w:t>
            </w:r>
            <w:r>
              <w:rPr>
                <w:b/>
                <w:sz w:val="24"/>
              </w:rPr>
              <w:t>固体废物环境保护措施</w:t>
            </w:r>
          </w:p>
          <w:p w14:paraId="18923A01">
            <w:pPr>
              <w:spacing w:line="360" w:lineRule="auto"/>
              <w:ind w:firstLine="480" w:firstLineChars="200"/>
              <w:rPr>
                <w:sz w:val="24"/>
              </w:rPr>
            </w:pPr>
            <w:r>
              <w:rPr>
                <w:sz w:val="24"/>
              </w:rPr>
              <w:t>施工垃圾主要为各类建筑材料使用时产生的废边角余料以及施工人员生活垃圾。建筑材料收集后全部卖给废品回收公司；不能够回收利用的部分如碎砖、渣等则清运至指定弃渣场堆放，不向外环境排放；生活垃圾收集后交由环卫部门清运处理。各施工阶段的固体废物只要及时清运，将不会对周围环境产生影响。</w:t>
            </w:r>
          </w:p>
          <w:p w14:paraId="3CC7ED1D">
            <w:pPr>
              <w:spacing w:line="360" w:lineRule="auto"/>
              <w:ind w:firstLine="482" w:firstLineChars="200"/>
              <w:rPr>
                <w:b/>
                <w:sz w:val="24"/>
              </w:rPr>
            </w:pPr>
            <w:r>
              <w:rPr>
                <w:b/>
                <w:sz w:val="24"/>
              </w:rPr>
              <w:t>5、生态及景观保护措施</w:t>
            </w:r>
          </w:p>
          <w:p w14:paraId="6B8619C9">
            <w:pPr>
              <w:spacing w:line="360" w:lineRule="auto"/>
              <w:ind w:firstLine="480" w:firstLineChars="200"/>
              <w:rPr>
                <w:sz w:val="24"/>
              </w:rPr>
            </w:pPr>
            <w:r>
              <w:rPr>
                <w:sz w:val="24"/>
              </w:rPr>
              <w:t>项目对生态环境的破坏主要发生在施工期。建设单位在施工期土石方开挖将导致地表层土松、散，土抗蚀能力减弱，在遇到大风或雨天时容易形成扬尘或水土流失。在施工中先做好挡护，再存放土方，施工现场要设截断槽或建挡水墙，以防止雨水从暴露的土壤表面流出；及时注意天气变化，在有降雨预报时对露天堆放的土堆、沙堆进行遮挡覆盖，用焦油帆布等覆盖管沟的作业面和松土层；临时存放的土堆表面喷洒覆盖剂或使用遮蔽材料，当土堆在雨季不能回填时，也可考虑在其上面种梢一些草本植物以保持水土。项目采取生态保护措施后可有效减少项目施工期生态破坏，项目建设后，铺装透水砖、植草砖，安装节水灌溉措施，在一定程度上有利于改善项目区生态环境。</w:t>
            </w:r>
          </w:p>
          <w:p w14:paraId="71DC3A1D">
            <w:pPr>
              <w:spacing w:line="360" w:lineRule="auto"/>
              <w:ind w:firstLine="480" w:firstLineChars="200"/>
              <w:rPr>
                <w:sz w:val="24"/>
              </w:rPr>
            </w:pPr>
          </w:p>
          <w:p w14:paraId="7227BE9F">
            <w:pPr>
              <w:spacing w:line="360" w:lineRule="auto"/>
              <w:ind w:firstLine="480" w:firstLineChars="200"/>
              <w:rPr>
                <w:sz w:val="24"/>
                <w:szCs w:val="24"/>
              </w:rPr>
            </w:pPr>
          </w:p>
        </w:tc>
      </w:tr>
    </w:tbl>
    <w:p w14:paraId="26A9E9B9">
      <w:pPr>
        <w:pStyle w:val="13"/>
        <w:ind w:firstLine="0"/>
      </w:pPr>
    </w:p>
    <w:p w14:paraId="5F781AF9">
      <w:pPr>
        <w:sectPr>
          <w:pgSz w:w="11906" w:h="16838"/>
          <w:pgMar w:top="1418" w:right="1134" w:bottom="1418" w:left="1418" w:header="851" w:footer="992" w:gutter="0"/>
          <w:pgNumType w:fmt="decimal"/>
          <w:cols w:space="425" w:num="1"/>
          <w:docGrid w:linePitch="312" w:charSpace="0"/>
        </w:sectPr>
      </w:pPr>
    </w:p>
    <w:tbl>
      <w:tblPr>
        <w:tblStyle w:val="35"/>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3791"/>
      </w:tblGrid>
      <w:tr w14:paraId="15B15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69" w:hRule="atLeast"/>
        </w:trPr>
        <w:tc>
          <w:tcPr>
            <w:tcW w:w="245" w:type="pct"/>
            <w:vAlign w:val="center"/>
          </w:tcPr>
          <w:p w14:paraId="1DAFA836">
            <w:pPr>
              <w:jc w:val="center"/>
            </w:pPr>
            <w:r>
              <w:rPr>
                <w:bCs/>
                <w:sz w:val="24"/>
              </w:rPr>
              <w:t>运营期环境影响和保护措施</w:t>
            </w:r>
          </w:p>
        </w:tc>
        <w:tc>
          <w:tcPr>
            <w:tcW w:w="4755" w:type="pct"/>
          </w:tcPr>
          <w:p w14:paraId="76D4ECB7">
            <w:pPr>
              <w:spacing w:line="360" w:lineRule="auto"/>
              <w:ind w:firstLine="482" w:firstLineChars="200"/>
              <w:rPr>
                <w:b/>
                <w:bCs/>
                <w:sz w:val="24"/>
              </w:rPr>
            </w:pPr>
            <w:r>
              <w:rPr>
                <w:b/>
                <w:bCs/>
                <w:sz w:val="24"/>
              </w:rPr>
              <w:t>1.大气污染源</w:t>
            </w:r>
          </w:p>
          <w:p w14:paraId="750B0204">
            <w:pPr>
              <w:spacing w:line="360" w:lineRule="auto"/>
              <w:ind w:firstLine="480" w:firstLineChars="200"/>
              <w:rPr>
                <w:sz w:val="24"/>
              </w:rPr>
            </w:pPr>
            <w:r>
              <w:rPr>
                <w:rFonts w:hint="eastAsia"/>
                <w:sz w:val="24"/>
              </w:rPr>
              <w:t>项目大气污染物主要为锅炉燃烧废气产生的</w:t>
            </w:r>
            <w:r>
              <w:rPr>
                <w:rFonts w:hint="eastAsia"/>
                <w:kern w:val="18"/>
                <w:sz w:val="24"/>
              </w:rPr>
              <w:t>颗粒物、</w:t>
            </w:r>
            <w:r>
              <w:rPr>
                <w:kern w:val="18"/>
                <w:sz w:val="24"/>
              </w:rPr>
              <w:t>SO</w:t>
            </w:r>
            <w:r>
              <w:rPr>
                <w:kern w:val="18"/>
                <w:sz w:val="24"/>
                <w:vertAlign w:val="subscript"/>
              </w:rPr>
              <w:t>2</w:t>
            </w:r>
            <w:r>
              <w:rPr>
                <w:rFonts w:hint="eastAsia"/>
                <w:kern w:val="18"/>
                <w:sz w:val="24"/>
              </w:rPr>
              <w:t>、</w:t>
            </w:r>
            <w:r>
              <w:rPr>
                <w:kern w:val="18"/>
                <w:sz w:val="24"/>
              </w:rPr>
              <w:t>NO</w:t>
            </w:r>
            <w:r>
              <w:rPr>
                <w:kern w:val="18"/>
                <w:sz w:val="24"/>
                <w:vertAlign w:val="subscript"/>
              </w:rPr>
              <w:t>X</w:t>
            </w:r>
            <w:r>
              <w:rPr>
                <w:rFonts w:hint="eastAsia"/>
                <w:sz w:val="24"/>
                <w:szCs w:val="24"/>
              </w:rPr>
              <w:t>，</w:t>
            </w:r>
            <w:r>
              <w:rPr>
                <w:rFonts w:hint="eastAsia"/>
                <w:kern w:val="18"/>
                <w:sz w:val="24"/>
              </w:rPr>
              <w:t>废白土暂存、造粒产生的臭气，以及冷凝系统不凝气的</w:t>
            </w:r>
            <w:r>
              <w:rPr>
                <w:rFonts w:hint="eastAsia"/>
                <w:sz w:val="24"/>
              </w:rPr>
              <w:t>非甲烷总烃。锅炉燃烧废气经</w:t>
            </w:r>
            <w:r>
              <w:rPr>
                <w:sz w:val="24"/>
              </w:rPr>
              <w:t>低氮燃烧</w:t>
            </w:r>
            <w:r>
              <w:rPr>
                <w:rFonts w:hint="eastAsia"/>
                <w:sz w:val="24"/>
              </w:rPr>
              <w:t>+袋式除尘器+</w:t>
            </w:r>
            <w:r>
              <w:rPr>
                <w:sz w:val="24"/>
              </w:rPr>
              <w:t>SCR</w:t>
            </w:r>
            <w:r>
              <w:rPr>
                <w:rFonts w:hint="eastAsia"/>
                <w:sz w:val="24"/>
              </w:rPr>
              <w:t>装置处理达标后通过1根15m米高排气筒DA001排放，</w:t>
            </w:r>
            <w:r>
              <w:rPr>
                <w:rFonts w:hint="eastAsia"/>
                <w:kern w:val="18"/>
                <w:sz w:val="24"/>
              </w:rPr>
              <w:t>废白土暂存、造粒和冷凝系统产生的臭气、非甲烷总烃</w:t>
            </w:r>
            <w:r>
              <w:rPr>
                <w:rFonts w:hint="eastAsia"/>
                <w:sz w:val="24"/>
              </w:rPr>
              <w:t>收集后经“二级活性炭”装置处理达标后通过1根15m高排气筒DA003排放，具体产排情况见表4-1。</w:t>
            </w:r>
          </w:p>
          <w:p w14:paraId="0BC07954">
            <w:pPr>
              <w:pStyle w:val="12"/>
              <w:spacing w:line="360" w:lineRule="auto"/>
              <w:ind w:left="0" w:leftChars="0" w:firstLine="0" w:firstLineChars="0"/>
              <w:jc w:val="center"/>
              <w:rPr>
                <w:b/>
              </w:rPr>
            </w:pPr>
            <w:r>
              <w:rPr>
                <w:b/>
              </w:rPr>
              <w:t>表</w:t>
            </w:r>
            <w:r>
              <w:rPr>
                <w:rFonts w:hint="eastAsia"/>
                <w:b/>
              </w:rPr>
              <w:t>4-1</w:t>
            </w:r>
            <w:r>
              <w:rPr>
                <w:b/>
              </w:rPr>
              <w:t xml:space="preserve"> 废气污染源强核算结果及相关参数</w:t>
            </w:r>
          </w:p>
          <w:tbl>
            <w:tblPr>
              <w:tblStyle w:val="35"/>
              <w:tblW w:w="13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03"/>
              <w:gridCol w:w="1416"/>
              <w:gridCol w:w="710"/>
              <w:gridCol w:w="853"/>
              <w:gridCol w:w="853"/>
              <w:gridCol w:w="710"/>
              <w:gridCol w:w="853"/>
              <w:gridCol w:w="1131"/>
              <w:gridCol w:w="993"/>
              <w:gridCol w:w="993"/>
              <w:gridCol w:w="999"/>
              <w:gridCol w:w="918"/>
              <w:gridCol w:w="864"/>
              <w:gridCol w:w="899"/>
            </w:tblGrid>
            <w:tr w14:paraId="31D33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restart"/>
                  <w:vAlign w:val="center"/>
                </w:tcPr>
                <w:p w14:paraId="7AA0684B">
                  <w:pPr>
                    <w:pStyle w:val="49"/>
                  </w:pPr>
                  <w:r>
                    <w:rPr>
                      <w:rFonts w:hint="eastAsia"/>
                    </w:rPr>
                    <w:t>产污环节</w:t>
                  </w:r>
                </w:p>
                <w:p w14:paraId="71FB406A">
                  <w:pPr>
                    <w:pStyle w:val="49"/>
                  </w:pPr>
                  <w:r>
                    <w:rPr>
                      <w:rFonts w:hint="eastAsia"/>
                    </w:rPr>
                    <w:t>及排气口</w:t>
                  </w:r>
                </w:p>
              </w:tc>
              <w:tc>
                <w:tcPr>
                  <w:tcW w:w="525" w:type="pct"/>
                  <w:vMerge w:val="restart"/>
                  <w:vAlign w:val="center"/>
                </w:tcPr>
                <w:p w14:paraId="4EE3057D">
                  <w:pPr>
                    <w:pStyle w:val="49"/>
                  </w:pPr>
                  <w:r>
                    <w:rPr>
                      <w:rFonts w:hint="eastAsia"/>
                    </w:rPr>
                    <w:t>污染物种类</w:t>
                  </w:r>
                </w:p>
              </w:tc>
              <w:tc>
                <w:tcPr>
                  <w:tcW w:w="263" w:type="pct"/>
                  <w:vMerge w:val="restart"/>
                  <w:vAlign w:val="center"/>
                </w:tcPr>
                <w:p w14:paraId="7D6E5C22">
                  <w:pPr>
                    <w:pStyle w:val="49"/>
                  </w:pPr>
                  <w:r>
                    <w:rPr>
                      <w:rFonts w:hint="eastAsia"/>
                    </w:rPr>
                    <w:t>排放</w:t>
                  </w:r>
                </w:p>
                <w:p w14:paraId="058D58C6">
                  <w:pPr>
                    <w:pStyle w:val="49"/>
                  </w:pPr>
                  <w:r>
                    <w:rPr>
                      <w:rFonts w:hint="eastAsia"/>
                    </w:rPr>
                    <w:t>方式</w:t>
                  </w:r>
                </w:p>
              </w:tc>
              <w:tc>
                <w:tcPr>
                  <w:tcW w:w="316" w:type="pct"/>
                  <w:vMerge w:val="restart"/>
                  <w:vAlign w:val="center"/>
                </w:tcPr>
                <w:p w14:paraId="7656644C">
                  <w:pPr>
                    <w:pStyle w:val="49"/>
                  </w:pPr>
                  <w:r>
                    <w:rPr>
                      <w:rFonts w:hint="eastAsia"/>
                    </w:rPr>
                    <w:t>废气量m</w:t>
                  </w:r>
                  <w:r>
                    <w:rPr>
                      <w:rFonts w:hint="eastAsia"/>
                      <w:vertAlign w:val="superscript"/>
                    </w:rPr>
                    <w:t>3</w:t>
                  </w:r>
                  <w:r>
                    <w:rPr>
                      <w:rFonts w:hint="eastAsia"/>
                    </w:rPr>
                    <w:t>/h</w:t>
                  </w:r>
                </w:p>
              </w:tc>
              <w:tc>
                <w:tcPr>
                  <w:tcW w:w="895" w:type="pct"/>
                  <w:gridSpan w:val="3"/>
                  <w:vAlign w:val="center"/>
                </w:tcPr>
                <w:p w14:paraId="6B52BA48">
                  <w:pPr>
                    <w:pStyle w:val="49"/>
                  </w:pPr>
                  <w:r>
                    <w:rPr>
                      <w:rFonts w:hint="eastAsia"/>
                    </w:rPr>
                    <w:t>污染物产生情况</w:t>
                  </w:r>
                </w:p>
              </w:tc>
              <w:tc>
                <w:tcPr>
                  <w:tcW w:w="1525" w:type="pct"/>
                  <w:gridSpan w:val="4"/>
                  <w:vAlign w:val="center"/>
                </w:tcPr>
                <w:p w14:paraId="5FC153F7">
                  <w:pPr>
                    <w:pStyle w:val="49"/>
                  </w:pPr>
                  <w:r>
                    <w:rPr>
                      <w:rFonts w:hint="eastAsia"/>
                    </w:rPr>
                    <w:t>治理措施</w:t>
                  </w:r>
                </w:p>
              </w:tc>
              <w:tc>
                <w:tcPr>
                  <w:tcW w:w="993" w:type="pct"/>
                  <w:gridSpan w:val="3"/>
                  <w:vAlign w:val="center"/>
                </w:tcPr>
                <w:p w14:paraId="16BF15A8">
                  <w:pPr>
                    <w:pStyle w:val="49"/>
                  </w:pPr>
                  <w:r>
                    <w:rPr>
                      <w:rFonts w:hint="eastAsia"/>
                    </w:rPr>
                    <w:t>污染物排放情况</w:t>
                  </w:r>
                </w:p>
              </w:tc>
            </w:tr>
            <w:tr w14:paraId="28B76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0FC7D0B0">
                  <w:pPr>
                    <w:pStyle w:val="49"/>
                  </w:pPr>
                </w:p>
              </w:tc>
              <w:tc>
                <w:tcPr>
                  <w:tcW w:w="525" w:type="pct"/>
                  <w:vMerge w:val="continue"/>
                  <w:vAlign w:val="center"/>
                </w:tcPr>
                <w:p w14:paraId="7F9D9805">
                  <w:pPr>
                    <w:pStyle w:val="49"/>
                  </w:pPr>
                </w:p>
              </w:tc>
              <w:tc>
                <w:tcPr>
                  <w:tcW w:w="263" w:type="pct"/>
                  <w:vMerge w:val="continue"/>
                  <w:vAlign w:val="center"/>
                </w:tcPr>
                <w:p w14:paraId="23B7C97F">
                  <w:pPr>
                    <w:pStyle w:val="49"/>
                  </w:pPr>
                </w:p>
              </w:tc>
              <w:tc>
                <w:tcPr>
                  <w:tcW w:w="316" w:type="pct"/>
                  <w:vMerge w:val="continue"/>
                  <w:vAlign w:val="center"/>
                </w:tcPr>
                <w:p w14:paraId="5BDDFED6">
                  <w:pPr>
                    <w:pStyle w:val="49"/>
                  </w:pPr>
                </w:p>
              </w:tc>
              <w:tc>
                <w:tcPr>
                  <w:tcW w:w="316" w:type="pct"/>
                  <w:vAlign w:val="center"/>
                </w:tcPr>
                <w:p w14:paraId="6E863DDE">
                  <w:pPr>
                    <w:pStyle w:val="49"/>
                  </w:pPr>
                  <w:r>
                    <w:rPr>
                      <w:rFonts w:hint="eastAsia"/>
                    </w:rPr>
                    <w:t>产生量t/a</w:t>
                  </w:r>
                </w:p>
              </w:tc>
              <w:tc>
                <w:tcPr>
                  <w:tcW w:w="263" w:type="pct"/>
                  <w:vAlign w:val="center"/>
                </w:tcPr>
                <w:p w14:paraId="2F005D98">
                  <w:pPr>
                    <w:pStyle w:val="49"/>
                  </w:pPr>
                  <w:r>
                    <w:rPr>
                      <w:rFonts w:hint="eastAsia"/>
                    </w:rPr>
                    <w:t>速率kg/h</w:t>
                  </w:r>
                </w:p>
              </w:tc>
              <w:tc>
                <w:tcPr>
                  <w:tcW w:w="316" w:type="pct"/>
                  <w:vAlign w:val="center"/>
                </w:tcPr>
                <w:p w14:paraId="3C135215">
                  <w:pPr>
                    <w:pStyle w:val="49"/>
                  </w:pPr>
                  <w:r>
                    <w:rPr>
                      <w:rFonts w:hint="eastAsia"/>
                    </w:rPr>
                    <w:t>浓度mg/m</w:t>
                  </w:r>
                  <w:r>
                    <w:rPr>
                      <w:rFonts w:hint="eastAsia"/>
                      <w:vertAlign w:val="superscript"/>
                    </w:rPr>
                    <w:t>3</w:t>
                  </w:r>
                </w:p>
              </w:tc>
              <w:tc>
                <w:tcPr>
                  <w:tcW w:w="419" w:type="pct"/>
                  <w:vAlign w:val="center"/>
                </w:tcPr>
                <w:p w14:paraId="4C40BC81">
                  <w:pPr>
                    <w:pStyle w:val="49"/>
                  </w:pPr>
                  <w:r>
                    <w:rPr>
                      <w:rFonts w:hint="eastAsia"/>
                    </w:rPr>
                    <w:t>治理工艺</w:t>
                  </w:r>
                </w:p>
              </w:tc>
              <w:tc>
                <w:tcPr>
                  <w:tcW w:w="368" w:type="pct"/>
                  <w:vAlign w:val="center"/>
                </w:tcPr>
                <w:p w14:paraId="6A8C88A3">
                  <w:pPr>
                    <w:pStyle w:val="49"/>
                  </w:pPr>
                  <w:r>
                    <w:rPr>
                      <w:rFonts w:hint="eastAsia"/>
                    </w:rPr>
                    <w:t>收集效率</w:t>
                  </w:r>
                </w:p>
              </w:tc>
              <w:tc>
                <w:tcPr>
                  <w:tcW w:w="368" w:type="pct"/>
                  <w:vAlign w:val="center"/>
                </w:tcPr>
                <w:p w14:paraId="2C62C502">
                  <w:pPr>
                    <w:pStyle w:val="49"/>
                  </w:pPr>
                  <w:r>
                    <w:rPr>
                      <w:rFonts w:hint="eastAsia"/>
                    </w:rPr>
                    <w:t>处理效率</w:t>
                  </w:r>
                </w:p>
              </w:tc>
              <w:tc>
                <w:tcPr>
                  <w:tcW w:w="370" w:type="pct"/>
                  <w:vAlign w:val="center"/>
                </w:tcPr>
                <w:p w14:paraId="642CB7DD">
                  <w:pPr>
                    <w:pStyle w:val="49"/>
                  </w:pPr>
                  <w:r>
                    <w:rPr>
                      <w:rFonts w:hint="eastAsia"/>
                    </w:rPr>
                    <w:t>是否为可行性技术</w:t>
                  </w:r>
                </w:p>
              </w:tc>
              <w:tc>
                <w:tcPr>
                  <w:tcW w:w="340" w:type="pct"/>
                  <w:vAlign w:val="center"/>
                </w:tcPr>
                <w:p w14:paraId="229686D5">
                  <w:pPr>
                    <w:pStyle w:val="49"/>
                  </w:pPr>
                  <w:r>
                    <w:rPr>
                      <w:rFonts w:hint="eastAsia"/>
                    </w:rPr>
                    <w:t>排放量t/a</w:t>
                  </w:r>
                </w:p>
              </w:tc>
              <w:tc>
                <w:tcPr>
                  <w:tcW w:w="320" w:type="pct"/>
                  <w:vAlign w:val="center"/>
                </w:tcPr>
                <w:p w14:paraId="03BF624A">
                  <w:pPr>
                    <w:pStyle w:val="49"/>
                  </w:pPr>
                  <w:r>
                    <w:rPr>
                      <w:rFonts w:hint="eastAsia"/>
                    </w:rPr>
                    <w:t>速率kg/h</w:t>
                  </w:r>
                </w:p>
              </w:tc>
              <w:tc>
                <w:tcPr>
                  <w:tcW w:w="333" w:type="pct"/>
                  <w:vAlign w:val="center"/>
                </w:tcPr>
                <w:p w14:paraId="602A5A3E">
                  <w:pPr>
                    <w:pStyle w:val="49"/>
                  </w:pPr>
                  <w:r>
                    <w:rPr>
                      <w:rFonts w:hint="eastAsia"/>
                    </w:rPr>
                    <w:t>浓度mg/m</w:t>
                  </w:r>
                  <w:r>
                    <w:rPr>
                      <w:rFonts w:hint="eastAsia"/>
                      <w:vertAlign w:val="superscript"/>
                    </w:rPr>
                    <w:t>3</w:t>
                  </w:r>
                </w:p>
              </w:tc>
            </w:tr>
            <w:tr w14:paraId="233C7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restart"/>
                  <w:vAlign w:val="center"/>
                </w:tcPr>
                <w:p w14:paraId="67A78BCC">
                  <w:pPr>
                    <w:jc w:val="center"/>
                  </w:pPr>
                  <w:r>
                    <w:rPr>
                      <w:rFonts w:hint="eastAsia"/>
                    </w:rPr>
                    <w:t>锅炉废气</w:t>
                  </w:r>
                </w:p>
                <w:p w14:paraId="1FFEC607">
                  <w:pPr>
                    <w:jc w:val="center"/>
                  </w:pPr>
                  <w:r>
                    <w:rPr>
                      <w:rFonts w:hint="eastAsia"/>
                    </w:rPr>
                    <w:t>（DA001）</w:t>
                  </w:r>
                </w:p>
              </w:tc>
              <w:tc>
                <w:tcPr>
                  <w:tcW w:w="525" w:type="pct"/>
                  <w:vAlign w:val="center"/>
                </w:tcPr>
                <w:p w14:paraId="0BFFAEFF">
                  <w:pPr>
                    <w:pStyle w:val="49"/>
                  </w:pPr>
                  <w:r>
                    <w:rPr>
                      <w:rFonts w:hint="eastAsia" w:cs="宋体"/>
                      <w:kern w:val="0"/>
                    </w:rPr>
                    <w:t>颗粒物</w:t>
                  </w:r>
                </w:p>
              </w:tc>
              <w:tc>
                <w:tcPr>
                  <w:tcW w:w="263" w:type="pct"/>
                  <w:vMerge w:val="restart"/>
                  <w:vAlign w:val="center"/>
                </w:tcPr>
                <w:p w14:paraId="5E97A7C4">
                  <w:pPr>
                    <w:pStyle w:val="49"/>
                  </w:pPr>
                  <w:r>
                    <w:rPr>
                      <w:rFonts w:hint="eastAsia"/>
                    </w:rPr>
                    <w:t>有组织</w:t>
                  </w:r>
                </w:p>
              </w:tc>
              <w:tc>
                <w:tcPr>
                  <w:tcW w:w="316" w:type="pct"/>
                  <w:vMerge w:val="restart"/>
                  <w:vAlign w:val="center"/>
                </w:tcPr>
                <w:p w14:paraId="6AE925CE">
                  <w:pPr>
                    <w:pStyle w:val="49"/>
                  </w:pPr>
                  <w:r>
                    <w:rPr>
                      <w:kern w:val="0"/>
                    </w:rPr>
                    <w:t>6864</w:t>
                  </w:r>
                </w:p>
              </w:tc>
              <w:tc>
                <w:tcPr>
                  <w:tcW w:w="316" w:type="pct"/>
                  <w:vAlign w:val="center"/>
                </w:tcPr>
                <w:p w14:paraId="0D5C4062">
                  <w:pPr>
                    <w:pStyle w:val="49"/>
                  </w:pPr>
                  <w:r>
                    <w:rPr>
                      <w:kern w:val="0"/>
                    </w:rPr>
                    <w:t xml:space="preserve">1.65 </w:t>
                  </w:r>
                </w:p>
              </w:tc>
              <w:tc>
                <w:tcPr>
                  <w:tcW w:w="263" w:type="pct"/>
                  <w:vAlign w:val="center"/>
                </w:tcPr>
                <w:p w14:paraId="271E9C7C">
                  <w:pPr>
                    <w:pStyle w:val="49"/>
                  </w:pPr>
                  <w:r>
                    <w:rPr>
                      <w:kern w:val="0"/>
                    </w:rPr>
                    <w:t>0.55</w:t>
                  </w:r>
                </w:p>
              </w:tc>
              <w:tc>
                <w:tcPr>
                  <w:tcW w:w="316" w:type="pct"/>
                  <w:vAlign w:val="center"/>
                </w:tcPr>
                <w:p w14:paraId="5C661351">
                  <w:pPr>
                    <w:pStyle w:val="49"/>
                  </w:pPr>
                  <w:r>
                    <w:rPr>
                      <w:kern w:val="0"/>
                    </w:rPr>
                    <w:t xml:space="preserve">80.13 </w:t>
                  </w:r>
                </w:p>
              </w:tc>
              <w:tc>
                <w:tcPr>
                  <w:tcW w:w="419" w:type="pct"/>
                  <w:vMerge w:val="restart"/>
                  <w:vAlign w:val="center"/>
                </w:tcPr>
                <w:p w14:paraId="52FFF533">
                  <w:pPr>
                    <w:pStyle w:val="49"/>
                  </w:pPr>
                  <w:r>
                    <w:t>低氮燃烧</w:t>
                  </w:r>
                  <w:r>
                    <w:rPr>
                      <w:rFonts w:hint="eastAsia"/>
                    </w:rPr>
                    <w:t>+袋式除尘器+</w:t>
                  </w:r>
                  <w:r>
                    <w:t>SCR</w:t>
                  </w:r>
                </w:p>
              </w:tc>
              <w:tc>
                <w:tcPr>
                  <w:tcW w:w="368" w:type="pct"/>
                  <w:vAlign w:val="center"/>
                </w:tcPr>
                <w:p w14:paraId="406E7926">
                  <w:pPr>
                    <w:pStyle w:val="49"/>
                  </w:pPr>
                  <w:r>
                    <w:rPr>
                      <w:rFonts w:hint="eastAsia"/>
                    </w:rPr>
                    <w:t>100%</w:t>
                  </w:r>
                </w:p>
              </w:tc>
              <w:tc>
                <w:tcPr>
                  <w:tcW w:w="368" w:type="pct"/>
                  <w:vAlign w:val="center"/>
                </w:tcPr>
                <w:p w14:paraId="692A758D">
                  <w:pPr>
                    <w:pStyle w:val="49"/>
                  </w:pPr>
                  <w:r>
                    <w:rPr>
                      <w:rFonts w:hint="eastAsia" w:cs="Calibri"/>
                      <w:kern w:val="0"/>
                      <w:szCs w:val="22"/>
                    </w:rPr>
                    <w:t>99.7</w:t>
                  </w:r>
                  <w:r>
                    <w:rPr>
                      <w:rFonts w:hint="eastAsia"/>
                    </w:rPr>
                    <w:t>%</w:t>
                  </w:r>
                </w:p>
              </w:tc>
              <w:tc>
                <w:tcPr>
                  <w:tcW w:w="370" w:type="pct"/>
                  <w:vAlign w:val="center"/>
                </w:tcPr>
                <w:p w14:paraId="1CEC9EC2">
                  <w:pPr>
                    <w:pStyle w:val="49"/>
                  </w:pPr>
                  <w:r>
                    <w:rPr>
                      <w:rFonts w:hint="eastAsia"/>
                    </w:rPr>
                    <w:t>是</w:t>
                  </w:r>
                </w:p>
              </w:tc>
              <w:tc>
                <w:tcPr>
                  <w:tcW w:w="340" w:type="pct"/>
                  <w:vAlign w:val="center"/>
                </w:tcPr>
                <w:p w14:paraId="3C93279B">
                  <w:pPr>
                    <w:pStyle w:val="49"/>
                  </w:pPr>
                  <w:r>
                    <w:rPr>
                      <w:kern w:val="0"/>
                    </w:rPr>
                    <w:t xml:space="preserve">0.0050 </w:t>
                  </w:r>
                </w:p>
              </w:tc>
              <w:tc>
                <w:tcPr>
                  <w:tcW w:w="320" w:type="pct"/>
                  <w:vAlign w:val="center"/>
                </w:tcPr>
                <w:p w14:paraId="746348CF">
                  <w:pPr>
                    <w:pStyle w:val="49"/>
                  </w:pPr>
                  <w:r>
                    <w:rPr>
                      <w:kern w:val="0"/>
                    </w:rPr>
                    <w:t xml:space="preserve">0.0017 </w:t>
                  </w:r>
                </w:p>
              </w:tc>
              <w:tc>
                <w:tcPr>
                  <w:tcW w:w="333" w:type="pct"/>
                  <w:vAlign w:val="center"/>
                </w:tcPr>
                <w:p w14:paraId="1FED35CC">
                  <w:pPr>
                    <w:pStyle w:val="49"/>
                  </w:pPr>
                  <w:r>
                    <w:rPr>
                      <w:kern w:val="0"/>
                    </w:rPr>
                    <w:t xml:space="preserve">0.24 </w:t>
                  </w:r>
                </w:p>
              </w:tc>
            </w:tr>
            <w:tr w14:paraId="0A10A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6EA9A3C3">
                  <w:pPr>
                    <w:jc w:val="center"/>
                  </w:pPr>
                </w:p>
              </w:tc>
              <w:tc>
                <w:tcPr>
                  <w:tcW w:w="525" w:type="pct"/>
                  <w:vAlign w:val="center"/>
                </w:tcPr>
                <w:p w14:paraId="7CFC5D7E">
                  <w:pPr>
                    <w:pStyle w:val="49"/>
                  </w:pPr>
                  <w:r>
                    <w:rPr>
                      <w:kern w:val="0"/>
                    </w:rPr>
                    <w:t>NO</w:t>
                  </w:r>
                  <w:r>
                    <w:rPr>
                      <w:kern w:val="0"/>
                      <w:vertAlign w:val="subscript"/>
                    </w:rPr>
                    <w:t>x</w:t>
                  </w:r>
                </w:p>
              </w:tc>
              <w:tc>
                <w:tcPr>
                  <w:tcW w:w="263" w:type="pct"/>
                  <w:vMerge w:val="continue"/>
                  <w:vAlign w:val="center"/>
                </w:tcPr>
                <w:p w14:paraId="72D3AEF7">
                  <w:pPr>
                    <w:pStyle w:val="49"/>
                  </w:pPr>
                </w:p>
              </w:tc>
              <w:tc>
                <w:tcPr>
                  <w:tcW w:w="316" w:type="pct"/>
                  <w:vMerge w:val="continue"/>
                  <w:vAlign w:val="center"/>
                </w:tcPr>
                <w:p w14:paraId="789BB7B6">
                  <w:pPr>
                    <w:pStyle w:val="49"/>
                  </w:pPr>
                </w:p>
              </w:tc>
              <w:tc>
                <w:tcPr>
                  <w:tcW w:w="316" w:type="pct"/>
                  <w:vAlign w:val="center"/>
                </w:tcPr>
                <w:p w14:paraId="08E3B496">
                  <w:pPr>
                    <w:pStyle w:val="49"/>
                  </w:pPr>
                  <w:r>
                    <w:rPr>
                      <w:kern w:val="0"/>
                    </w:rPr>
                    <w:t xml:space="preserve">3.37 </w:t>
                  </w:r>
                </w:p>
              </w:tc>
              <w:tc>
                <w:tcPr>
                  <w:tcW w:w="263" w:type="pct"/>
                  <w:vAlign w:val="center"/>
                </w:tcPr>
                <w:p w14:paraId="22938E86">
                  <w:pPr>
                    <w:pStyle w:val="49"/>
                  </w:pPr>
                  <w:r>
                    <w:rPr>
                      <w:kern w:val="0"/>
                    </w:rPr>
                    <w:t xml:space="preserve">1.12 </w:t>
                  </w:r>
                </w:p>
              </w:tc>
              <w:tc>
                <w:tcPr>
                  <w:tcW w:w="316" w:type="pct"/>
                  <w:vAlign w:val="center"/>
                </w:tcPr>
                <w:p w14:paraId="11CF6EB8">
                  <w:pPr>
                    <w:pStyle w:val="49"/>
                  </w:pPr>
                  <w:r>
                    <w:rPr>
                      <w:kern w:val="0"/>
                    </w:rPr>
                    <w:t xml:space="preserve">163.46 </w:t>
                  </w:r>
                </w:p>
              </w:tc>
              <w:tc>
                <w:tcPr>
                  <w:tcW w:w="419" w:type="pct"/>
                  <w:vMerge w:val="continue"/>
                  <w:vAlign w:val="center"/>
                </w:tcPr>
                <w:p w14:paraId="5DD7399F">
                  <w:pPr>
                    <w:pStyle w:val="49"/>
                  </w:pPr>
                </w:p>
              </w:tc>
              <w:tc>
                <w:tcPr>
                  <w:tcW w:w="368" w:type="pct"/>
                  <w:vAlign w:val="center"/>
                </w:tcPr>
                <w:p w14:paraId="24CA6C1E">
                  <w:pPr>
                    <w:pStyle w:val="49"/>
                  </w:pPr>
                  <w:r>
                    <w:rPr>
                      <w:rFonts w:hint="eastAsia"/>
                    </w:rPr>
                    <w:t>100%</w:t>
                  </w:r>
                </w:p>
              </w:tc>
              <w:tc>
                <w:tcPr>
                  <w:tcW w:w="368" w:type="pct"/>
                  <w:vAlign w:val="center"/>
                </w:tcPr>
                <w:p w14:paraId="04A28F32">
                  <w:pPr>
                    <w:pStyle w:val="49"/>
                  </w:pPr>
                  <w:r>
                    <w:rPr>
                      <w:rFonts w:hint="eastAsia" w:cs="Calibri"/>
                      <w:kern w:val="0"/>
                      <w:szCs w:val="22"/>
                    </w:rPr>
                    <w:t>79.0</w:t>
                  </w:r>
                  <w:r>
                    <w:rPr>
                      <w:rFonts w:hint="eastAsia"/>
                    </w:rPr>
                    <w:t>%</w:t>
                  </w:r>
                </w:p>
              </w:tc>
              <w:tc>
                <w:tcPr>
                  <w:tcW w:w="370" w:type="pct"/>
                  <w:vAlign w:val="center"/>
                </w:tcPr>
                <w:p w14:paraId="6B5C31E6">
                  <w:pPr>
                    <w:pStyle w:val="49"/>
                  </w:pPr>
                  <w:r>
                    <w:rPr>
                      <w:rFonts w:hint="eastAsia"/>
                    </w:rPr>
                    <w:t>是</w:t>
                  </w:r>
                </w:p>
              </w:tc>
              <w:tc>
                <w:tcPr>
                  <w:tcW w:w="340" w:type="pct"/>
                  <w:vAlign w:val="center"/>
                </w:tcPr>
                <w:p w14:paraId="4AF3425C">
                  <w:pPr>
                    <w:pStyle w:val="49"/>
                  </w:pPr>
                  <w:r>
                    <w:rPr>
                      <w:kern w:val="0"/>
                    </w:rPr>
                    <w:t xml:space="preserve">0.71 </w:t>
                  </w:r>
                </w:p>
              </w:tc>
              <w:tc>
                <w:tcPr>
                  <w:tcW w:w="320" w:type="pct"/>
                  <w:vAlign w:val="center"/>
                </w:tcPr>
                <w:p w14:paraId="71459C5C">
                  <w:pPr>
                    <w:pStyle w:val="49"/>
                  </w:pPr>
                  <w:r>
                    <w:rPr>
                      <w:kern w:val="0"/>
                    </w:rPr>
                    <w:t xml:space="preserve">0.24 </w:t>
                  </w:r>
                </w:p>
              </w:tc>
              <w:tc>
                <w:tcPr>
                  <w:tcW w:w="333" w:type="pct"/>
                  <w:vAlign w:val="center"/>
                </w:tcPr>
                <w:p w14:paraId="168C6691">
                  <w:pPr>
                    <w:pStyle w:val="49"/>
                    <w:rPr>
                      <w:rFonts w:cs="宋体"/>
                    </w:rPr>
                  </w:pPr>
                  <w:r>
                    <w:rPr>
                      <w:kern w:val="0"/>
                    </w:rPr>
                    <w:t xml:space="preserve">34.33 </w:t>
                  </w:r>
                </w:p>
              </w:tc>
            </w:tr>
            <w:tr w14:paraId="56DF0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639A134B">
                  <w:pPr>
                    <w:jc w:val="center"/>
                  </w:pPr>
                </w:p>
              </w:tc>
              <w:tc>
                <w:tcPr>
                  <w:tcW w:w="525" w:type="pct"/>
                  <w:vAlign w:val="center"/>
                </w:tcPr>
                <w:p w14:paraId="28E3165D">
                  <w:pPr>
                    <w:pStyle w:val="49"/>
                  </w:pPr>
                  <w:r>
                    <w:rPr>
                      <w:kern w:val="0"/>
                    </w:rPr>
                    <w:t>SO</w:t>
                  </w:r>
                  <w:r>
                    <w:rPr>
                      <w:kern w:val="0"/>
                      <w:vertAlign w:val="subscript"/>
                    </w:rPr>
                    <w:t>2</w:t>
                  </w:r>
                </w:p>
              </w:tc>
              <w:tc>
                <w:tcPr>
                  <w:tcW w:w="263" w:type="pct"/>
                  <w:vMerge w:val="continue"/>
                  <w:vAlign w:val="center"/>
                </w:tcPr>
                <w:p w14:paraId="2ADDB9C4">
                  <w:pPr>
                    <w:pStyle w:val="49"/>
                  </w:pPr>
                </w:p>
              </w:tc>
              <w:tc>
                <w:tcPr>
                  <w:tcW w:w="316" w:type="pct"/>
                  <w:vMerge w:val="continue"/>
                  <w:vAlign w:val="center"/>
                </w:tcPr>
                <w:p w14:paraId="172C4EBA">
                  <w:pPr>
                    <w:pStyle w:val="49"/>
                  </w:pPr>
                </w:p>
              </w:tc>
              <w:tc>
                <w:tcPr>
                  <w:tcW w:w="316" w:type="pct"/>
                  <w:vAlign w:val="center"/>
                </w:tcPr>
                <w:p w14:paraId="19D4E3BB">
                  <w:pPr>
                    <w:pStyle w:val="49"/>
                  </w:pPr>
                  <w:r>
                    <w:rPr>
                      <w:kern w:val="0"/>
                    </w:rPr>
                    <w:t xml:space="preserve">0.56 </w:t>
                  </w:r>
                </w:p>
              </w:tc>
              <w:tc>
                <w:tcPr>
                  <w:tcW w:w="263" w:type="pct"/>
                  <w:vAlign w:val="center"/>
                </w:tcPr>
                <w:p w14:paraId="17312C37">
                  <w:pPr>
                    <w:pStyle w:val="49"/>
                  </w:pPr>
                  <w:r>
                    <w:rPr>
                      <w:kern w:val="0"/>
                    </w:rPr>
                    <w:t xml:space="preserve">0.19 </w:t>
                  </w:r>
                </w:p>
              </w:tc>
              <w:tc>
                <w:tcPr>
                  <w:tcW w:w="316" w:type="pct"/>
                  <w:vAlign w:val="center"/>
                </w:tcPr>
                <w:p w14:paraId="547A050F">
                  <w:pPr>
                    <w:pStyle w:val="49"/>
                  </w:pPr>
                  <w:r>
                    <w:rPr>
                      <w:kern w:val="0"/>
                    </w:rPr>
                    <w:t xml:space="preserve">27.24 </w:t>
                  </w:r>
                </w:p>
              </w:tc>
              <w:tc>
                <w:tcPr>
                  <w:tcW w:w="419" w:type="pct"/>
                  <w:vMerge w:val="continue"/>
                  <w:vAlign w:val="center"/>
                </w:tcPr>
                <w:p w14:paraId="6820EA70">
                  <w:pPr>
                    <w:pStyle w:val="49"/>
                  </w:pPr>
                </w:p>
              </w:tc>
              <w:tc>
                <w:tcPr>
                  <w:tcW w:w="368" w:type="pct"/>
                  <w:vAlign w:val="center"/>
                </w:tcPr>
                <w:p w14:paraId="51CEAA4C">
                  <w:pPr>
                    <w:pStyle w:val="49"/>
                  </w:pPr>
                  <w:r>
                    <w:rPr>
                      <w:rFonts w:hint="eastAsia"/>
                    </w:rPr>
                    <w:t>100%</w:t>
                  </w:r>
                </w:p>
              </w:tc>
              <w:tc>
                <w:tcPr>
                  <w:tcW w:w="368" w:type="pct"/>
                  <w:vAlign w:val="center"/>
                </w:tcPr>
                <w:p w14:paraId="0067F6C3">
                  <w:pPr>
                    <w:pStyle w:val="49"/>
                  </w:pPr>
                  <w:r>
                    <w:rPr>
                      <w:rFonts w:hint="eastAsia"/>
                    </w:rPr>
                    <w:t>/</w:t>
                  </w:r>
                </w:p>
              </w:tc>
              <w:tc>
                <w:tcPr>
                  <w:tcW w:w="370" w:type="pct"/>
                  <w:vAlign w:val="center"/>
                </w:tcPr>
                <w:p w14:paraId="2F723F74">
                  <w:pPr>
                    <w:pStyle w:val="49"/>
                  </w:pPr>
                  <w:r>
                    <w:rPr>
                      <w:rFonts w:hint="eastAsia"/>
                    </w:rPr>
                    <w:t>是</w:t>
                  </w:r>
                </w:p>
              </w:tc>
              <w:tc>
                <w:tcPr>
                  <w:tcW w:w="340" w:type="pct"/>
                  <w:vAlign w:val="center"/>
                </w:tcPr>
                <w:p w14:paraId="4CF909DA">
                  <w:pPr>
                    <w:pStyle w:val="49"/>
                  </w:pPr>
                  <w:r>
                    <w:rPr>
                      <w:kern w:val="0"/>
                    </w:rPr>
                    <w:t xml:space="preserve">0.56 </w:t>
                  </w:r>
                </w:p>
              </w:tc>
              <w:tc>
                <w:tcPr>
                  <w:tcW w:w="320" w:type="pct"/>
                  <w:vAlign w:val="center"/>
                </w:tcPr>
                <w:p w14:paraId="08FBC7B7">
                  <w:pPr>
                    <w:pStyle w:val="49"/>
                  </w:pPr>
                  <w:r>
                    <w:rPr>
                      <w:kern w:val="0"/>
                    </w:rPr>
                    <w:t xml:space="preserve">0.19 </w:t>
                  </w:r>
                </w:p>
              </w:tc>
              <w:tc>
                <w:tcPr>
                  <w:tcW w:w="333" w:type="pct"/>
                  <w:vAlign w:val="center"/>
                </w:tcPr>
                <w:p w14:paraId="3E2970F3">
                  <w:pPr>
                    <w:pStyle w:val="49"/>
                  </w:pPr>
                  <w:r>
                    <w:rPr>
                      <w:kern w:val="0"/>
                    </w:rPr>
                    <w:t xml:space="preserve">27.24 </w:t>
                  </w:r>
                </w:p>
              </w:tc>
            </w:tr>
            <w:tr w14:paraId="7FE21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restart"/>
                  <w:vAlign w:val="center"/>
                </w:tcPr>
                <w:p w14:paraId="4BE49F4A">
                  <w:pPr>
                    <w:jc w:val="center"/>
                    <w:rPr>
                      <w:rFonts w:cs="宋体"/>
                    </w:rPr>
                  </w:pPr>
                  <w:r>
                    <w:rPr>
                      <w:rFonts w:hint="eastAsia"/>
                    </w:rPr>
                    <w:t>废白土暂存、造粒废气</w:t>
                  </w:r>
                </w:p>
                <w:p w14:paraId="63166D91">
                  <w:pPr>
                    <w:jc w:val="center"/>
                    <w:rPr>
                      <w:rFonts w:cs="宋体"/>
                    </w:rPr>
                  </w:pPr>
                  <w:r>
                    <w:rPr>
                      <w:rFonts w:hint="eastAsia"/>
                    </w:rPr>
                    <w:t>（DA003）</w:t>
                  </w:r>
                </w:p>
              </w:tc>
              <w:tc>
                <w:tcPr>
                  <w:tcW w:w="525" w:type="pct"/>
                  <w:vAlign w:val="center"/>
                </w:tcPr>
                <w:p w14:paraId="6E764723">
                  <w:pPr>
                    <w:pStyle w:val="49"/>
                  </w:pPr>
                  <w:r>
                    <w:rPr>
                      <w:rFonts w:hint="eastAsia"/>
                    </w:rPr>
                    <w:t>非甲烷总烃</w:t>
                  </w:r>
                </w:p>
              </w:tc>
              <w:tc>
                <w:tcPr>
                  <w:tcW w:w="263" w:type="pct"/>
                  <w:vMerge w:val="restart"/>
                  <w:vAlign w:val="center"/>
                </w:tcPr>
                <w:p w14:paraId="276F3A7E">
                  <w:pPr>
                    <w:pStyle w:val="49"/>
                  </w:pPr>
                  <w:r>
                    <w:rPr>
                      <w:rFonts w:hint="eastAsia"/>
                    </w:rPr>
                    <w:t>有组织</w:t>
                  </w:r>
                </w:p>
              </w:tc>
              <w:tc>
                <w:tcPr>
                  <w:tcW w:w="316" w:type="pct"/>
                  <w:vMerge w:val="restart"/>
                  <w:vAlign w:val="center"/>
                </w:tcPr>
                <w:p w14:paraId="4A940665">
                  <w:pPr>
                    <w:pStyle w:val="49"/>
                  </w:pPr>
                  <w:r>
                    <w:rPr>
                      <w:rFonts w:hint="eastAsia"/>
                    </w:rPr>
                    <w:t>24500</w:t>
                  </w:r>
                </w:p>
              </w:tc>
              <w:tc>
                <w:tcPr>
                  <w:tcW w:w="316" w:type="pct"/>
                  <w:vAlign w:val="center"/>
                </w:tcPr>
                <w:p w14:paraId="2BC6341F">
                  <w:pPr>
                    <w:pStyle w:val="49"/>
                  </w:pPr>
                  <w:r>
                    <w:rPr>
                      <w:rFonts w:hint="eastAsia"/>
                    </w:rPr>
                    <w:t>0.14</w:t>
                  </w:r>
                </w:p>
              </w:tc>
              <w:tc>
                <w:tcPr>
                  <w:tcW w:w="263" w:type="pct"/>
                  <w:vAlign w:val="center"/>
                </w:tcPr>
                <w:p w14:paraId="6DCA6486">
                  <w:pPr>
                    <w:pStyle w:val="49"/>
                  </w:pPr>
                  <w:r>
                    <w:rPr>
                      <w:rFonts w:hint="eastAsia"/>
                    </w:rPr>
                    <w:t>0.019</w:t>
                  </w:r>
                </w:p>
              </w:tc>
              <w:tc>
                <w:tcPr>
                  <w:tcW w:w="316" w:type="pct"/>
                  <w:vAlign w:val="center"/>
                </w:tcPr>
                <w:p w14:paraId="087F4BAA">
                  <w:pPr>
                    <w:pStyle w:val="49"/>
                  </w:pPr>
                  <w:r>
                    <w:rPr>
                      <w:rFonts w:hint="eastAsia"/>
                    </w:rPr>
                    <w:t>0.78</w:t>
                  </w:r>
                </w:p>
              </w:tc>
              <w:tc>
                <w:tcPr>
                  <w:tcW w:w="419" w:type="pct"/>
                  <w:vMerge w:val="restart"/>
                  <w:vAlign w:val="center"/>
                </w:tcPr>
                <w:p w14:paraId="16866A4A">
                  <w:pPr>
                    <w:pStyle w:val="49"/>
                  </w:pPr>
                  <w:r>
                    <w:rPr>
                      <w:rFonts w:hint="eastAsia"/>
                    </w:rPr>
                    <w:t>二级活性炭吸附</w:t>
                  </w:r>
                </w:p>
              </w:tc>
              <w:tc>
                <w:tcPr>
                  <w:tcW w:w="368" w:type="pct"/>
                  <w:vAlign w:val="center"/>
                </w:tcPr>
                <w:p w14:paraId="3DA84ED5">
                  <w:pPr>
                    <w:pStyle w:val="49"/>
                  </w:pPr>
                  <w:r>
                    <w:rPr>
                      <w:rFonts w:hint="eastAsia"/>
                    </w:rPr>
                    <w:t>30%</w:t>
                  </w:r>
                </w:p>
              </w:tc>
              <w:tc>
                <w:tcPr>
                  <w:tcW w:w="368" w:type="pct"/>
                  <w:vAlign w:val="center"/>
                </w:tcPr>
                <w:p w14:paraId="7CE512D3">
                  <w:pPr>
                    <w:pStyle w:val="49"/>
                  </w:pPr>
                  <w:r>
                    <w:rPr>
                      <w:rFonts w:hint="eastAsia"/>
                    </w:rPr>
                    <w:t>80%</w:t>
                  </w:r>
                </w:p>
              </w:tc>
              <w:tc>
                <w:tcPr>
                  <w:tcW w:w="370" w:type="pct"/>
                  <w:vAlign w:val="center"/>
                </w:tcPr>
                <w:p w14:paraId="7B10137F">
                  <w:pPr>
                    <w:pStyle w:val="49"/>
                  </w:pPr>
                  <w:r>
                    <w:rPr>
                      <w:rFonts w:hint="eastAsia"/>
                    </w:rPr>
                    <w:t>是</w:t>
                  </w:r>
                </w:p>
              </w:tc>
              <w:tc>
                <w:tcPr>
                  <w:tcW w:w="340" w:type="pct"/>
                  <w:vAlign w:val="center"/>
                </w:tcPr>
                <w:p w14:paraId="32C8F03D">
                  <w:pPr>
                    <w:pStyle w:val="49"/>
                  </w:pPr>
                  <w:r>
                    <w:rPr>
                      <w:rFonts w:hint="eastAsia"/>
                    </w:rPr>
                    <w:t>0.028</w:t>
                  </w:r>
                </w:p>
              </w:tc>
              <w:tc>
                <w:tcPr>
                  <w:tcW w:w="320" w:type="pct"/>
                  <w:vAlign w:val="center"/>
                </w:tcPr>
                <w:p w14:paraId="61B52CCC">
                  <w:pPr>
                    <w:pStyle w:val="49"/>
                  </w:pPr>
                  <w:r>
                    <w:rPr>
                      <w:rFonts w:hint="eastAsia"/>
                    </w:rPr>
                    <w:t>0.0038</w:t>
                  </w:r>
                </w:p>
              </w:tc>
              <w:tc>
                <w:tcPr>
                  <w:tcW w:w="333" w:type="pct"/>
                  <w:vAlign w:val="center"/>
                </w:tcPr>
                <w:p w14:paraId="7E8489BD">
                  <w:pPr>
                    <w:pStyle w:val="49"/>
                  </w:pPr>
                  <w:r>
                    <w:rPr>
                      <w:rFonts w:hint="eastAsia"/>
                    </w:rPr>
                    <w:t>0.14</w:t>
                  </w:r>
                </w:p>
              </w:tc>
            </w:tr>
            <w:tr w14:paraId="668F4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20B646AB">
                  <w:pPr>
                    <w:jc w:val="center"/>
                    <w:rPr>
                      <w:rFonts w:cs="宋体"/>
                    </w:rPr>
                  </w:pPr>
                </w:p>
              </w:tc>
              <w:tc>
                <w:tcPr>
                  <w:tcW w:w="525" w:type="pct"/>
                  <w:vAlign w:val="center"/>
                </w:tcPr>
                <w:p w14:paraId="0BC1C665">
                  <w:pPr>
                    <w:pStyle w:val="49"/>
                  </w:pPr>
                  <w:r>
                    <w:rPr>
                      <w:rFonts w:hint="eastAsia"/>
                    </w:rPr>
                    <w:t>硫化氢</w:t>
                  </w:r>
                </w:p>
              </w:tc>
              <w:tc>
                <w:tcPr>
                  <w:tcW w:w="263" w:type="pct"/>
                  <w:vMerge w:val="continue"/>
                  <w:vAlign w:val="center"/>
                </w:tcPr>
                <w:p w14:paraId="00D3E86B">
                  <w:pPr>
                    <w:pStyle w:val="49"/>
                  </w:pPr>
                </w:p>
              </w:tc>
              <w:tc>
                <w:tcPr>
                  <w:tcW w:w="316" w:type="pct"/>
                  <w:vMerge w:val="continue"/>
                  <w:vAlign w:val="center"/>
                </w:tcPr>
                <w:p w14:paraId="23E4D3FB">
                  <w:pPr>
                    <w:pStyle w:val="49"/>
                  </w:pPr>
                </w:p>
              </w:tc>
              <w:tc>
                <w:tcPr>
                  <w:tcW w:w="316" w:type="pct"/>
                  <w:vAlign w:val="center"/>
                </w:tcPr>
                <w:p w14:paraId="1CA4FC02">
                  <w:pPr>
                    <w:pStyle w:val="49"/>
                  </w:pPr>
                  <w:r>
                    <w:rPr>
                      <w:rFonts w:hint="eastAsia"/>
                    </w:rPr>
                    <w:t>0.0007</w:t>
                  </w:r>
                </w:p>
              </w:tc>
              <w:tc>
                <w:tcPr>
                  <w:tcW w:w="263" w:type="pct"/>
                  <w:vAlign w:val="center"/>
                </w:tcPr>
                <w:p w14:paraId="00649892">
                  <w:pPr>
                    <w:pStyle w:val="49"/>
                  </w:pPr>
                  <w:r>
                    <w:rPr>
                      <w:rFonts w:hint="eastAsia"/>
                    </w:rPr>
                    <w:t>0.0001</w:t>
                  </w:r>
                </w:p>
              </w:tc>
              <w:tc>
                <w:tcPr>
                  <w:tcW w:w="316" w:type="pct"/>
                  <w:vAlign w:val="center"/>
                </w:tcPr>
                <w:p w14:paraId="2E3DC33A">
                  <w:pPr>
                    <w:pStyle w:val="49"/>
                  </w:pPr>
                  <w:r>
                    <w:rPr>
                      <w:rFonts w:hint="eastAsia"/>
                    </w:rPr>
                    <w:t>0.004</w:t>
                  </w:r>
                </w:p>
              </w:tc>
              <w:tc>
                <w:tcPr>
                  <w:tcW w:w="419" w:type="pct"/>
                  <w:vMerge w:val="continue"/>
                  <w:vAlign w:val="center"/>
                </w:tcPr>
                <w:p w14:paraId="127745AA">
                  <w:pPr>
                    <w:pStyle w:val="49"/>
                  </w:pPr>
                </w:p>
              </w:tc>
              <w:tc>
                <w:tcPr>
                  <w:tcW w:w="368" w:type="pct"/>
                  <w:vAlign w:val="center"/>
                </w:tcPr>
                <w:p w14:paraId="04B85876">
                  <w:pPr>
                    <w:pStyle w:val="49"/>
                  </w:pPr>
                  <w:r>
                    <w:rPr>
                      <w:rFonts w:hint="eastAsia"/>
                    </w:rPr>
                    <w:t>30%</w:t>
                  </w:r>
                </w:p>
              </w:tc>
              <w:tc>
                <w:tcPr>
                  <w:tcW w:w="368" w:type="pct"/>
                  <w:vAlign w:val="center"/>
                </w:tcPr>
                <w:p w14:paraId="2F266835">
                  <w:pPr>
                    <w:pStyle w:val="49"/>
                  </w:pPr>
                  <w:r>
                    <w:rPr>
                      <w:rFonts w:hint="eastAsia"/>
                    </w:rPr>
                    <w:t>80%</w:t>
                  </w:r>
                </w:p>
              </w:tc>
              <w:tc>
                <w:tcPr>
                  <w:tcW w:w="370" w:type="pct"/>
                  <w:vAlign w:val="center"/>
                </w:tcPr>
                <w:p w14:paraId="6F787BB6">
                  <w:pPr>
                    <w:pStyle w:val="49"/>
                  </w:pPr>
                  <w:r>
                    <w:rPr>
                      <w:rFonts w:hint="eastAsia"/>
                    </w:rPr>
                    <w:t>是</w:t>
                  </w:r>
                </w:p>
              </w:tc>
              <w:tc>
                <w:tcPr>
                  <w:tcW w:w="340" w:type="pct"/>
                  <w:vAlign w:val="center"/>
                </w:tcPr>
                <w:p w14:paraId="7C2EF9BD">
                  <w:pPr>
                    <w:pStyle w:val="49"/>
                  </w:pPr>
                  <w:r>
                    <w:rPr>
                      <w:rFonts w:hint="eastAsia"/>
                    </w:rPr>
                    <w:t>0.00014</w:t>
                  </w:r>
                </w:p>
              </w:tc>
              <w:tc>
                <w:tcPr>
                  <w:tcW w:w="320" w:type="pct"/>
                  <w:vAlign w:val="center"/>
                </w:tcPr>
                <w:p w14:paraId="312FB4FB">
                  <w:pPr>
                    <w:pStyle w:val="49"/>
                  </w:pPr>
                  <w:r>
                    <w:rPr>
                      <w:rFonts w:hint="eastAsia"/>
                    </w:rPr>
                    <w:t>0.00002</w:t>
                  </w:r>
                </w:p>
              </w:tc>
              <w:tc>
                <w:tcPr>
                  <w:tcW w:w="333" w:type="pct"/>
                  <w:vAlign w:val="center"/>
                </w:tcPr>
                <w:p w14:paraId="0E3EDBA0">
                  <w:pPr>
                    <w:pStyle w:val="49"/>
                    <w:rPr>
                      <w:rFonts w:cs="宋体"/>
                    </w:rPr>
                  </w:pPr>
                  <w:r>
                    <w:rPr>
                      <w:rFonts w:hint="eastAsia"/>
                    </w:rPr>
                    <w:t>/</w:t>
                  </w:r>
                </w:p>
              </w:tc>
            </w:tr>
            <w:tr w14:paraId="2AA7E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47427379">
                  <w:pPr>
                    <w:jc w:val="center"/>
                  </w:pPr>
                </w:p>
              </w:tc>
              <w:tc>
                <w:tcPr>
                  <w:tcW w:w="525" w:type="pct"/>
                  <w:vAlign w:val="center"/>
                </w:tcPr>
                <w:p w14:paraId="5B54CD6F">
                  <w:pPr>
                    <w:pStyle w:val="49"/>
                  </w:pPr>
                  <w:r>
                    <w:rPr>
                      <w:rFonts w:hint="eastAsia"/>
                    </w:rPr>
                    <w:t>氨</w:t>
                  </w:r>
                </w:p>
              </w:tc>
              <w:tc>
                <w:tcPr>
                  <w:tcW w:w="263" w:type="pct"/>
                  <w:vMerge w:val="continue"/>
                  <w:vAlign w:val="center"/>
                </w:tcPr>
                <w:p w14:paraId="68422A57">
                  <w:pPr>
                    <w:pStyle w:val="49"/>
                  </w:pPr>
                </w:p>
              </w:tc>
              <w:tc>
                <w:tcPr>
                  <w:tcW w:w="316" w:type="pct"/>
                  <w:vMerge w:val="continue"/>
                  <w:vAlign w:val="center"/>
                </w:tcPr>
                <w:p w14:paraId="5F5A0B6A">
                  <w:pPr>
                    <w:pStyle w:val="49"/>
                  </w:pPr>
                </w:p>
              </w:tc>
              <w:tc>
                <w:tcPr>
                  <w:tcW w:w="316" w:type="pct"/>
                  <w:vAlign w:val="center"/>
                </w:tcPr>
                <w:p w14:paraId="1C74D786">
                  <w:pPr>
                    <w:pStyle w:val="49"/>
                  </w:pPr>
                  <w:r>
                    <w:rPr>
                      <w:rFonts w:hint="eastAsia"/>
                    </w:rPr>
                    <w:t>0.008</w:t>
                  </w:r>
                </w:p>
              </w:tc>
              <w:tc>
                <w:tcPr>
                  <w:tcW w:w="263" w:type="pct"/>
                  <w:vAlign w:val="center"/>
                </w:tcPr>
                <w:p w14:paraId="497CE661">
                  <w:pPr>
                    <w:pStyle w:val="49"/>
                  </w:pPr>
                  <w:r>
                    <w:rPr>
                      <w:rFonts w:hint="eastAsia"/>
                    </w:rPr>
                    <w:t>0.0011</w:t>
                  </w:r>
                </w:p>
              </w:tc>
              <w:tc>
                <w:tcPr>
                  <w:tcW w:w="316" w:type="pct"/>
                  <w:vAlign w:val="center"/>
                </w:tcPr>
                <w:p w14:paraId="579EE1A4">
                  <w:pPr>
                    <w:pStyle w:val="49"/>
                  </w:pPr>
                  <w:r>
                    <w:rPr>
                      <w:rFonts w:hint="eastAsia"/>
                    </w:rPr>
                    <w:t>0.045</w:t>
                  </w:r>
                </w:p>
              </w:tc>
              <w:tc>
                <w:tcPr>
                  <w:tcW w:w="419" w:type="pct"/>
                  <w:vMerge w:val="continue"/>
                  <w:vAlign w:val="center"/>
                </w:tcPr>
                <w:p w14:paraId="05433895">
                  <w:pPr>
                    <w:pStyle w:val="49"/>
                  </w:pPr>
                </w:p>
              </w:tc>
              <w:tc>
                <w:tcPr>
                  <w:tcW w:w="368" w:type="pct"/>
                  <w:vAlign w:val="center"/>
                </w:tcPr>
                <w:p w14:paraId="7EDE6419">
                  <w:pPr>
                    <w:pStyle w:val="49"/>
                  </w:pPr>
                  <w:r>
                    <w:rPr>
                      <w:rFonts w:hint="eastAsia"/>
                    </w:rPr>
                    <w:t>30%</w:t>
                  </w:r>
                </w:p>
              </w:tc>
              <w:tc>
                <w:tcPr>
                  <w:tcW w:w="368" w:type="pct"/>
                  <w:vAlign w:val="center"/>
                </w:tcPr>
                <w:p w14:paraId="34B30739">
                  <w:pPr>
                    <w:pStyle w:val="49"/>
                  </w:pPr>
                  <w:r>
                    <w:rPr>
                      <w:rFonts w:hint="eastAsia"/>
                    </w:rPr>
                    <w:t>80%</w:t>
                  </w:r>
                </w:p>
              </w:tc>
              <w:tc>
                <w:tcPr>
                  <w:tcW w:w="370" w:type="pct"/>
                  <w:vAlign w:val="center"/>
                </w:tcPr>
                <w:p w14:paraId="5328DE29">
                  <w:pPr>
                    <w:pStyle w:val="49"/>
                  </w:pPr>
                  <w:r>
                    <w:rPr>
                      <w:rFonts w:hint="eastAsia"/>
                    </w:rPr>
                    <w:t>是</w:t>
                  </w:r>
                </w:p>
              </w:tc>
              <w:tc>
                <w:tcPr>
                  <w:tcW w:w="340" w:type="pct"/>
                  <w:vAlign w:val="center"/>
                </w:tcPr>
                <w:p w14:paraId="61DFBD88">
                  <w:pPr>
                    <w:pStyle w:val="49"/>
                  </w:pPr>
                  <w:r>
                    <w:rPr>
                      <w:rFonts w:hint="eastAsia"/>
                    </w:rPr>
                    <w:t>0.016</w:t>
                  </w:r>
                </w:p>
              </w:tc>
              <w:tc>
                <w:tcPr>
                  <w:tcW w:w="320" w:type="pct"/>
                  <w:vAlign w:val="center"/>
                </w:tcPr>
                <w:p w14:paraId="5F770729">
                  <w:pPr>
                    <w:pStyle w:val="49"/>
                  </w:pPr>
                  <w:r>
                    <w:rPr>
                      <w:rFonts w:hint="eastAsia"/>
                    </w:rPr>
                    <w:t>0.0002</w:t>
                  </w:r>
                </w:p>
              </w:tc>
              <w:tc>
                <w:tcPr>
                  <w:tcW w:w="333" w:type="pct"/>
                  <w:vAlign w:val="center"/>
                </w:tcPr>
                <w:p w14:paraId="745A9A4A">
                  <w:pPr>
                    <w:pStyle w:val="49"/>
                  </w:pPr>
                  <w:r>
                    <w:rPr>
                      <w:rFonts w:hint="eastAsia"/>
                    </w:rPr>
                    <w:t>/</w:t>
                  </w:r>
                </w:p>
              </w:tc>
            </w:tr>
            <w:tr w14:paraId="5242A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76463DFF">
                  <w:pPr>
                    <w:jc w:val="center"/>
                  </w:pPr>
                </w:p>
              </w:tc>
              <w:tc>
                <w:tcPr>
                  <w:tcW w:w="525" w:type="pct"/>
                  <w:vAlign w:val="center"/>
                </w:tcPr>
                <w:p w14:paraId="7FC5636F">
                  <w:pPr>
                    <w:pStyle w:val="49"/>
                  </w:pPr>
                  <w:r>
                    <w:rPr>
                      <w:rFonts w:hint="eastAsia"/>
                    </w:rPr>
                    <w:t>臭气浓度</w:t>
                  </w:r>
                </w:p>
              </w:tc>
              <w:tc>
                <w:tcPr>
                  <w:tcW w:w="263" w:type="pct"/>
                  <w:vMerge w:val="continue"/>
                  <w:vAlign w:val="center"/>
                </w:tcPr>
                <w:p w14:paraId="5BEEF5BE">
                  <w:pPr>
                    <w:pStyle w:val="49"/>
                  </w:pPr>
                </w:p>
              </w:tc>
              <w:tc>
                <w:tcPr>
                  <w:tcW w:w="316" w:type="pct"/>
                  <w:vMerge w:val="continue"/>
                  <w:vAlign w:val="center"/>
                </w:tcPr>
                <w:p w14:paraId="528486A5">
                  <w:pPr>
                    <w:pStyle w:val="49"/>
                  </w:pPr>
                </w:p>
              </w:tc>
              <w:tc>
                <w:tcPr>
                  <w:tcW w:w="316" w:type="pct"/>
                  <w:vAlign w:val="center"/>
                </w:tcPr>
                <w:p w14:paraId="412E4261">
                  <w:pPr>
                    <w:pStyle w:val="49"/>
                  </w:pPr>
                  <w:r>
                    <w:rPr>
                      <w:rFonts w:hint="eastAsia"/>
                    </w:rPr>
                    <w:t>/</w:t>
                  </w:r>
                </w:p>
              </w:tc>
              <w:tc>
                <w:tcPr>
                  <w:tcW w:w="263" w:type="pct"/>
                  <w:vAlign w:val="center"/>
                </w:tcPr>
                <w:p w14:paraId="26B5664C">
                  <w:pPr>
                    <w:pStyle w:val="49"/>
                  </w:pPr>
                  <w:r>
                    <w:rPr>
                      <w:rFonts w:hint="eastAsia"/>
                    </w:rPr>
                    <w:t>/</w:t>
                  </w:r>
                </w:p>
              </w:tc>
              <w:tc>
                <w:tcPr>
                  <w:tcW w:w="316" w:type="pct"/>
                  <w:vAlign w:val="center"/>
                </w:tcPr>
                <w:p w14:paraId="18222A08">
                  <w:pPr>
                    <w:pStyle w:val="49"/>
                  </w:pPr>
                  <w:r>
                    <w:rPr>
                      <w:rFonts w:hint="eastAsia"/>
                    </w:rPr>
                    <w:t>/</w:t>
                  </w:r>
                </w:p>
              </w:tc>
              <w:tc>
                <w:tcPr>
                  <w:tcW w:w="419" w:type="pct"/>
                  <w:vMerge w:val="continue"/>
                  <w:vAlign w:val="center"/>
                </w:tcPr>
                <w:p w14:paraId="71B34620">
                  <w:pPr>
                    <w:pStyle w:val="49"/>
                  </w:pPr>
                </w:p>
              </w:tc>
              <w:tc>
                <w:tcPr>
                  <w:tcW w:w="368" w:type="pct"/>
                  <w:vAlign w:val="center"/>
                </w:tcPr>
                <w:p w14:paraId="059635EF">
                  <w:pPr>
                    <w:pStyle w:val="49"/>
                  </w:pPr>
                  <w:r>
                    <w:rPr>
                      <w:rFonts w:hint="eastAsia"/>
                    </w:rPr>
                    <w:t>/</w:t>
                  </w:r>
                </w:p>
              </w:tc>
              <w:tc>
                <w:tcPr>
                  <w:tcW w:w="368" w:type="pct"/>
                  <w:vAlign w:val="center"/>
                </w:tcPr>
                <w:p w14:paraId="6E9FD27C">
                  <w:pPr>
                    <w:pStyle w:val="49"/>
                  </w:pPr>
                  <w:r>
                    <w:rPr>
                      <w:rFonts w:hint="eastAsia"/>
                    </w:rPr>
                    <w:t>/</w:t>
                  </w:r>
                </w:p>
              </w:tc>
              <w:tc>
                <w:tcPr>
                  <w:tcW w:w="370" w:type="pct"/>
                  <w:vAlign w:val="center"/>
                </w:tcPr>
                <w:p w14:paraId="045AD5E3">
                  <w:pPr>
                    <w:pStyle w:val="49"/>
                  </w:pPr>
                  <w:r>
                    <w:rPr>
                      <w:rFonts w:hint="eastAsia"/>
                    </w:rPr>
                    <w:t>是</w:t>
                  </w:r>
                </w:p>
              </w:tc>
              <w:tc>
                <w:tcPr>
                  <w:tcW w:w="993" w:type="pct"/>
                  <w:gridSpan w:val="3"/>
                  <w:vAlign w:val="center"/>
                </w:tcPr>
                <w:p w14:paraId="2C67424A">
                  <w:pPr>
                    <w:pStyle w:val="49"/>
                  </w:pPr>
                  <w:r>
                    <w:t>≤</w:t>
                  </w:r>
                  <w:r>
                    <w:rPr>
                      <w:rFonts w:hint="eastAsia"/>
                    </w:rPr>
                    <w:t>2000（无量纲）</w:t>
                  </w:r>
                </w:p>
              </w:tc>
            </w:tr>
            <w:tr w14:paraId="7E9B0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Align w:val="center"/>
                </w:tcPr>
                <w:p w14:paraId="7A7946E7">
                  <w:pPr>
                    <w:jc w:val="center"/>
                  </w:pPr>
                  <w:r>
                    <w:rPr>
                      <w:rFonts w:hint="eastAsia"/>
                    </w:rPr>
                    <w:t>冷凝不凝气</w:t>
                  </w:r>
                </w:p>
                <w:p w14:paraId="45952EFF">
                  <w:pPr>
                    <w:jc w:val="center"/>
                  </w:pPr>
                  <w:r>
                    <w:rPr>
                      <w:rFonts w:hint="eastAsia"/>
                    </w:rPr>
                    <w:t>（DA003）</w:t>
                  </w:r>
                </w:p>
              </w:tc>
              <w:tc>
                <w:tcPr>
                  <w:tcW w:w="525" w:type="pct"/>
                  <w:vAlign w:val="center"/>
                </w:tcPr>
                <w:p w14:paraId="0738C26F">
                  <w:pPr>
                    <w:pStyle w:val="49"/>
                  </w:pPr>
                  <w:r>
                    <w:rPr>
                      <w:rFonts w:hint="eastAsia"/>
                    </w:rPr>
                    <w:t>非甲烷总烃</w:t>
                  </w:r>
                </w:p>
              </w:tc>
              <w:tc>
                <w:tcPr>
                  <w:tcW w:w="263" w:type="pct"/>
                  <w:vMerge w:val="continue"/>
                  <w:vAlign w:val="center"/>
                </w:tcPr>
                <w:p w14:paraId="2787CEFA">
                  <w:pPr>
                    <w:pStyle w:val="49"/>
                  </w:pPr>
                </w:p>
              </w:tc>
              <w:tc>
                <w:tcPr>
                  <w:tcW w:w="316" w:type="pct"/>
                  <w:vAlign w:val="center"/>
                </w:tcPr>
                <w:p w14:paraId="201C1E92">
                  <w:pPr>
                    <w:pStyle w:val="49"/>
                  </w:pPr>
                  <w:r>
                    <w:rPr>
                      <w:rFonts w:hint="eastAsia"/>
                    </w:rPr>
                    <w:t>2800</w:t>
                  </w:r>
                </w:p>
              </w:tc>
              <w:tc>
                <w:tcPr>
                  <w:tcW w:w="316" w:type="pct"/>
                  <w:vAlign w:val="center"/>
                </w:tcPr>
                <w:p w14:paraId="71CD8108">
                  <w:pPr>
                    <w:pStyle w:val="49"/>
                  </w:pPr>
                  <w:r>
                    <w:rPr>
                      <w:rFonts w:hint="eastAsia"/>
                    </w:rPr>
                    <w:t>0.63</w:t>
                  </w:r>
                </w:p>
              </w:tc>
              <w:tc>
                <w:tcPr>
                  <w:tcW w:w="263" w:type="pct"/>
                  <w:vAlign w:val="center"/>
                </w:tcPr>
                <w:p w14:paraId="73DC005F">
                  <w:pPr>
                    <w:pStyle w:val="49"/>
                  </w:pPr>
                  <w:r>
                    <w:rPr>
                      <w:rFonts w:hint="eastAsia"/>
                    </w:rPr>
                    <w:t>0.088</w:t>
                  </w:r>
                </w:p>
              </w:tc>
              <w:tc>
                <w:tcPr>
                  <w:tcW w:w="316" w:type="pct"/>
                  <w:vAlign w:val="center"/>
                </w:tcPr>
                <w:p w14:paraId="5A072F13">
                  <w:pPr>
                    <w:pStyle w:val="49"/>
                  </w:pPr>
                  <w:r>
                    <w:rPr>
                      <w:rFonts w:hint="eastAsia"/>
                    </w:rPr>
                    <w:t>31.43</w:t>
                  </w:r>
                </w:p>
              </w:tc>
              <w:tc>
                <w:tcPr>
                  <w:tcW w:w="419" w:type="pct"/>
                  <w:vMerge w:val="continue"/>
                  <w:vAlign w:val="center"/>
                </w:tcPr>
                <w:p w14:paraId="60A5E1C3">
                  <w:pPr>
                    <w:pStyle w:val="49"/>
                  </w:pPr>
                </w:p>
              </w:tc>
              <w:tc>
                <w:tcPr>
                  <w:tcW w:w="368" w:type="pct"/>
                  <w:vAlign w:val="center"/>
                </w:tcPr>
                <w:p w14:paraId="56D2EB54">
                  <w:pPr>
                    <w:pStyle w:val="49"/>
                  </w:pPr>
                  <w:r>
                    <w:rPr>
                      <w:rFonts w:hint="eastAsia"/>
                    </w:rPr>
                    <w:t>100%</w:t>
                  </w:r>
                </w:p>
              </w:tc>
              <w:tc>
                <w:tcPr>
                  <w:tcW w:w="368" w:type="pct"/>
                  <w:vAlign w:val="center"/>
                </w:tcPr>
                <w:p w14:paraId="749AC829">
                  <w:pPr>
                    <w:pStyle w:val="49"/>
                  </w:pPr>
                  <w:r>
                    <w:rPr>
                      <w:rFonts w:hint="eastAsia"/>
                    </w:rPr>
                    <w:t>80%</w:t>
                  </w:r>
                </w:p>
              </w:tc>
              <w:tc>
                <w:tcPr>
                  <w:tcW w:w="370" w:type="pct"/>
                  <w:vAlign w:val="center"/>
                </w:tcPr>
                <w:p w14:paraId="70FDB425">
                  <w:pPr>
                    <w:pStyle w:val="49"/>
                  </w:pPr>
                  <w:r>
                    <w:rPr>
                      <w:rFonts w:hint="eastAsia"/>
                    </w:rPr>
                    <w:t>是</w:t>
                  </w:r>
                </w:p>
              </w:tc>
              <w:tc>
                <w:tcPr>
                  <w:tcW w:w="340" w:type="pct"/>
                  <w:vAlign w:val="center"/>
                </w:tcPr>
                <w:p w14:paraId="4FF4D4F8">
                  <w:pPr>
                    <w:pStyle w:val="49"/>
                  </w:pPr>
                  <w:r>
                    <w:rPr>
                      <w:rFonts w:hint="eastAsia"/>
                    </w:rPr>
                    <w:t>0.13</w:t>
                  </w:r>
                </w:p>
              </w:tc>
              <w:tc>
                <w:tcPr>
                  <w:tcW w:w="320" w:type="pct"/>
                  <w:vAlign w:val="center"/>
                </w:tcPr>
                <w:p w14:paraId="30F6BB72">
                  <w:pPr>
                    <w:pStyle w:val="49"/>
                  </w:pPr>
                  <w:r>
                    <w:rPr>
                      <w:rFonts w:hint="eastAsia"/>
                    </w:rPr>
                    <w:t>0.018</w:t>
                  </w:r>
                </w:p>
              </w:tc>
              <w:tc>
                <w:tcPr>
                  <w:tcW w:w="333" w:type="pct"/>
                  <w:vAlign w:val="center"/>
                </w:tcPr>
                <w:p w14:paraId="3DC8EBF7">
                  <w:pPr>
                    <w:pStyle w:val="49"/>
                  </w:pPr>
                  <w:r>
                    <w:rPr>
                      <w:rFonts w:hint="eastAsia"/>
                    </w:rPr>
                    <w:t>0.66</w:t>
                  </w:r>
                </w:p>
              </w:tc>
            </w:tr>
            <w:tr w14:paraId="6ED33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restart"/>
                  <w:vAlign w:val="center"/>
                </w:tcPr>
                <w:p w14:paraId="70EBE70F">
                  <w:pPr>
                    <w:jc w:val="center"/>
                  </w:pPr>
                  <w:r>
                    <w:rPr>
                      <w:rFonts w:hint="eastAsia"/>
                    </w:rPr>
                    <w:t>废白土暂存、造粒废气</w:t>
                  </w:r>
                </w:p>
                <w:p w14:paraId="03F968AD">
                  <w:pPr>
                    <w:jc w:val="center"/>
                  </w:pPr>
                  <w:r>
                    <w:rPr>
                      <w:rFonts w:hint="eastAsia"/>
                    </w:rPr>
                    <w:t>（生产车间）</w:t>
                  </w:r>
                </w:p>
              </w:tc>
              <w:tc>
                <w:tcPr>
                  <w:tcW w:w="525" w:type="pct"/>
                  <w:vAlign w:val="center"/>
                </w:tcPr>
                <w:p w14:paraId="12316F25">
                  <w:pPr>
                    <w:pStyle w:val="49"/>
                  </w:pPr>
                  <w:r>
                    <w:rPr>
                      <w:rFonts w:hint="eastAsia"/>
                    </w:rPr>
                    <w:t>非甲烷总烃</w:t>
                  </w:r>
                </w:p>
              </w:tc>
              <w:tc>
                <w:tcPr>
                  <w:tcW w:w="263" w:type="pct"/>
                  <w:vMerge w:val="restart"/>
                  <w:vAlign w:val="center"/>
                </w:tcPr>
                <w:p w14:paraId="0D819E0F">
                  <w:pPr>
                    <w:pStyle w:val="49"/>
                  </w:pPr>
                  <w:r>
                    <w:rPr>
                      <w:rFonts w:hint="eastAsia"/>
                    </w:rPr>
                    <w:t>无组织</w:t>
                  </w:r>
                </w:p>
              </w:tc>
              <w:tc>
                <w:tcPr>
                  <w:tcW w:w="316" w:type="pct"/>
                  <w:vMerge w:val="restart"/>
                  <w:vAlign w:val="center"/>
                </w:tcPr>
                <w:p w14:paraId="40996118">
                  <w:pPr>
                    <w:pStyle w:val="49"/>
                  </w:pPr>
                  <w:r>
                    <w:rPr>
                      <w:rFonts w:hint="eastAsia"/>
                    </w:rPr>
                    <w:t>/</w:t>
                  </w:r>
                </w:p>
              </w:tc>
              <w:tc>
                <w:tcPr>
                  <w:tcW w:w="316" w:type="pct"/>
                  <w:vAlign w:val="center"/>
                </w:tcPr>
                <w:p w14:paraId="572E9FAC">
                  <w:pPr>
                    <w:pStyle w:val="49"/>
                  </w:pPr>
                  <w:r>
                    <w:rPr>
                      <w:rFonts w:hint="eastAsia"/>
                    </w:rPr>
                    <w:t>0.33</w:t>
                  </w:r>
                </w:p>
              </w:tc>
              <w:tc>
                <w:tcPr>
                  <w:tcW w:w="263" w:type="pct"/>
                  <w:vAlign w:val="center"/>
                </w:tcPr>
                <w:p w14:paraId="32B06E0A">
                  <w:pPr>
                    <w:pStyle w:val="49"/>
                  </w:pPr>
                  <w:r>
                    <w:rPr>
                      <w:rFonts w:hint="eastAsia"/>
                    </w:rPr>
                    <w:t>0.046</w:t>
                  </w:r>
                </w:p>
              </w:tc>
              <w:tc>
                <w:tcPr>
                  <w:tcW w:w="316" w:type="pct"/>
                  <w:vAlign w:val="center"/>
                </w:tcPr>
                <w:p w14:paraId="357A4655">
                  <w:pPr>
                    <w:pStyle w:val="49"/>
                  </w:pPr>
                  <w:r>
                    <w:rPr>
                      <w:rFonts w:hint="eastAsia"/>
                    </w:rPr>
                    <w:t>/</w:t>
                  </w:r>
                </w:p>
              </w:tc>
              <w:tc>
                <w:tcPr>
                  <w:tcW w:w="419" w:type="pct"/>
                  <w:vMerge w:val="restart"/>
                  <w:vAlign w:val="center"/>
                </w:tcPr>
                <w:p w14:paraId="2EE8F668">
                  <w:pPr>
                    <w:pStyle w:val="49"/>
                  </w:pPr>
                  <w:r>
                    <w:rPr>
                      <w:rFonts w:hint="eastAsia"/>
                    </w:rPr>
                    <w:t>加强抽排风，通风换气</w:t>
                  </w:r>
                </w:p>
              </w:tc>
              <w:tc>
                <w:tcPr>
                  <w:tcW w:w="368" w:type="pct"/>
                  <w:vAlign w:val="center"/>
                </w:tcPr>
                <w:p w14:paraId="3A41D138">
                  <w:pPr>
                    <w:pStyle w:val="49"/>
                  </w:pPr>
                  <w:r>
                    <w:rPr>
                      <w:rFonts w:hint="eastAsia"/>
                    </w:rPr>
                    <w:t>/</w:t>
                  </w:r>
                </w:p>
              </w:tc>
              <w:tc>
                <w:tcPr>
                  <w:tcW w:w="368" w:type="pct"/>
                  <w:vAlign w:val="center"/>
                </w:tcPr>
                <w:p w14:paraId="0A04183B">
                  <w:pPr>
                    <w:pStyle w:val="49"/>
                  </w:pPr>
                  <w:r>
                    <w:rPr>
                      <w:rFonts w:hint="eastAsia"/>
                    </w:rPr>
                    <w:t>/</w:t>
                  </w:r>
                </w:p>
              </w:tc>
              <w:tc>
                <w:tcPr>
                  <w:tcW w:w="370" w:type="pct"/>
                  <w:vAlign w:val="center"/>
                </w:tcPr>
                <w:p w14:paraId="5A223C77">
                  <w:pPr>
                    <w:pStyle w:val="49"/>
                  </w:pPr>
                  <w:r>
                    <w:rPr>
                      <w:rFonts w:hint="eastAsia"/>
                    </w:rPr>
                    <w:t>/</w:t>
                  </w:r>
                </w:p>
              </w:tc>
              <w:tc>
                <w:tcPr>
                  <w:tcW w:w="340" w:type="pct"/>
                  <w:vAlign w:val="center"/>
                </w:tcPr>
                <w:p w14:paraId="6E768170">
                  <w:pPr>
                    <w:pStyle w:val="49"/>
                  </w:pPr>
                  <w:r>
                    <w:rPr>
                      <w:rFonts w:hint="eastAsia"/>
                    </w:rPr>
                    <w:t>0.33</w:t>
                  </w:r>
                </w:p>
              </w:tc>
              <w:tc>
                <w:tcPr>
                  <w:tcW w:w="320" w:type="pct"/>
                  <w:vAlign w:val="center"/>
                </w:tcPr>
                <w:p w14:paraId="53508838">
                  <w:pPr>
                    <w:pStyle w:val="49"/>
                  </w:pPr>
                  <w:r>
                    <w:rPr>
                      <w:rFonts w:hint="eastAsia"/>
                    </w:rPr>
                    <w:t>0.046</w:t>
                  </w:r>
                </w:p>
              </w:tc>
              <w:tc>
                <w:tcPr>
                  <w:tcW w:w="333" w:type="pct"/>
                  <w:vAlign w:val="center"/>
                </w:tcPr>
                <w:p w14:paraId="5386A0C9">
                  <w:pPr>
                    <w:pStyle w:val="49"/>
                  </w:pPr>
                  <w:r>
                    <w:rPr>
                      <w:rFonts w:hint="eastAsia"/>
                    </w:rPr>
                    <w:t>/</w:t>
                  </w:r>
                </w:p>
              </w:tc>
            </w:tr>
            <w:tr w14:paraId="56F46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1B531645">
                  <w:pPr>
                    <w:jc w:val="center"/>
                  </w:pPr>
                </w:p>
              </w:tc>
              <w:tc>
                <w:tcPr>
                  <w:tcW w:w="525" w:type="pct"/>
                  <w:vAlign w:val="center"/>
                </w:tcPr>
                <w:p w14:paraId="5D8A1E6B">
                  <w:pPr>
                    <w:pStyle w:val="49"/>
                  </w:pPr>
                  <w:r>
                    <w:rPr>
                      <w:rFonts w:hint="eastAsia"/>
                    </w:rPr>
                    <w:t>硫化氢</w:t>
                  </w:r>
                </w:p>
              </w:tc>
              <w:tc>
                <w:tcPr>
                  <w:tcW w:w="263" w:type="pct"/>
                  <w:vMerge w:val="continue"/>
                  <w:vAlign w:val="center"/>
                </w:tcPr>
                <w:p w14:paraId="16BDE868">
                  <w:pPr>
                    <w:pStyle w:val="49"/>
                  </w:pPr>
                </w:p>
              </w:tc>
              <w:tc>
                <w:tcPr>
                  <w:tcW w:w="316" w:type="pct"/>
                  <w:vMerge w:val="continue"/>
                  <w:vAlign w:val="center"/>
                </w:tcPr>
                <w:p w14:paraId="0E89A916">
                  <w:pPr>
                    <w:pStyle w:val="49"/>
                  </w:pPr>
                </w:p>
              </w:tc>
              <w:tc>
                <w:tcPr>
                  <w:tcW w:w="316" w:type="pct"/>
                  <w:vAlign w:val="center"/>
                </w:tcPr>
                <w:p w14:paraId="52287986">
                  <w:pPr>
                    <w:pStyle w:val="49"/>
                  </w:pPr>
                  <w:r>
                    <w:rPr>
                      <w:rFonts w:hint="eastAsia"/>
                    </w:rPr>
                    <w:t>0.0018</w:t>
                  </w:r>
                </w:p>
              </w:tc>
              <w:tc>
                <w:tcPr>
                  <w:tcW w:w="263" w:type="pct"/>
                  <w:vAlign w:val="center"/>
                </w:tcPr>
                <w:p w14:paraId="75CADCEC">
                  <w:pPr>
                    <w:pStyle w:val="49"/>
                  </w:pPr>
                  <w:r>
                    <w:rPr>
                      <w:rFonts w:hint="eastAsia"/>
                    </w:rPr>
                    <w:t>0.0003</w:t>
                  </w:r>
                </w:p>
              </w:tc>
              <w:tc>
                <w:tcPr>
                  <w:tcW w:w="316" w:type="pct"/>
                  <w:vAlign w:val="center"/>
                </w:tcPr>
                <w:p w14:paraId="028A425F">
                  <w:pPr>
                    <w:pStyle w:val="49"/>
                  </w:pPr>
                  <w:r>
                    <w:rPr>
                      <w:rFonts w:hint="eastAsia"/>
                    </w:rPr>
                    <w:t>/</w:t>
                  </w:r>
                </w:p>
              </w:tc>
              <w:tc>
                <w:tcPr>
                  <w:tcW w:w="419" w:type="pct"/>
                  <w:vMerge w:val="continue"/>
                  <w:vAlign w:val="center"/>
                </w:tcPr>
                <w:p w14:paraId="0D20FB13">
                  <w:pPr>
                    <w:pStyle w:val="49"/>
                  </w:pPr>
                </w:p>
              </w:tc>
              <w:tc>
                <w:tcPr>
                  <w:tcW w:w="368" w:type="pct"/>
                  <w:vAlign w:val="center"/>
                </w:tcPr>
                <w:p w14:paraId="454CC319">
                  <w:pPr>
                    <w:pStyle w:val="49"/>
                  </w:pPr>
                  <w:r>
                    <w:rPr>
                      <w:rFonts w:hint="eastAsia"/>
                    </w:rPr>
                    <w:t>/</w:t>
                  </w:r>
                </w:p>
              </w:tc>
              <w:tc>
                <w:tcPr>
                  <w:tcW w:w="368" w:type="pct"/>
                  <w:vAlign w:val="center"/>
                </w:tcPr>
                <w:p w14:paraId="2CE57396">
                  <w:pPr>
                    <w:pStyle w:val="49"/>
                  </w:pPr>
                  <w:r>
                    <w:rPr>
                      <w:rFonts w:hint="eastAsia"/>
                    </w:rPr>
                    <w:t>/</w:t>
                  </w:r>
                </w:p>
              </w:tc>
              <w:tc>
                <w:tcPr>
                  <w:tcW w:w="370" w:type="pct"/>
                  <w:vAlign w:val="center"/>
                </w:tcPr>
                <w:p w14:paraId="7990000E">
                  <w:pPr>
                    <w:pStyle w:val="49"/>
                  </w:pPr>
                  <w:r>
                    <w:rPr>
                      <w:rFonts w:hint="eastAsia"/>
                    </w:rPr>
                    <w:t>/</w:t>
                  </w:r>
                </w:p>
              </w:tc>
              <w:tc>
                <w:tcPr>
                  <w:tcW w:w="340" w:type="pct"/>
                  <w:vAlign w:val="center"/>
                </w:tcPr>
                <w:p w14:paraId="245F0CA1">
                  <w:pPr>
                    <w:pStyle w:val="49"/>
                  </w:pPr>
                  <w:r>
                    <w:rPr>
                      <w:rFonts w:hint="eastAsia"/>
                    </w:rPr>
                    <w:t>0.0018</w:t>
                  </w:r>
                </w:p>
              </w:tc>
              <w:tc>
                <w:tcPr>
                  <w:tcW w:w="320" w:type="pct"/>
                  <w:vAlign w:val="center"/>
                </w:tcPr>
                <w:p w14:paraId="6D74338F">
                  <w:pPr>
                    <w:pStyle w:val="49"/>
                  </w:pPr>
                  <w:r>
                    <w:rPr>
                      <w:rFonts w:hint="eastAsia"/>
                    </w:rPr>
                    <w:t>0.0003</w:t>
                  </w:r>
                </w:p>
              </w:tc>
              <w:tc>
                <w:tcPr>
                  <w:tcW w:w="333" w:type="pct"/>
                  <w:vAlign w:val="center"/>
                </w:tcPr>
                <w:p w14:paraId="1DEAE232">
                  <w:pPr>
                    <w:pStyle w:val="49"/>
                  </w:pPr>
                  <w:r>
                    <w:t>≤</w:t>
                  </w:r>
                  <w:r>
                    <w:rPr>
                      <w:rFonts w:hint="eastAsia"/>
                    </w:rPr>
                    <w:t>0.06</w:t>
                  </w:r>
                </w:p>
              </w:tc>
            </w:tr>
            <w:tr w14:paraId="48890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6428AC26">
                  <w:pPr>
                    <w:jc w:val="center"/>
                  </w:pPr>
                </w:p>
              </w:tc>
              <w:tc>
                <w:tcPr>
                  <w:tcW w:w="525" w:type="pct"/>
                  <w:vAlign w:val="center"/>
                </w:tcPr>
                <w:p w14:paraId="07612CE3">
                  <w:pPr>
                    <w:pStyle w:val="49"/>
                  </w:pPr>
                  <w:r>
                    <w:rPr>
                      <w:rFonts w:hint="eastAsia"/>
                    </w:rPr>
                    <w:t>氨</w:t>
                  </w:r>
                </w:p>
              </w:tc>
              <w:tc>
                <w:tcPr>
                  <w:tcW w:w="263" w:type="pct"/>
                  <w:vMerge w:val="continue"/>
                  <w:vAlign w:val="center"/>
                </w:tcPr>
                <w:p w14:paraId="3603B657">
                  <w:pPr>
                    <w:pStyle w:val="49"/>
                  </w:pPr>
                </w:p>
              </w:tc>
              <w:tc>
                <w:tcPr>
                  <w:tcW w:w="316" w:type="pct"/>
                  <w:vMerge w:val="continue"/>
                  <w:vAlign w:val="center"/>
                </w:tcPr>
                <w:p w14:paraId="4776F216">
                  <w:pPr>
                    <w:pStyle w:val="49"/>
                  </w:pPr>
                </w:p>
              </w:tc>
              <w:tc>
                <w:tcPr>
                  <w:tcW w:w="316" w:type="pct"/>
                  <w:vAlign w:val="center"/>
                </w:tcPr>
                <w:p w14:paraId="3931FE99">
                  <w:pPr>
                    <w:pStyle w:val="49"/>
                  </w:pPr>
                  <w:r>
                    <w:rPr>
                      <w:rFonts w:hint="eastAsia"/>
                    </w:rPr>
                    <w:t>0.020</w:t>
                  </w:r>
                </w:p>
              </w:tc>
              <w:tc>
                <w:tcPr>
                  <w:tcW w:w="263" w:type="pct"/>
                  <w:vAlign w:val="center"/>
                </w:tcPr>
                <w:p w14:paraId="4E010DCC">
                  <w:pPr>
                    <w:pStyle w:val="49"/>
                  </w:pPr>
                  <w:r>
                    <w:rPr>
                      <w:rFonts w:hint="eastAsia"/>
                    </w:rPr>
                    <w:t>0.0028</w:t>
                  </w:r>
                </w:p>
              </w:tc>
              <w:tc>
                <w:tcPr>
                  <w:tcW w:w="316" w:type="pct"/>
                  <w:vAlign w:val="center"/>
                </w:tcPr>
                <w:p w14:paraId="197B1943">
                  <w:pPr>
                    <w:pStyle w:val="49"/>
                  </w:pPr>
                  <w:r>
                    <w:rPr>
                      <w:rFonts w:hint="eastAsia"/>
                    </w:rPr>
                    <w:t>/</w:t>
                  </w:r>
                </w:p>
              </w:tc>
              <w:tc>
                <w:tcPr>
                  <w:tcW w:w="419" w:type="pct"/>
                  <w:vMerge w:val="continue"/>
                  <w:vAlign w:val="center"/>
                </w:tcPr>
                <w:p w14:paraId="2284E420">
                  <w:pPr>
                    <w:pStyle w:val="49"/>
                  </w:pPr>
                </w:p>
              </w:tc>
              <w:tc>
                <w:tcPr>
                  <w:tcW w:w="368" w:type="pct"/>
                  <w:vAlign w:val="center"/>
                </w:tcPr>
                <w:p w14:paraId="5F306FB9">
                  <w:pPr>
                    <w:pStyle w:val="49"/>
                  </w:pPr>
                  <w:r>
                    <w:rPr>
                      <w:rFonts w:hint="eastAsia"/>
                    </w:rPr>
                    <w:t>/</w:t>
                  </w:r>
                </w:p>
              </w:tc>
              <w:tc>
                <w:tcPr>
                  <w:tcW w:w="368" w:type="pct"/>
                  <w:vAlign w:val="center"/>
                </w:tcPr>
                <w:p w14:paraId="603AECB7">
                  <w:pPr>
                    <w:pStyle w:val="49"/>
                  </w:pPr>
                  <w:r>
                    <w:rPr>
                      <w:rFonts w:hint="eastAsia"/>
                    </w:rPr>
                    <w:t>/</w:t>
                  </w:r>
                </w:p>
              </w:tc>
              <w:tc>
                <w:tcPr>
                  <w:tcW w:w="370" w:type="pct"/>
                  <w:vAlign w:val="center"/>
                </w:tcPr>
                <w:p w14:paraId="4F980085">
                  <w:pPr>
                    <w:pStyle w:val="49"/>
                  </w:pPr>
                  <w:r>
                    <w:rPr>
                      <w:rFonts w:hint="eastAsia"/>
                    </w:rPr>
                    <w:t>/</w:t>
                  </w:r>
                </w:p>
              </w:tc>
              <w:tc>
                <w:tcPr>
                  <w:tcW w:w="340" w:type="pct"/>
                  <w:vAlign w:val="center"/>
                </w:tcPr>
                <w:p w14:paraId="1558D891">
                  <w:pPr>
                    <w:pStyle w:val="49"/>
                  </w:pPr>
                  <w:r>
                    <w:rPr>
                      <w:rFonts w:hint="eastAsia"/>
                    </w:rPr>
                    <w:t>0.020</w:t>
                  </w:r>
                </w:p>
              </w:tc>
              <w:tc>
                <w:tcPr>
                  <w:tcW w:w="320" w:type="pct"/>
                  <w:vAlign w:val="center"/>
                </w:tcPr>
                <w:p w14:paraId="0C78FBE2">
                  <w:pPr>
                    <w:pStyle w:val="49"/>
                  </w:pPr>
                  <w:r>
                    <w:rPr>
                      <w:rFonts w:hint="eastAsia"/>
                    </w:rPr>
                    <w:t>0.0028</w:t>
                  </w:r>
                </w:p>
              </w:tc>
              <w:tc>
                <w:tcPr>
                  <w:tcW w:w="333" w:type="pct"/>
                  <w:vAlign w:val="center"/>
                </w:tcPr>
                <w:p w14:paraId="1863D257">
                  <w:pPr>
                    <w:pStyle w:val="49"/>
                  </w:pPr>
                  <w:r>
                    <w:t>≤</w:t>
                  </w:r>
                  <w:r>
                    <w:rPr>
                      <w:rFonts w:hint="eastAsia"/>
                    </w:rPr>
                    <w:t>1.5</w:t>
                  </w:r>
                </w:p>
              </w:tc>
            </w:tr>
            <w:tr w14:paraId="17FCD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Merge w:val="continue"/>
                  <w:vAlign w:val="center"/>
                </w:tcPr>
                <w:p w14:paraId="761DDAFB">
                  <w:pPr>
                    <w:jc w:val="center"/>
                  </w:pPr>
                </w:p>
              </w:tc>
              <w:tc>
                <w:tcPr>
                  <w:tcW w:w="525" w:type="pct"/>
                  <w:vAlign w:val="center"/>
                </w:tcPr>
                <w:p w14:paraId="7266D288">
                  <w:pPr>
                    <w:pStyle w:val="49"/>
                  </w:pPr>
                  <w:r>
                    <w:rPr>
                      <w:rFonts w:hint="eastAsia"/>
                    </w:rPr>
                    <w:t>臭气浓度</w:t>
                  </w:r>
                </w:p>
              </w:tc>
              <w:tc>
                <w:tcPr>
                  <w:tcW w:w="263" w:type="pct"/>
                  <w:vMerge w:val="continue"/>
                  <w:vAlign w:val="center"/>
                </w:tcPr>
                <w:p w14:paraId="6DA79547">
                  <w:pPr>
                    <w:pStyle w:val="49"/>
                  </w:pPr>
                </w:p>
              </w:tc>
              <w:tc>
                <w:tcPr>
                  <w:tcW w:w="316" w:type="pct"/>
                  <w:vMerge w:val="continue"/>
                  <w:vAlign w:val="center"/>
                </w:tcPr>
                <w:p w14:paraId="5116B7F5">
                  <w:pPr>
                    <w:pStyle w:val="49"/>
                  </w:pPr>
                </w:p>
              </w:tc>
              <w:tc>
                <w:tcPr>
                  <w:tcW w:w="316" w:type="pct"/>
                  <w:vAlign w:val="center"/>
                </w:tcPr>
                <w:p w14:paraId="6F9C12E2">
                  <w:pPr>
                    <w:pStyle w:val="49"/>
                  </w:pPr>
                  <w:r>
                    <w:rPr>
                      <w:rFonts w:hint="eastAsia"/>
                    </w:rPr>
                    <w:t>/</w:t>
                  </w:r>
                </w:p>
              </w:tc>
              <w:tc>
                <w:tcPr>
                  <w:tcW w:w="263" w:type="pct"/>
                  <w:vAlign w:val="center"/>
                </w:tcPr>
                <w:p w14:paraId="518D62FC">
                  <w:pPr>
                    <w:pStyle w:val="49"/>
                  </w:pPr>
                  <w:r>
                    <w:rPr>
                      <w:rFonts w:hint="eastAsia"/>
                    </w:rPr>
                    <w:t>/</w:t>
                  </w:r>
                </w:p>
              </w:tc>
              <w:tc>
                <w:tcPr>
                  <w:tcW w:w="316" w:type="pct"/>
                  <w:vAlign w:val="center"/>
                </w:tcPr>
                <w:p w14:paraId="381B3331">
                  <w:pPr>
                    <w:pStyle w:val="49"/>
                  </w:pPr>
                  <w:r>
                    <w:rPr>
                      <w:rFonts w:hint="eastAsia"/>
                    </w:rPr>
                    <w:t>/</w:t>
                  </w:r>
                </w:p>
              </w:tc>
              <w:tc>
                <w:tcPr>
                  <w:tcW w:w="419" w:type="pct"/>
                  <w:vMerge w:val="continue"/>
                  <w:vAlign w:val="center"/>
                </w:tcPr>
                <w:p w14:paraId="0687A9E2">
                  <w:pPr>
                    <w:pStyle w:val="49"/>
                  </w:pPr>
                </w:p>
              </w:tc>
              <w:tc>
                <w:tcPr>
                  <w:tcW w:w="368" w:type="pct"/>
                  <w:vAlign w:val="center"/>
                </w:tcPr>
                <w:p w14:paraId="1D8CF6BB">
                  <w:pPr>
                    <w:pStyle w:val="49"/>
                  </w:pPr>
                  <w:r>
                    <w:rPr>
                      <w:rFonts w:hint="eastAsia"/>
                    </w:rPr>
                    <w:t>/</w:t>
                  </w:r>
                </w:p>
              </w:tc>
              <w:tc>
                <w:tcPr>
                  <w:tcW w:w="368" w:type="pct"/>
                  <w:vAlign w:val="center"/>
                </w:tcPr>
                <w:p w14:paraId="43E21D2E">
                  <w:pPr>
                    <w:pStyle w:val="49"/>
                  </w:pPr>
                  <w:r>
                    <w:rPr>
                      <w:rFonts w:hint="eastAsia"/>
                    </w:rPr>
                    <w:t>/</w:t>
                  </w:r>
                </w:p>
              </w:tc>
              <w:tc>
                <w:tcPr>
                  <w:tcW w:w="370" w:type="pct"/>
                  <w:vAlign w:val="center"/>
                </w:tcPr>
                <w:p w14:paraId="54863EDB">
                  <w:pPr>
                    <w:pStyle w:val="49"/>
                  </w:pPr>
                  <w:r>
                    <w:rPr>
                      <w:rFonts w:hint="eastAsia"/>
                    </w:rPr>
                    <w:t>/</w:t>
                  </w:r>
                </w:p>
              </w:tc>
              <w:tc>
                <w:tcPr>
                  <w:tcW w:w="993" w:type="pct"/>
                  <w:gridSpan w:val="3"/>
                  <w:vAlign w:val="center"/>
                </w:tcPr>
                <w:p w14:paraId="4FEE5BEB">
                  <w:pPr>
                    <w:pStyle w:val="49"/>
                  </w:pPr>
                  <w:r>
                    <w:t>≤</w:t>
                  </w:r>
                  <w:r>
                    <w:rPr>
                      <w:rFonts w:hint="eastAsia"/>
                    </w:rPr>
                    <w:t>20（无量纲）</w:t>
                  </w:r>
                </w:p>
              </w:tc>
            </w:tr>
            <w:tr w14:paraId="3C043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83" w:type="pct"/>
                  <w:vAlign w:val="center"/>
                </w:tcPr>
                <w:p w14:paraId="6223374B">
                  <w:pPr>
                    <w:jc w:val="center"/>
                  </w:pPr>
                  <w:r>
                    <w:rPr>
                      <w:rFonts w:hint="eastAsia"/>
                    </w:rPr>
                    <w:t>溶剂油罐</w:t>
                  </w:r>
                </w:p>
              </w:tc>
              <w:tc>
                <w:tcPr>
                  <w:tcW w:w="525" w:type="pct"/>
                  <w:vAlign w:val="center"/>
                </w:tcPr>
                <w:p w14:paraId="7C0D2A5C">
                  <w:pPr>
                    <w:pStyle w:val="49"/>
                  </w:pPr>
                  <w:r>
                    <w:rPr>
                      <w:rFonts w:hint="eastAsia"/>
                    </w:rPr>
                    <w:t>非甲烷总烃</w:t>
                  </w:r>
                </w:p>
              </w:tc>
              <w:tc>
                <w:tcPr>
                  <w:tcW w:w="263" w:type="pct"/>
                  <w:vAlign w:val="center"/>
                </w:tcPr>
                <w:p w14:paraId="201EFDC4">
                  <w:pPr>
                    <w:pStyle w:val="49"/>
                  </w:pPr>
                  <w:r>
                    <w:rPr>
                      <w:rFonts w:hint="eastAsia"/>
                    </w:rPr>
                    <w:t>无组织</w:t>
                  </w:r>
                </w:p>
              </w:tc>
              <w:tc>
                <w:tcPr>
                  <w:tcW w:w="316" w:type="pct"/>
                  <w:vAlign w:val="center"/>
                </w:tcPr>
                <w:p w14:paraId="5FFA02DF">
                  <w:pPr>
                    <w:pStyle w:val="49"/>
                  </w:pPr>
                  <w:r>
                    <w:rPr>
                      <w:rFonts w:hint="eastAsia"/>
                    </w:rPr>
                    <w:t>/</w:t>
                  </w:r>
                </w:p>
              </w:tc>
              <w:tc>
                <w:tcPr>
                  <w:tcW w:w="316" w:type="pct"/>
                  <w:vAlign w:val="center"/>
                </w:tcPr>
                <w:p w14:paraId="154D0778">
                  <w:pPr>
                    <w:pStyle w:val="49"/>
                  </w:pPr>
                  <w:r>
                    <w:rPr>
                      <w:rFonts w:hint="eastAsia"/>
                    </w:rPr>
                    <w:t>0.015</w:t>
                  </w:r>
                </w:p>
              </w:tc>
              <w:tc>
                <w:tcPr>
                  <w:tcW w:w="263" w:type="pct"/>
                  <w:vAlign w:val="center"/>
                </w:tcPr>
                <w:p w14:paraId="472453FF">
                  <w:pPr>
                    <w:pStyle w:val="49"/>
                  </w:pPr>
                  <w:r>
                    <w:rPr>
                      <w:rFonts w:hint="eastAsia"/>
                    </w:rPr>
                    <w:t>0.002</w:t>
                  </w:r>
                </w:p>
              </w:tc>
              <w:tc>
                <w:tcPr>
                  <w:tcW w:w="316" w:type="pct"/>
                  <w:vAlign w:val="center"/>
                </w:tcPr>
                <w:p w14:paraId="57B72977">
                  <w:pPr>
                    <w:pStyle w:val="49"/>
                  </w:pPr>
                  <w:r>
                    <w:rPr>
                      <w:rFonts w:hint="eastAsia"/>
                    </w:rPr>
                    <w:t>/</w:t>
                  </w:r>
                </w:p>
              </w:tc>
              <w:tc>
                <w:tcPr>
                  <w:tcW w:w="419" w:type="pct"/>
                  <w:vAlign w:val="center"/>
                </w:tcPr>
                <w:p w14:paraId="28BE8D2E">
                  <w:pPr>
                    <w:pStyle w:val="49"/>
                  </w:pPr>
                  <w:r>
                    <w:rPr>
                      <w:rFonts w:hint="eastAsia"/>
                    </w:rPr>
                    <w:t>/</w:t>
                  </w:r>
                </w:p>
              </w:tc>
              <w:tc>
                <w:tcPr>
                  <w:tcW w:w="368" w:type="pct"/>
                  <w:vAlign w:val="center"/>
                </w:tcPr>
                <w:p w14:paraId="313AD41C">
                  <w:pPr>
                    <w:pStyle w:val="49"/>
                  </w:pPr>
                  <w:r>
                    <w:rPr>
                      <w:rFonts w:hint="eastAsia"/>
                    </w:rPr>
                    <w:t>/</w:t>
                  </w:r>
                </w:p>
              </w:tc>
              <w:tc>
                <w:tcPr>
                  <w:tcW w:w="368" w:type="pct"/>
                  <w:vAlign w:val="center"/>
                </w:tcPr>
                <w:p w14:paraId="38E80B11">
                  <w:pPr>
                    <w:pStyle w:val="49"/>
                  </w:pPr>
                  <w:r>
                    <w:rPr>
                      <w:rFonts w:hint="eastAsia"/>
                    </w:rPr>
                    <w:t>/</w:t>
                  </w:r>
                </w:p>
              </w:tc>
              <w:tc>
                <w:tcPr>
                  <w:tcW w:w="370" w:type="pct"/>
                  <w:vAlign w:val="center"/>
                </w:tcPr>
                <w:p w14:paraId="38FD5D4C">
                  <w:pPr>
                    <w:pStyle w:val="49"/>
                  </w:pPr>
                  <w:r>
                    <w:rPr>
                      <w:rFonts w:hint="eastAsia"/>
                    </w:rPr>
                    <w:t>/</w:t>
                  </w:r>
                </w:p>
              </w:tc>
              <w:tc>
                <w:tcPr>
                  <w:tcW w:w="340" w:type="pct"/>
                  <w:vAlign w:val="center"/>
                </w:tcPr>
                <w:p w14:paraId="6AF10971">
                  <w:pPr>
                    <w:pStyle w:val="49"/>
                  </w:pPr>
                  <w:r>
                    <w:rPr>
                      <w:rFonts w:hint="eastAsia"/>
                    </w:rPr>
                    <w:t>0.015</w:t>
                  </w:r>
                </w:p>
              </w:tc>
              <w:tc>
                <w:tcPr>
                  <w:tcW w:w="320" w:type="pct"/>
                  <w:vAlign w:val="center"/>
                </w:tcPr>
                <w:p w14:paraId="33CEC96B">
                  <w:pPr>
                    <w:pStyle w:val="49"/>
                  </w:pPr>
                  <w:r>
                    <w:rPr>
                      <w:rFonts w:hint="eastAsia"/>
                    </w:rPr>
                    <w:t>0.002</w:t>
                  </w:r>
                </w:p>
              </w:tc>
              <w:tc>
                <w:tcPr>
                  <w:tcW w:w="333" w:type="pct"/>
                  <w:vAlign w:val="center"/>
                </w:tcPr>
                <w:p w14:paraId="0647B964">
                  <w:pPr>
                    <w:pStyle w:val="49"/>
                  </w:pPr>
                  <w:r>
                    <w:rPr>
                      <w:rFonts w:hint="eastAsia"/>
                    </w:rPr>
                    <w:t>/</w:t>
                  </w:r>
                </w:p>
              </w:tc>
            </w:tr>
          </w:tbl>
          <w:p w14:paraId="3E531DF7">
            <w:pPr>
              <w:pStyle w:val="12"/>
              <w:ind w:left="1260" w:hanging="420"/>
            </w:pPr>
          </w:p>
        </w:tc>
      </w:tr>
    </w:tbl>
    <w:p w14:paraId="45D3A787"/>
    <w:p w14:paraId="4F34DDAE">
      <w:pPr>
        <w:pStyle w:val="42"/>
        <w:rPr>
          <w:color w:val="auto"/>
        </w:rPr>
        <w:sectPr>
          <w:pgSz w:w="16838" w:h="11906" w:orient="landscape"/>
          <w:pgMar w:top="1418" w:right="1134" w:bottom="1418" w:left="1418" w:header="851" w:footer="992" w:gutter="0"/>
          <w:pgNumType w:fmt="decimal"/>
          <w:cols w:space="425" w:num="1"/>
          <w:docGrid w:linePitch="312" w:charSpace="0"/>
        </w:sectPr>
      </w:pPr>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8780"/>
      </w:tblGrid>
      <w:tr w14:paraId="5BCE78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42" w:hRule="atLeast"/>
          <w:jc w:val="center"/>
        </w:trPr>
        <w:tc>
          <w:tcPr>
            <w:tcW w:w="374" w:type="pct"/>
            <w:tcMar>
              <w:left w:w="28" w:type="dxa"/>
              <w:right w:w="28" w:type="dxa"/>
            </w:tcMar>
            <w:vAlign w:val="center"/>
          </w:tcPr>
          <w:p w14:paraId="3A293800">
            <w:pPr>
              <w:adjustRightInd w:val="0"/>
              <w:snapToGrid w:val="0"/>
              <w:jc w:val="center"/>
              <w:rPr>
                <w:bCs/>
                <w:sz w:val="24"/>
              </w:rPr>
            </w:pPr>
            <w:r>
              <w:rPr>
                <w:bCs/>
                <w:sz w:val="24"/>
              </w:rPr>
              <w:t>运营期环境影响和保护措施</w:t>
            </w:r>
          </w:p>
        </w:tc>
        <w:tc>
          <w:tcPr>
            <w:tcW w:w="4626" w:type="pct"/>
            <w:vAlign w:val="center"/>
          </w:tcPr>
          <w:p w14:paraId="5A561F08">
            <w:pPr>
              <w:spacing w:before="120" w:beforeLines="50" w:line="360" w:lineRule="auto"/>
              <w:ind w:firstLine="482" w:firstLineChars="200"/>
              <w:rPr>
                <w:b/>
                <w:kern w:val="18"/>
                <w:sz w:val="24"/>
              </w:rPr>
            </w:pPr>
            <w:r>
              <w:rPr>
                <w:b/>
                <w:kern w:val="18"/>
                <w:sz w:val="24"/>
              </w:rPr>
              <w:t>1.1废气源强核算说明</w:t>
            </w:r>
          </w:p>
          <w:p w14:paraId="3ADFF594">
            <w:pPr>
              <w:spacing w:line="360" w:lineRule="auto"/>
              <w:ind w:left="482"/>
              <w:rPr>
                <w:b/>
                <w:kern w:val="18"/>
                <w:sz w:val="24"/>
              </w:rPr>
            </w:pPr>
            <w:r>
              <w:rPr>
                <w:rFonts w:hint="eastAsia"/>
                <w:b/>
                <w:kern w:val="18"/>
                <w:sz w:val="24"/>
              </w:rPr>
              <w:t>（1）锅炉废气</w:t>
            </w:r>
          </w:p>
          <w:p w14:paraId="3FF80E8F">
            <w:pPr>
              <w:spacing w:line="360" w:lineRule="auto"/>
              <w:ind w:firstLine="480" w:firstLineChars="200"/>
              <w:rPr>
                <w:kern w:val="18"/>
                <w:sz w:val="24"/>
              </w:rPr>
            </w:pPr>
            <w:r>
              <w:rPr>
                <w:rFonts w:hint="eastAsia"/>
                <w:kern w:val="18"/>
                <w:sz w:val="24"/>
              </w:rPr>
              <w:t>改扩建项目拆除厂区现有的1台2蒸吨燃生物质成型燃料锅炉，将其改建为1台6蒸吨燃生物质成型燃料锅炉，以满足现有项目和扩建项目生产用热的需要。</w:t>
            </w:r>
          </w:p>
          <w:p w14:paraId="0783899A">
            <w:pPr>
              <w:spacing w:line="360" w:lineRule="auto"/>
              <w:ind w:firstLine="480" w:firstLineChars="200"/>
              <w:rPr>
                <w:bCs/>
                <w:sz w:val="24"/>
              </w:rPr>
            </w:pPr>
            <w:r>
              <w:rPr>
                <w:rFonts w:hint="eastAsia"/>
                <w:kern w:val="18"/>
                <w:sz w:val="24"/>
              </w:rPr>
              <w:t>改扩建项目设</w:t>
            </w:r>
            <w:r>
              <w:rPr>
                <w:kern w:val="18"/>
                <w:sz w:val="24"/>
              </w:rPr>
              <w:t>1</w:t>
            </w:r>
            <w:r>
              <w:rPr>
                <w:rFonts w:hint="eastAsia"/>
                <w:kern w:val="18"/>
                <w:sz w:val="24"/>
              </w:rPr>
              <w:t>台6</w:t>
            </w:r>
            <w:r>
              <w:rPr>
                <w:kern w:val="18"/>
                <w:sz w:val="24"/>
              </w:rPr>
              <w:t>t/h</w:t>
            </w:r>
            <w:r>
              <w:rPr>
                <w:rFonts w:hint="eastAsia"/>
                <w:kern w:val="18"/>
                <w:sz w:val="24"/>
              </w:rPr>
              <w:t>的燃生物质成型燃料锅炉，每天运行时间10小时，全年工作时间为300天，生物质成型燃料使用量约为</w:t>
            </w:r>
            <w:r>
              <w:rPr>
                <w:rFonts w:hint="eastAsia"/>
                <w:sz w:val="24"/>
              </w:rPr>
              <w:t>3300</w:t>
            </w:r>
            <w:r>
              <w:rPr>
                <w:sz w:val="24"/>
              </w:rPr>
              <w:t xml:space="preserve"> t/</w:t>
            </w:r>
            <w:r>
              <w:rPr>
                <w:rFonts w:hint="eastAsia"/>
                <w:sz w:val="24"/>
              </w:rPr>
              <w:t>a</w:t>
            </w:r>
            <w:r>
              <w:rPr>
                <w:rFonts w:hint="eastAsia"/>
                <w:kern w:val="18"/>
                <w:sz w:val="24"/>
              </w:rPr>
              <w:t>。</w:t>
            </w:r>
            <w:r>
              <w:rPr>
                <w:rFonts w:hint="eastAsia"/>
                <w:bCs/>
                <w:sz w:val="24"/>
              </w:rPr>
              <w:t>生物质锅炉主要污染物为</w:t>
            </w:r>
            <w:r>
              <w:rPr>
                <w:rFonts w:hint="eastAsia"/>
                <w:kern w:val="18"/>
                <w:sz w:val="24"/>
              </w:rPr>
              <w:t>颗粒物、</w:t>
            </w:r>
            <w:r>
              <w:rPr>
                <w:kern w:val="18"/>
                <w:sz w:val="24"/>
              </w:rPr>
              <w:t>SO</w:t>
            </w:r>
            <w:r>
              <w:rPr>
                <w:kern w:val="18"/>
                <w:sz w:val="24"/>
                <w:vertAlign w:val="subscript"/>
              </w:rPr>
              <w:t>2</w:t>
            </w:r>
            <w:r>
              <w:rPr>
                <w:rFonts w:hint="eastAsia"/>
                <w:kern w:val="18"/>
                <w:sz w:val="24"/>
              </w:rPr>
              <w:t>、</w:t>
            </w:r>
            <w:r>
              <w:rPr>
                <w:kern w:val="18"/>
                <w:sz w:val="24"/>
              </w:rPr>
              <w:t>NO</w:t>
            </w:r>
            <w:r>
              <w:rPr>
                <w:kern w:val="18"/>
                <w:sz w:val="24"/>
                <w:vertAlign w:val="subscript"/>
              </w:rPr>
              <w:t>X</w:t>
            </w:r>
            <w:r>
              <w:rPr>
                <w:rFonts w:hint="eastAsia"/>
                <w:bCs/>
                <w:sz w:val="24"/>
              </w:rPr>
              <w:t>等，本项目</w:t>
            </w:r>
            <w:r>
              <w:rPr>
                <w:rFonts w:hint="eastAsia"/>
                <w:sz w:val="24"/>
              </w:rPr>
              <w:t>使用配置袋式除尘设施的专用锅炉，</w:t>
            </w:r>
            <w:r>
              <w:rPr>
                <w:rFonts w:hint="eastAsia"/>
                <w:bCs/>
                <w:sz w:val="24"/>
              </w:rPr>
              <w:t>锅炉废气经</w:t>
            </w:r>
            <w:r>
              <w:rPr>
                <w:bCs/>
                <w:sz w:val="24"/>
              </w:rPr>
              <w:t>低氮燃烧</w:t>
            </w:r>
            <w:r>
              <w:rPr>
                <w:rFonts w:hint="eastAsia"/>
                <w:bCs/>
                <w:sz w:val="24"/>
              </w:rPr>
              <w:t>+袋式除尘器+</w:t>
            </w:r>
            <w:r>
              <w:rPr>
                <w:bCs/>
                <w:sz w:val="24"/>
              </w:rPr>
              <w:t>SCR</w:t>
            </w:r>
            <w:r>
              <w:rPr>
                <w:rFonts w:hint="eastAsia"/>
                <w:bCs/>
                <w:sz w:val="24"/>
              </w:rPr>
              <w:t>装置处理达标后通过1根15m米高排气筒DA001排放。</w:t>
            </w:r>
          </w:p>
          <w:p w14:paraId="776FBAA6">
            <w:pPr>
              <w:spacing w:line="360" w:lineRule="auto"/>
              <w:ind w:firstLine="480" w:firstLineChars="200"/>
              <w:rPr>
                <w:kern w:val="18"/>
                <w:sz w:val="24"/>
              </w:rPr>
            </w:pPr>
            <w:r>
              <w:rPr>
                <w:rFonts w:hint="eastAsia"/>
                <w:kern w:val="18"/>
                <w:sz w:val="24"/>
              </w:rPr>
              <w:t>根据《排放源统计调查产排污核算方法和系数手册》（公告 2021年 第24号）中《工业锅炉（热力供应）行业系数手册》</w:t>
            </w:r>
            <w:r>
              <w:rPr>
                <w:kern w:val="18"/>
                <w:sz w:val="24"/>
              </w:rPr>
              <w:t xml:space="preserve">4430 </w:t>
            </w:r>
            <w:r>
              <w:rPr>
                <w:rFonts w:hint="eastAsia"/>
                <w:kern w:val="18"/>
                <w:sz w:val="24"/>
              </w:rPr>
              <w:t>工业锅炉（热力生产和供应行业）产污系数表</w:t>
            </w:r>
            <w:r>
              <w:rPr>
                <w:kern w:val="18"/>
                <w:sz w:val="24"/>
              </w:rPr>
              <w:t>-</w:t>
            </w:r>
            <w:r>
              <w:rPr>
                <w:rFonts w:hint="eastAsia"/>
                <w:kern w:val="18"/>
                <w:sz w:val="24"/>
              </w:rPr>
              <w:t>生物质工业锅炉的系数确定生物质燃烧废气的产污系数，见表4-2，生物质燃烧废气主要污染物的产生和排放情况见表4-3。</w:t>
            </w:r>
          </w:p>
          <w:p w14:paraId="4F7AC887">
            <w:pPr>
              <w:pStyle w:val="12"/>
              <w:spacing w:line="360" w:lineRule="auto"/>
              <w:ind w:left="0" w:leftChars="0" w:firstLine="0" w:firstLineChars="0"/>
              <w:jc w:val="center"/>
              <w:rPr>
                <w:b/>
              </w:rPr>
            </w:pPr>
            <w:r>
              <w:rPr>
                <w:b/>
              </w:rPr>
              <w:t>表</w:t>
            </w:r>
            <w:r>
              <w:rPr>
                <w:rFonts w:hint="eastAsia"/>
                <w:b/>
              </w:rPr>
              <w:t>4-2生物质燃烧产污系数一览表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588"/>
              <w:gridCol w:w="1831"/>
              <w:gridCol w:w="1437"/>
              <w:gridCol w:w="2409"/>
              <w:gridCol w:w="1290"/>
            </w:tblGrid>
            <w:tr w14:paraId="0E04B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928" w:type="pct"/>
                  <w:noWrap/>
                  <w:vAlign w:val="center"/>
                </w:tcPr>
                <w:p w14:paraId="3F1E7DBB">
                  <w:pPr>
                    <w:widowControl/>
                    <w:jc w:val="center"/>
                    <w:rPr>
                      <w:rFonts w:cs="宋体"/>
                      <w:kern w:val="0"/>
                      <w:szCs w:val="20"/>
                    </w:rPr>
                  </w:pPr>
                  <w:r>
                    <w:rPr>
                      <w:rFonts w:cs="Calibri"/>
                      <w:kern w:val="0"/>
                      <w:szCs w:val="22"/>
                    </w:rPr>
                    <w:t>污染物指标</w:t>
                  </w:r>
                </w:p>
              </w:tc>
              <w:tc>
                <w:tcPr>
                  <w:tcW w:w="1070" w:type="pct"/>
                  <w:noWrap/>
                  <w:vAlign w:val="center"/>
                </w:tcPr>
                <w:p w14:paraId="0FCA4913">
                  <w:pPr>
                    <w:widowControl/>
                    <w:jc w:val="center"/>
                    <w:rPr>
                      <w:rFonts w:cs="宋体"/>
                      <w:kern w:val="0"/>
                      <w:szCs w:val="20"/>
                    </w:rPr>
                  </w:pPr>
                  <w:r>
                    <w:rPr>
                      <w:rFonts w:cs="Calibri"/>
                      <w:kern w:val="0"/>
                      <w:szCs w:val="22"/>
                    </w:rPr>
                    <w:t>工艺废气量</w:t>
                  </w:r>
                </w:p>
              </w:tc>
              <w:tc>
                <w:tcPr>
                  <w:tcW w:w="840" w:type="pct"/>
                  <w:noWrap/>
                  <w:vAlign w:val="center"/>
                </w:tcPr>
                <w:p w14:paraId="5E622515">
                  <w:pPr>
                    <w:widowControl/>
                    <w:jc w:val="center"/>
                    <w:rPr>
                      <w:rFonts w:cs="宋体"/>
                      <w:kern w:val="0"/>
                      <w:szCs w:val="20"/>
                    </w:rPr>
                  </w:pPr>
                  <w:r>
                    <w:rPr>
                      <w:rFonts w:cs="Calibri"/>
                      <w:kern w:val="0"/>
                      <w:szCs w:val="22"/>
                    </w:rPr>
                    <w:t>二氧化硫</w:t>
                  </w:r>
                </w:p>
              </w:tc>
              <w:tc>
                <w:tcPr>
                  <w:tcW w:w="1408" w:type="pct"/>
                  <w:noWrap/>
                  <w:vAlign w:val="center"/>
                </w:tcPr>
                <w:p w14:paraId="763585E5">
                  <w:pPr>
                    <w:widowControl/>
                    <w:jc w:val="center"/>
                    <w:rPr>
                      <w:rFonts w:cs="宋体"/>
                      <w:kern w:val="0"/>
                      <w:szCs w:val="20"/>
                    </w:rPr>
                  </w:pPr>
                  <w:r>
                    <w:rPr>
                      <w:rFonts w:cs="Calibri"/>
                      <w:kern w:val="0"/>
                      <w:szCs w:val="22"/>
                    </w:rPr>
                    <w:t>氮氧化物</w:t>
                  </w:r>
                </w:p>
              </w:tc>
              <w:tc>
                <w:tcPr>
                  <w:tcW w:w="754" w:type="pct"/>
                  <w:noWrap/>
                  <w:vAlign w:val="center"/>
                </w:tcPr>
                <w:p w14:paraId="7E5E9846">
                  <w:pPr>
                    <w:widowControl/>
                    <w:jc w:val="center"/>
                    <w:rPr>
                      <w:rFonts w:cs="宋体"/>
                      <w:kern w:val="0"/>
                      <w:szCs w:val="20"/>
                    </w:rPr>
                  </w:pPr>
                  <w:r>
                    <w:rPr>
                      <w:rFonts w:cs="Calibri"/>
                      <w:kern w:val="0"/>
                      <w:szCs w:val="22"/>
                    </w:rPr>
                    <w:t>颗粒物</w:t>
                  </w:r>
                </w:p>
              </w:tc>
            </w:tr>
            <w:tr w14:paraId="7E72B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928" w:type="pct"/>
                  <w:noWrap/>
                  <w:vAlign w:val="center"/>
                </w:tcPr>
                <w:p w14:paraId="673FC802">
                  <w:pPr>
                    <w:widowControl/>
                    <w:jc w:val="center"/>
                    <w:rPr>
                      <w:rFonts w:cs="宋体"/>
                      <w:kern w:val="0"/>
                      <w:szCs w:val="20"/>
                    </w:rPr>
                  </w:pPr>
                  <w:r>
                    <w:rPr>
                      <w:rFonts w:cs="Calibri"/>
                      <w:kern w:val="0"/>
                      <w:szCs w:val="22"/>
                    </w:rPr>
                    <w:t>单位</w:t>
                  </w:r>
                </w:p>
              </w:tc>
              <w:tc>
                <w:tcPr>
                  <w:tcW w:w="1070" w:type="pct"/>
                  <w:noWrap/>
                  <w:vAlign w:val="center"/>
                </w:tcPr>
                <w:p w14:paraId="14E8E413">
                  <w:pPr>
                    <w:widowControl/>
                    <w:jc w:val="center"/>
                    <w:rPr>
                      <w:rFonts w:cs="宋体"/>
                      <w:kern w:val="0"/>
                      <w:szCs w:val="20"/>
                    </w:rPr>
                  </w:pPr>
                  <w:r>
                    <w:rPr>
                      <w:rFonts w:cs="Calibri"/>
                      <w:kern w:val="0"/>
                      <w:szCs w:val="22"/>
                    </w:rPr>
                    <w:t>标立方米/吨-原料</w:t>
                  </w:r>
                </w:p>
              </w:tc>
              <w:tc>
                <w:tcPr>
                  <w:tcW w:w="840" w:type="pct"/>
                  <w:noWrap/>
                  <w:vAlign w:val="center"/>
                </w:tcPr>
                <w:p w14:paraId="45825D3B">
                  <w:pPr>
                    <w:widowControl/>
                    <w:jc w:val="center"/>
                    <w:rPr>
                      <w:rFonts w:cs="宋体"/>
                      <w:kern w:val="0"/>
                      <w:szCs w:val="20"/>
                    </w:rPr>
                  </w:pPr>
                  <w:r>
                    <w:rPr>
                      <w:rFonts w:cs="Calibri"/>
                      <w:kern w:val="0"/>
                      <w:szCs w:val="22"/>
                    </w:rPr>
                    <w:t>千克/吨-原料</w:t>
                  </w:r>
                </w:p>
              </w:tc>
              <w:tc>
                <w:tcPr>
                  <w:tcW w:w="1408" w:type="pct"/>
                  <w:noWrap/>
                  <w:vAlign w:val="center"/>
                </w:tcPr>
                <w:p w14:paraId="353F8058">
                  <w:pPr>
                    <w:widowControl/>
                    <w:jc w:val="center"/>
                    <w:rPr>
                      <w:rFonts w:cs="宋体"/>
                      <w:kern w:val="0"/>
                      <w:szCs w:val="20"/>
                    </w:rPr>
                  </w:pPr>
                  <w:r>
                    <w:rPr>
                      <w:rFonts w:cs="Calibri"/>
                      <w:kern w:val="0"/>
                      <w:szCs w:val="22"/>
                    </w:rPr>
                    <w:t>千克/吨-原料</w:t>
                  </w:r>
                </w:p>
              </w:tc>
              <w:tc>
                <w:tcPr>
                  <w:tcW w:w="754" w:type="pct"/>
                  <w:noWrap/>
                  <w:vAlign w:val="center"/>
                </w:tcPr>
                <w:p w14:paraId="602B76A0">
                  <w:pPr>
                    <w:widowControl/>
                    <w:jc w:val="center"/>
                    <w:rPr>
                      <w:rFonts w:cs="宋体"/>
                      <w:kern w:val="0"/>
                      <w:szCs w:val="20"/>
                    </w:rPr>
                  </w:pPr>
                  <w:r>
                    <w:rPr>
                      <w:rFonts w:cs="Calibri"/>
                      <w:kern w:val="0"/>
                      <w:szCs w:val="22"/>
                    </w:rPr>
                    <w:t>千克/吨-原料</w:t>
                  </w:r>
                </w:p>
              </w:tc>
            </w:tr>
            <w:tr w14:paraId="327D4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928" w:type="pct"/>
                  <w:noWrap/>
                  <w:vAlign w:val="center"/>
                </w:tcPr>
                <w:p w14:paraId="12C8AF65">
                  <w:pPr>
                    <w:widowControl/>
                    <w:jc w:val="center"/>
                    <w:rPr>
                      <w:rFonts w:cs="宋体"/>
                      <w:kern w:val="0"/>
                      <w:szCs w:val="20"/>
                    </w:rPr>
                  </w:pPr>
                  <w:r>
                    <w:rPr>
                      <w:rFonts w:cs="Calibri"/>
                      <w:kern w:val="0"/>
                      <w:szCs w:val="22"/>
                    </w:rPr>
                    <w:t>产污系数</w:t>
                  </w:r>
                </w:p>
              </w:tc>
              <w:tc>
                <w:tcPr>
                  <w:tcW w:w="1070" w:type="pct"/>
                  <w:noWrap/>
                  <w:vAlign w:val="center"/>
                </w:tcPr>
                <w:p w14:paraId="37FD70D0">
                  <w:pPr>
                    <w:widowControl/>
                    <w:jc w:val="center"/>
                    <w:rPr>
                      <w:rFonts w:cs="宋体"/>
                      <w:kern w:val="0"/>
                      <w:szCs w:val="20"/>
                    </w:rPr>
                  </w:pPr>
                  <w:r>
                    <w:rPr>
                      <w:rFonts w:cs="Calibri"/>
                      <w:kern w:val="0"/>
                      <w:szCs w:val="22"/>
                    </w:rPr>
                    <w:t>6240</w:t>
                  </w:r>
                </w:p>
              </w:tc>
              <w:tc>
                <w:tcPr>
                  <w:tcW w:w="840" w:type="pct"/>
                  <w:noWrap/>
                  <w:vAlign w:val="center"/>
                </w:tcPr>
                <w:p w14:paraId="10DD9B1B">
                  <w:pPr>
                    <w:widowControl/>
                    <w:jc w:val="center"/>
                    <w:rPr>
                      <w:rFonts w:cs="宋体"/>
                      <w:kern w:val="0"/>
                      <w:szCs w:val="20"/>
                    </w:rPr>
                  </w:pPr>
                  <w:r>
                    <w:rPr>
                      <w:rFonts w:cs="Calibri"/>
                      <w:kern w:val="0"/>
                      <w:szCs w:val="22"/>
                    </w:rPr>
                    <w:t>17S</w:t>
                  </w:r>
                  <w:r>
                    <w:rPr>
                      <w:rFonts w:ascii="Cambria Math" w:hAnsi="Cambria Math" w:cs="Cambria Math"/>
                      <w:kern w:val="0"/>
                      <w:szCs w:val="22"/>
                      <w:vertAlign w:val="superscript"/>
                    </w:rPr>
                    <w:t>①</w:t>
                  </w:r>
                </w:p>
              </w:tc>
              <w:tc>
                <w:tcPr>
                  <w:tcW w:w="1408" w:type="pct"/>
                  <w:noWrap/>
                  <w:vAlign w:val="center"/>
                </w:tcPr>
                <w:p w14:paraId="20940F7C">
                  <w:pPr>
                    <w:widowControl/>
                    <w:jc w:val="center"/>
                    <w:rPr>
                      <w:rFonts w:cs="宋体"/>
                      <w:kern w:val="0"/>
                      <w:szCs w:val="20"/>
                    </w:rPr>
                  </w:pPr>
                  <w:r>
                    <w:rPr>
                      <w:rFonts w:cs="Calibri"/>
                      <w:kern w:val="0"/>
                      <w:szCs w:val="22"/>
                    </w:rPr>
                    <w:t>1.02</w:t>
                  </w:r>
                </w:p>
              </w:tc>
              <w:tc>
                <w:tcPr>
                  <w:tcW w:w="754" w:type="pct"/>
                  <w:noWrap/>
                  <w:vAlign w:val="center"/>
                </w:tcPr>
                <w:p w14:paraId="6B22D61F">
                  <w:pPr>
                    <w:widowControl/>
                    <w:jc w:val="center"/>
                    <w:rPr>
                      <w:rFonts w:cs="宋体"/>
                      <w:kern w:val="0"/>
                      <w:szCs w:val="20"/>
                    </w:rPr>
                  </w:pPr>
                  <w:r>
                    <w:rPr>
                      <w:rFonts w:cs="Calibri"/>
                      <w:kern w:val="0"/>
                      <w:szCs w:val="22"/>
                    </w:rPr>
                    <w:t>0.5</w:t>
                  </w:r>
                </w:p>
              </w:tc>
            </w:tr>
            <w:tr w14:paraId="2CA7E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928" w:type="pct"/>
                  <w:noWrap/>
                  <w:vAlign w:val="center"/>
                </w:tcPr>
                <w:p w14:paraId="752817B2">
                  <w:pPr>
                    <w:widowControl/>
                    <w:jc w:val="center"/>
                    <w:rPr>
                      <w:rFonts w:cs="Calibri"/>
                      <w:kern w:val="0"/>
                      <w:szCs w:val="22"/>
                    </w:rPr>
                  </w:pPr>
                  <w:r>
                    <w:rPr>
                      <w:rFonts w:hint="eastAsia" w:cs="Calibri"/>
                      <w:kern w:val="0"/>
                      <w:szCs w:val="22"/>
                    </w:rPr>
                    <w:t>末端治理技术</w:t>
                  </w:r>
                </w:p>
              </w:tc>
              <w:tc>
                <w:tcPr>
                  <w:tcW w:w="1070" w:type="pct"/>
                  <w:noWrap/>
                  <w:vAlign w:val="center"/>
                </w:tcPr>
                <w:p w14:paraId="1E2207F2">
                  <w:pPr>
                    <w:widowControl/>
                    <w:jc w:val="center"/>
                    <w:rPr>
                      <w:rFonts w:cs="Calibri"/>
                      <w:kern w:val="0"/>
                      <w:szCs w:val="22"/>
                    </w:rPr>
                  </w:pPr>
                  <w:r>
                    <w:rPr>
                      <w:rFonts w:hint="eastAsia" w:cs="Calibri"/>
                      <w:kern w:val="0"/>
                      <w:szCs w:val="22"/>
                    </w:rPr>
                    <w:t>/</w:t>
                  </w:r>
                </w:p>
              </w:tc>
              <w:tc>
                <w:tcPr>
                  <w:tcW w:w="840" w:type="pct"/>
                  <w:noWrap/>
                  <w:vAlign w:val="center"/>
                </w:tcPr>
                <w:p w14:paraId="1A978132">
                  <w:pPr>
                    <w:widowControl/>
                    <w:jc w:val="center"/>
                    <w:rPr>
                      <w:rFonts w:cs="Calibri"/>
                      <w:kern w:val="0"/>
                      <w:szCs w:val="22"/>
                    </w:rPr>
                  </w:pPr>
                  <w:r>
                    <w:rPr>
                      <w:rFonts w:hint="eastAsia" w:cs="Calibri"/>
                      <w:kern w:val="0"/>
                      <w:szCs w:val="22"/>
                    </w:rPr>
                    <w:t>/</w:t>
                  </w:r>
                </w:p>
              </w:tc>
              <w:tc>
                <w:tcPr>
                  <w:tcW w:w="1408" w:type="pct"/>
                  <w:noWrap/>
                  <w:vAlign w:val="center"/>
                </w:tcPr>
                <w:p w14:paraId="41440A12">
                  <w:pPr>
                    <w:widowControl/>
                    <w:jc w:val="center"/>
                    <w:rPr>
                      <w:rFonts w:cs="Calibri"/>
                      <w:kern w:val="0"/>
                      <w:szCs w:val="22"/>
                    </w:rPr>
                  </w:pPr>
                  <w:r>
                    <w:rPr>
                      <w:rFonts w:cs="Calibri"/>
                      <w:kern w:val="0"/>
                      <w:szCs w:val="22"/>
                    </w:rPr>
                    <w:t>低氮燃烧+选择性催化还原法（SCR）</w:t>
                  </w:r>
                </w:p>
              </w:tc>
              <w:tc>
                <w:tcPr>
                  <w:tcW w:w="754" w:type="pct"/>
                  <w:noWrap/>
                  <w:vAlign w:val="center"/>
                </w:tcPr>
                <w:p w14:paraId="6A432323">
                  <w:pPr>
                    <w:widowControl/>
                    <w:jc w:val="center"/>
                    <w:rPr>
                      <w:rFonts w:cs="Calibri"/>
                      <w:kern w:val="0"/>
                      <w:szCs w:val="22"/>
                    </w:rPr>
                  </w:pPr>
                  <w:r>
                    <w:rPr>
                      <w:rFonts w:hint="eastAsia" w:cs="Calibri"/>
                      <w:kern w:val="0"/>
                      <w:szCs w:val="22"/>
                    </w:rPr>
                    <w:t>袋式除尘</w:t>
                  </w:r>
                </w:p>
              </w:tc>
            </w:tr>
            <w:tr w14:paraId="6978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928" w:type="pct"/>
                  <w:noWrap/>
                  <w:vAlign w:val="center"/>
                </w:tcPr>
                <w:p w14:paraId="1FB93CB4">
                  <w:pPr>
                    <w:widowControl/>
                    <w:jc w:val="center"/>
                    <w:rPr>
                      <w:rFonts w:cs="Calibri"/>
                      <w:kern w:val="0"/>
                      <w:szCs w:val="22"/>
                    </w:rPr>
                  </w:pPr>
                  <w:r>
                    <w:rPr>
                      <w:rFonts w:hint="eastAsia" w:cs="Calibri"/>
                      <w:kern w:val="0"/>
                      <w:szCs w:val="22"/>
                    </w:rPr>
                    <w:t>去除效率（%）</w:t>
                  </w:r>
                </w:p>
              </w:tc>
              <w:tc>
                <w:tcPr>
                  <w:tcW w:w="1070" w:type="pct"/>
                  <w:noWrap/>
                  <w:vAlign w:val="center"/>
                </w:tcPr>
                <w:p w14:paraId="205A84C8">
                  <w:pPr>
                    <w:widowControl/>
                    <w:jc w:val="center"/>
                    <w:rPr>
                      <w:rFonts w:cs="Calibri"/>
                      <w:kern w:val="0"/>
                      <w:szCs w:val="22"/>
                    </w:rPr>
                  </w:pPr>
                  <w:r>
                    <w:rPr>
                      <w:rFonts w:hint="eastAsia" w:cs="Calibri"/>
                      <w:kern w:val="0"/>
                      <w:szCs w:val="22"/>
                    </w:rPr>
                    <w:t>/</w:t>
                  </w:r>
                </w:p>
              </w:tc>
              <w:tc>
                <w:tcPr>
                  <w:tcW w:w="840" w:type="pct"/>
                  <w:noWrap/>
                  <w:vAlign w:val="center"/>
                </w:tcPr>
                <w:p w14:paraId="4BA4B9C2">
                  <w:pPr>
                    <w:widowControl/>
                    <w:jc w:val="center"/>
                    <w:rPr>
                      <w:rFonts w:cs="Calibri"/>
                      <w:kern w:val="0"/>
                      <w:szCs w:val="22"/>
                    </w:rPr>
                  </w:pPr>
                  <w:r>
                    <w:rPr>
                      <w:rFonts w:hint="eastAsia" w:cs="Calibri"/>
                      <w:kern w:val="0"/>
                      <w:szCs w:val="22"/>
                    </w:rPr>
                    <w:t>/</w:t>
                  </w:r>
                </w:p>
              </w:tc>
              <w:tc>
                <w:tcPr>
                  <w:tcW w:w="1408" w:type="pct"/>
                  <w:noWrap/>
                  <w:vAlign w:val="center"/>
                </w:tcPr>
                <w:p w14:paraId="09771DCC">
                  <w:pPr>
                    <w:widowControl/>
                    <w:jc w:val="center"/>
                    <w:rPr>
                      <w:rFonts w:cs="Calibri"/>
                      <w:kern w:val="0"/>
                      <w:szCs w:val="22"/>
                    </w:rPr>
                  </w:pPr>
                  <w:r>
                    <w:rPr>
                      <w:rFonts w:hint="eastAsia" w:cs="Calibri"/>
                      <w:kern w:val="0"/>
                      <w:szCs w:val="22"/>
                    </w:rPr>
                    <w:t>79.0</w:t>
                  </w:r>
                </w:p>
              </w:tc>
              <w:tc>
                <w:tcPr>
                  <w:tcW w:w="754" w:type="pct"/>
                  <w:noWrap/>
                  <w:vAlign w:val="center"/>
                </w:tcPr>
                <w:p w14:paraId="39BED82D">
                  <w:pPr>
                    <w:widowControl/>
                    <w:jc w:val="center"/>
                    <w:rPr>
                      <w:rFonts w:cs="Calibri"/>
                      <w:kern w:val="0"/>
                      <w:szCs w:val="22"/>
                    </w:rPr>
                  </w:pPr>
                  <w:r>
                    <w:rPr>
                      <w:rFonts w:hint="eastAsia" w:cs="Calibri"/>
                      <w:kern w:val="0"/>
                      <w:szCs w:val="22"/>
                    </w:rPr>
                    <w:t>99.7</w:t>
                  </w:r>
                </w:p>
              </w:tc>
            </w:tr>
            <w:tr w14:paraId="7AA3A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jc w:val="center"/>
              </w:trPr>
              <w:tc>
                <w:tcPr>
                  <w:tcW w:w="5000" w:type="pct"/>
                  <w:gridSpan w:val="5"/>
                  <w:noWrap/>
                  <w:vAlign w:val="center"/>
                </w:tcPr>
                <w:p w14:paraId="0B2A8E59">
                  <w:pPr>
                    <w:widowControl/>
                    <w:rPr>
                      <w:rFonts w:cs="宋体"/>
                      <w:kern w:val="0"/>
                      <w:szCs w:val="20"/>
                    </w:rPr>
                  </w:pPr>
                  <w:r>
                    <w:rPr>
                      <w:rFonts w:cs="Calibri"/>
                      <w:kern w:val="0"/>
                      <w:szCs w:val="22"/>
                    </w:rPr>
                    <w:t>注</w:t>
                  </w:r>
                  <w:r>
                    <w:rPr>
                      <w:rFonts w:hint="eastAsia" w:cs="Calibri"/>
                      <w:kern w:val="0"/>
                      <w:szCs w:val="22"/>
                    </w:rPr>
                    <w:t>：</w:t>
                  </w:r>
                  <w:r>
                    <w:rPr>
                      <w:rFonts w:ascii="Cambria Math" w:hAnsi="Cambria Math" w:cs="Cambria Math"/>
                      <w:kern w:val="0"/>
                      <w:szCs w:val="22"/>
                    </w:rPr>
                    <w:t>①</w:t>
                  </w:r>
                  <w:r>
                    <w:rPr>
                      <w:kern w:val="0"/>
                      <w:szCs w:val="22"/>
                    </w:rPr>
                    <w:t>二氧化硫的产污系数是以含硫量（S％）的形式表示的，其中含硫量（S％）是指生物质收到基硫分含量，以质量百分数的形式表示。例如生物质中含硫量（S％）为0.1％，则S=0.1</w:t>
                  </w:r>
                  <w:r>
                    <w:rPr>
                      <w:rFonts w:cs="Calibri"/>
                      <w:kern w:val="0"/>
                      <w:szCs w:val="22"/>
                    </w:rPr>
                    <w:t>。本项目使用的生物质燃料含硫量为0.01(见附件</w:t>
                  </w:r>
                  <w:r>
                    <w:rPr>
                      <w:rFonts w:hint="eastAsia" w:cs="Calibri"/>
                      <w:kern w:val="0"/>
                      <w:szCs w:val="22"/>
                      <w:lang w:val="en-US" w:eastAsia="zh-CN"/>
                    </w:rPr>
                    <w:t>8</w:t>
                  </w:r>
                  <w:r>
                    <w:rPr>
                      <w:rFonts w:cs="Calibri"/>
                      <w:kern w:val="0"/>
                      <w:szCs w:val="22"/>
                    </w:rPr>
                    <w:t>)。</w:t>
                  </w:r>
                </w:p>
              </w:tc>
            </w:tr>
          </w:tbl>
          <w:p w14:paraId="01B85010">
            <w:pPr>
              <w:pStyle w:val="12"/>
              <w:spacing w:before="120" w:beforeLines="50" w:line="360" w:lineRule="auto"/>
              <w:ind w:left="0" w:leftChars="0" w:firstLine="0" w:firstLineChars="0"/>
              <w:jc w:val="center"/>
              <w:rPr>
                <w:b/>
              </w:rPr>
            </w:pPr>
            <w:r>
              <w:rPr>
                <w:rFonts w:hint="eastAsia"/>
                <w:b/>
              </w:rPr>
              <w:t>表</w:t>
            </w:r>
            <w:r>
              <w:rPr>
                <w:b/>
              </w:rPr>
              <w:t>4-</w:t>
            </w:r>
            <w:r>
              <w:rPr>
                <w:rFonts w:hint="eastAsia"/>
                <w:b/>
              </w:rPr>
              <w:t>3</w:t>
            </w:r>
            <w:r>
              <w:rPr>
                <w:b/>
              </w:rPr>
              <w:t xml:space="preserve"> </w:t>
            </w:r>
            <w:r>
              <w:rPr>
                <w:rFonts w:hint="eastAsia"/>
                <w:b/>
              </w:rPr>
              <w:t>生物质燃烧废气主要污染物产生和排放情况</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76"/>
              <w:gridCol w:w="776"/>
              <w:gridCol w:w="712"/>
              <w:gridCol w:w="520"/>
              <w:gridCol w:w="775"/>
              <w:gridCol w:w="732"/>
              <w:gridCol w:w="692"/>
              <w:gridCol w:w="712"/>
              <w:gridCol w:w="775"/>
              <w:gridCol w:w="520"/>
              <w:gridCol w:w="782"/>
              <w:gridCol w:w="782"/>
            </w:tblGrid>
            <w:tr w14:paraId="241B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54" w:type="pct"/>
                  <w:vMerge w:val="restart"/>
                  <w:vAlign w:val="center"/>
                </w:tcPr>
                <w:p w14:paraId="348E11B3">
                  <w:pPr>
                    <w:widowControl/>
                    <w:jc w:val="center"/>
                    <w:rPr>
                      <w:rFonts w:cs="宋体"/>
                      <w:bCs/>
                      <w:kern w:val="0"/>
                    </w:rPr>
                  </w:pPr>
                  <w:r>
                    <w:rPr>
                      <w:rFonts w:hint="eastAsia" w:cs="宋体"/>
                      <w:bCs/>
                      <w:kern w:val="0"/>
                    </w:rPr>
                    <w:t>污染物</w:t>
                  </w:r>
                </w:p>
              </w:tc>
              <w:tc>
                <w:tcPr>
                  <w:tcW w:w="454" w:type="pct"/>
                  <w:vAlign w:val="center"/>
                </w:tcPr>
                <w:p w14:paraId="4949DF69">
                  <w:pPr>
                    <w:widowControl/>
                    <w:jc w:val="center"/>
                    <w:rPr>
                      <w:rFonts w:cs="宋体"/>
                      <w:bCs/>
                      <w:kern w:val="0"/>
                    </w:rPr>
                  </w:pPr>
                  <w:r>
                    <w:rPr>
                      <w:rFonts w:hint="eastAsia" w:cs="宋体"/>
                      <w:bCs/>
                      <w:kern w:val="0"/>
                    </w:rPr>
                    <w:t>烟气量</w:t>
                  </w:r>
                </w:p>
              </w:tc>
              <w:tc>
                <w:tcPr>
                  <w:tcW w:w="416" w:type="pct"/>
                  <w:vAlign w:val="center"/>
                </w:tcPr>
                <w:p w14:paraId="320CA1C0">
                  <w:pPr>
                    <w:widowControl/>
                    <w:jc w:val="center"/>
                    <w:rPr>
                      <w:rFonts w:cs="宋体"/>
                      <w:bCs/>
                      <w:kern w:val="0"/>
                    </w:rPr>
                  </w:pPr>
                  <w:r>
                    <w:rPr>
                      <w:rFonts w:hint="eastAsia" w:cs="宋体"/>
                      <w:bCs/>
                      <w:kern w:val="0"/>
                    </w:rPr>
                    <w:t>产生</w:t>
                  </w:r>
                </w:p>
                <w:p w14:paraId="29A61E17">
                  <w:pPr>
                    <w:widowControl/>
                    <w:jc w:val="center"/>
                    <w:rPr>
                      <w:rFonts w:cs="宋体"/>
                      <w:bCs/>
                      <w:kern w:val="0"/>
                    </w:rPr>
                  </w:pPr>
                  <w:r>
                    <w:rPr>
                      <w:rFonts w:hint="eastAsia" w:cs="宋体"/>
                      <w:bCs/>
                      <w:kern w:val="0"/>
                    </w:rPr>
                    <w:t>浓度</w:t>
                  </w:r>
                </w:p>
              </w:tc>
              <w:tc>
                <w:tcPr>
                  <w:tcW w:w="304" w:type="pct"/>
                  <w:vAlign w:val="center"/>
                </w:tcPr>
                <w:p w14:paraId="64DD1BF0">
                  <w:pPr>
                    <w:widowControl/>
                    <w:jc w:val="center"/>
                    <w:rPr>
                      <w:rFonts w:cs="宋体"/>
                      <w:bCs/>
                      <w:kern w:val="0"/>
                    </w:rPr>
                  </w:pPr>
                  <w:r>
                    <w:rPr>
                      <w:rFonts w:hint="eastAsia" w:cs="宋体"/>
                      <w:bCs/>
                      <w:kern w:val="0"/>
                    </w:rPr>
                    <w:t>产生</w:t>
                  </w:r>
                </w:p>
                <w:p w14:paraId="1185C040">
                  <w:pPr>
                    <w:widowControl/>
                    <w:jc w:val="center"/>
                    <w:rPr>
                      <w:rFonts w:cs="宋体"/>
                      <w:bCs/>
                      <w:kern w:val="0"/>
                    </w:rPr>
                  </w:pPr>
                  <w:r>
                    <w:rPr>
                      <w:rFonts w:hint="eastAsia" w:cs="宋体"/>
                      <w:bCs/>
                      <w:kern w:val="0"/>
                    </w:rPr>
                    <w:t>速率</w:t>
                  </w:r>
                </w:p>
              </w:tc>
              <w:tc>
                <w:tcPr>
                  <w:tcW w:w="453" w:type="pct"/>
                  <w:vAlign w:val="center"/>
                </w:tcPr>
                <w:p w14:paraId="532D069B">
                  <w:pPr>
                    <w:widowControl/>
                    <w:jc w:val="center"/>
                    <w:rPr>
                      <w:rFonts w:cs="宋体"/>
                      <w:bCs/>
                      <w:kern w:val="0"/>
                    </w:rPr>
                  </w:pPr>
                  <w:r>
                    <w:rPr>
                      <w:rFonts w:hint="eastAsia" w:cs="宋体"/>
                      <w:bCs/>
                      <w:kern w:val="0"/>
                    </w:rPr>
                    <w:t>产生量</w:t>
                  </w:r>
                </w:p>
              </w:tc>
              <w:tc>
                <w:tcPr>
                  <w:tcW w:w="428" w:type="pct"/>
                  <w:vAlign w:val="center"/>
                </w:tcPr>
                <w:p w14:paraId="01633A5C">
                  <w:pPr>
                    <w:widowControl/>
                    <w:jc w:val="center"/>
                    <w:rPr>
                      <w:rFonts w:cs="宋体"/>
                      <w:bCs/>
                      <w:kern w:val="0"/>
                    </w:rPr>
                  </w:pPr>
                  <w:r>
                    <w:rPr>
                      <w:rFonts w:hint="eastAsia" w:cs="宋体"/>
                      <w:bCs/>
                      <w:kern w:val="0"/>
                    </w:rPr>
                    <w:t>去除</w:t>
                  </w:r>
                </w:p>
                <w:p w14:paraId="56C28AED">
                  <w:pPr>
                    <w:widowControl/>
                    <w:jc w:val="center"/>
                    <w:rPr>
                      <w:rFonts w:cs="宋体"/>
                      <w:bCs/>
                      <w:kern w:val="0"/>
                    </w:rPr>
                  </w:pPr>
                  <w:r>
                    <w:rPr>
                      <w:rFonts w:hint="eastAsia" w:cs="宋体"/>
                      <w:bCs/>
                      <w:kern w:val="0"/>
                    </w:rPr>
                    <w:t>效率</w:t>
                  </w:r>
                </w:p>
              </w:tc>
              <w:tc>
                <w:tcPr>
                  <w:tcW w:w="404" w:type="pct"/>
                  <w:vAlign w:val="center"/>
                </w:tcPr>
                <w:p w14:paraId="00588616">
                  <w:pPr>
                    <w:widowControl/>
                    <w:jc w:val="center"/>
                    <w:rPr>
                      <w:rFonts w:cs="宋体"/>
                      <w:bCs/>
                      <w:kern w:val="0"/>
                    </w:rPr>
                  </w:pPr>
                  <w:r>
                    <w:rPr>
                      <w:rFonts w:hint="eastAsia" w:cs="宋体"/>
                      <w:bCs/>
                      <w:kern w:val="0"/>
                    </w:rPr>
                    <w:t>排放</w:t>
                  </w:r>
                </w:p>
                <w:p w14:paraId="5F1CACB8">
                  <w:pPr>
                    <w:widowControl/>
                    <w:jc w:val="center"/>
                    <w:rPr>
                      <w:rFonts w:cs="宋体"/>
                      <w:bCs/>
                      <w:kern w:val="0"/>
                    </w:rPr>
                  </w:pPr>
                  <w:r>
                    <w:rPr>
                      <w:rFonts w:hint="eastAsia" w:cs="宋体"/>
                      <w:bCs/>
                      <w:kern w:val="0"/>
                    </w:rPr>
                    <w:t>浓度</w:t>
                  </w:r>
                </w:p>
              </w:tc>
              <w:tc>
                <w:tcPr>
                  <w:tcW w:w="416" w:type="pct"/>
                  <w:vAlign w:val="center"/>
                </w:tcPr>
                <w:p w14:paraId="6A1AE78F">
                  <w:pPr>
                    <w:widowControl/>
                    <w:jc w:val="center"/>
                    <w:rPr>
                      <w:rFonts w:cs="宋体"/>
                      <w:bCs/>
                      <w:kern w:val="0"/>
                    </w:rPr>
                  </w:pPr>
                  <w:r>
                    <w:rPr>
                      <w:rFonts w:hint="eastAsia" w:cs="宋体"/>
                      <w:bCs/>
                      <w:kern w:val="0"/>
                    </w:rPr>
                    <w:t>排放</w:t>
                  </w:r>
                </w:p>
                <w:p w14:paraId="25324393">
                  <w:pPr>
                    <w:widowControl/>
                    <w:jc w:val="center"/>
                    <w:rPr>
                      <w:rFonts w:cs="宋体"/>
                      <w:bCs/>
                      <w:kern w:val="0"/>
                    </w:rPr>
                  </w:pPr>
                  <w:r>
                    <w:rPr>
                      <w:rFonts w:hint="eastAsia" w:cs="宋体"/>
                      <w:bCs/>
                      <w:kern w:val="0"/>
                    </w:rPr>
                    <w:t>速率</w:t>
                  </w:r>
                </w:p>
              </w:tc>
              <w:tc>
                <w:tcPr>
                  <w:tcW w:w="453" w:type="pct"/>
                  <w:vAlign w:val="center"/>
                </w:tcPr>
                <w:p w14:paraId="14572417">
                  <w:pPr>
                    <w:widowControl/>
                    <w:jc w:val="center"/>
                    <w:rPr>
                      <w:rFonts w:cs="宋体"/>
                      <w:bCs/>
                      <w:kern w:val="0"/>
                    </w:rPr>
                  </w:pPr>
                  <w:r>
                    <w:rPr>
                      <w:rFonts w:hint="eastAsia" w:cs="宋体"/>
                      <w:bCs/>
                      <w:kern w:val="0"/>
                    </w:rPr>
                    <w:t>排放量</w:t>
                  </w:r>
                </w:p>
              </w:tc>
              <w:tc>
                <w:tcPr>
                  <w:tcW w:w="304" w:type="pct"/>
                  <w:vAlign w:val="center"/>
                </w:tcPr>
                <w:p w14:paraId="6E1036FB">
                  <w:pPr>
                    <w:widowControl/>
                    <w:jc w:val="center"/>
                    <w:rPr>
                      <w:rFonts w:cs="宋体"/>
                      <w:bCs/>
                      <w:kern w:val="0"/>
                    </w:rPr>
                  </w:pPr>
                  <w:r>
                    <w:rPr>
                      <w:rFonts w:hint="eastAsia" w:cs="宋体"/>
                      <w:bCs/>
                      <w:kern w:val="0"/>
                    </w:rPr>
                    <w:t>烟气</w:t>
                  </w:r>
                </w:p>
                <w:p w14:paraId="7F1A36F6">
                  <w:pPr>
                    <w:widowControl/>
                    <w:jc w:val="center"/>
                    <w:rPr>
                      <w:rFonts w:cs="宋体"/>
                      <w:bCs/>
                      <w:kern w:val="0"/>
                    </w:rPr>
                  </w:pPr>
                  <w:r>
                    <w:rPr>
                      <w:rFonts w:hint="eastAsia" w:cs="宋体"/>
                      <w:bCs/>
                      <w:kern w:val="0"/>
                    </w:rPr>
                    <w:t>温度</w:t>
                  </w:r>
                </w:p>
              </w:tc>
              <w:tc>
                <w:tcPr>
                  <w:tcW w:w="457" w:type="pct"/>
                  <w:vAlign w:val="center"/>
                </w:tcPr>
                <w:p w14:paraId="2BBB7E45">
                  <w:pPr>
                    <w:widowControl/>
                    <w:jc w:val="center"/>
                    <w:rPr>
                      <w:rFonts w:cs="宋体"/>
                      <w:bCs/>
                      <w:kern w:val="0"/>
                    </w:rPr>
                  </w:pPr>
                  <w:r>
                    <w:rPr>
                      <w:rFonts w:hint="eastAsia" w:cs="宋体"/>
                      <w:bCs/>
                      <w:kern w:val="0"/>
                    </w:rPr>
                    <w:t>排气筒</w:t>
                  </w:r>
                </w:p>
              </w:tc>
              <w:tc>
                <w:tcPr>
                  <w:tcW w:w="457" w:type="pct"/>
                  <w:vAlign w:val="center"/>
                </w:tcPr>
                <w:p w14:paraId="52E7DD21">
                  <w:pPr>
                    <w:widowControl/>
                    <w:jc w:val="center"/>
                    <w:rPr>
                      <w:rFonts w:cs="宋体"/>
                      <w:bCs/>
                      <w:kern w:val="0"/>
                    </w:rPr>
                  </w:pPr>
                  <w:r>
                    <w:rPr>
                      <w:rFonts w:hint="eastAsia" w:cs="宋体"/>
                      <w:bCs/>
                      <w:kern w:val="0"/>
                    </w:rPr>
                    <w:t>排气筒</w:t>
                  </w:r>
                </w:p>
              </w:tc>
            </w:tr>
            <w:tr w14:paraId="00481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54" w:type="pct"/>
                  <w:vMerge w:val="continue"/>
                  <w:vAlign w:val="center"/>
                </w:tcPr>
                <w:p w14:paraId="3FB866A4">
                  <w:pPr>
                    <w:widowControl/>
                    <w:jc w:val="center"/>
                    <w:rPr>
                      <w:rFonts w:cs="宋体"/>
                      <w:bCs/>
                      <w:kern w:val="0"/>
                    </w:rPr>
                  </w:pPr>
                </w:p>
              </w:tc>
              <w:tc>
                <w:tcPr>
                  <w:tcW w:w="454" w:type="pct"/>
                  <w:vAlign w:val="center"/>
                </w:tcPr>
                <w:p w14:paraId="20468862">
                  <w:pPr>
                    <w:widowControl/>
                    <w:jc w:val="center"/>
                    <w:rPr>
                      <w:bCs/>
                      <w:kern w:val="0"/>
                    </w:rPr>
                  </w:pPr>
                  <w:r>
                    <w:rPr>
                      <w:bCs/>
                      <w:kern w:val="0"/>
                    </w:rPr>
                    <w:t>Nm</w:t>
                  </w:r>
                  <w:r>
                    <w:rPr>
                      <w:bCs/>
                      <w:kern w:val="0"/>
                      <w:vertAlign w:val="superscript"/>
                    </w:rPr>
                    <w:t>3</w:t>
                  </w:r>
                  <w:r>
                    <w:rPr>
                      <w:bCs/>
                      <w:kern w:val="0"/>
                    </w:rPr>
                    <w:t>/h</w:t>
                  </w:r>
                </w:p>
              </w:tc>
              <w:tc>
                <w:tcPr>
                  <w:tcW w:w="416" w:type="pct"/>
                  <w:vAlign w:val="center"/>
                </w:tcPr>
                <w:p w14:paraId="4CEAD32B">
                  <w:pPr>
                    <w:widowControl/>
                    <w:jc w:val="center"/>
                    <w:rPr>
                      <w:bCs/>
                      <w:kern w:val="0"/>
                    </w:rPr>
                  </w:pPr>
                  <w:r>
                    <w:rPr>
                      <w:bCs/>
                      <w:kern w:val="0"/>
                    </w:rPr>
                    <w:t>mg/m</w:t>
                  </w:r>
                  <w:r>
                    <w:rPr>
                      <w:bCs/>
                      <w:kern w:val="0"/>
                      <w:vertAlign w:val="superscript"/>
                    </w:rPr>
                    <w:t>3</w:t>
                  </w:r>
                </w:p>
              </w:tc>
              <w:tc>
                <w:tcPr>
                  <w:tcW w:w="304" w:type="pct"/>
                  <w:vAlign w:val="center"/>
                </w:tcPr>
                <w:p w14:paraId="67B401F8">
                  <w:pPr>
                    <w:widowControl/>
                    <w:jc w:val="center"/>
                    <w:rPr>
                      <w:bCs/>
                      <w:kern w:val="0"/>
                    </w:rPr>
                  </w:pPr>
                  <w:r>
                    <w:rPr>
                      <w:bCs/>
                      <w:kern w:val="0"/>
                    </w:rPr>
                    <w:t>kg/h</w:t>
                  </w:r>
                </w:p>
              </w:tc>
              <w:tc>
                <w:tcPr>
                  <w:tcW w:w="453" w:type="pct"/>
                  <w:vAlign w:val="center"/>
                </w:tcPr>
                <w:p w14:paraId="7FBC6FC4">
                  <w:pPr>
                    <w:widowControl/>
                    <w:jc w:val="center"/>
                    <w:rPr>
                      <w:bCs/>
                      <w:kern w:val="0"/>
                    </w:rPr>
                  </w:pPr>
                  <w:r>
                    <w:rPr>
                      <w:bCs/>
                      <w:kern w:val="0"/>
                    </w:rPr>
                    <w:t>t/a</w:t>
                  </w:r>
                </w:p>
              </w:tc>
              <w:tc>
                <w:tcPr>
                  <w:tcW w:w="428" w:type="pct"/>
                  <w:vAlign w:val="center"/>
                </w:tcPr>
                <w:p w14:paraId="7B18A8E3">
                  <w:pPr>
                    <w:jc w:val="center"/>
                    <w:rPr>
                      <w:rFonts w:cs="宋体"/>
                      <w:bCs/>
                      <w:kern w:val="0"/>
                    </w:rPr>
                  </w:pPr>
                  <w:r>
                    <w:rPr>
                      <w:bCs/>
                      <w:kern w:val="0"/>
                    </w:rPr>
                    <w:t>%</w:t>
                  </w:r>
                </w:p>
              </w:tc>
              <w:tc>
                <w:tcPr>
                  <w:tcW w:w="404" w:type="pct"/>
                  <w:vAlign w:val="center"/>
                </w:tcPr>
                <w:p w14:paraId="7C1401E0">
                  <w:pPr>
                    <w:widowControl/>
                    <w:jc w:val="center"/>
                    <w:rPr>
                      <w:bCs/>
                      <w:kern w:val="0"/>
                    </w:rPr>
                  </w:pPr>
                  <w:r>
                    <w:rPr>
                      <w:bCs/>
                      <w:kern w:val="0"/>
                    </w:rPr>
                    <w:t>mg/m</w:t>
                  </w:r>
                  <w:r>
                    <w:rPr>
                      <w:bCs/>
                      <w:kern w:val="0"/>
                      <w:vertAlign w:val="superscript"/>
                    </w:rPr>
                    <w:t>3</w:t>
                  </w:r>
                </w:p>
              </w:tc>
              <w:tc>
                <w:tcPr>
                  <w:tcW w:w="416" w:type="pct"/>
                  <w:vAlign w:val="center"/>
                </w:tcPr>
                <w:p w14:paraId="2698E07E">
                  <w:pPr>
                    <w:widowControl/>
                    <w:jc w:val="center"/>
                    <w:rPr>
                      <w:bCs/>
                      <w:kern w:val="0"/>
                    </w:rPr>
                  </w:pPr>
                  <w:r>
                    <w:rPr>
                      <w:bCs/>
                      <w:kern w:val="0"/>
                    </w:rPr>
                    <w:t>kg/h</w:t>
                  </w:r>
                </w:p>
              </w:tc>
              <w:tc>
                <w:tcPr>
                  <w:tcW w:w="453" w:type="pct"/>
                  <w:vAlign w:val="center"/>
                </w:tcPr>
                <w:p w14:paraId="51E90DD3">
                  <w:pPr>
                    <w:widowControl/>
                    <w:jc w:val="center"/>
                    <w:rPr>
                      <w:bCs/>
                      <w:kern w:val="0"/>
                    </w:rPr>
                  </w:pPr>
                  <w:r>
                    <w:rPr>
                      <w:bCs/>
                      <w:kern w:val="0"/>
                    </w:rPr>
                    <w:t>t/a</w:t>
                  </w:r>
                </w:p>
              </w:tc>
              <w:tc>
                <w:tcPr>
                  <w:tcW w:w="304" w:type="pct"/>
                  <w:vAlign w:val="center"/>
                </w:tcPr>
                <w:p w14:paraId="74C43F80">
                  <w:pPr>
                    <w:widowControl/>
                    <w:jc w:val="center"/>
                    <w:rPr>
                      <w:bCs/>
                      <w:kern w:val="0"/>
                    </w:rPr>
                  </w:pPr>
                  <w:r>
                    <w:rPr>
                      <w:bCs/>
                      <w:kern w:val="0"/>
                    </w:rPr>
                    <w:t>℃</w:t>
                  </w:r>
                </w:p>
              </w:tc>
              <w:tc>
                <w:tcPr>
                  <w:tcW w:w="457" w:type="pct"/>
                  <w:vAlign w:val="center"/>
                </w:tcPr>
                <w:p w14:paraId="27C50843">
                  <w:pPr>
                    <w:widowControl/>
                    <w:jc w:val="center"/>
                    <w:rPr>
                      <w:rFonts w:cs="宋体"/>
                      <w:bCs/>
                      <w:kern w:val="0"/>
                    </w:rPr>
                  </w:pPr>
                  <w:r>
                    <w:rPr>
                      <w:rFonts w:hint="eastAsia" w:cs="宋体"/>
                      <w:bCs/>
                      <w:kern w:val="0"/>
                    </w:rPr>
                    <w:t>高度</w:t>
                  </w:r>
                  <w:r>
                    <w:rPr>
                      <w:bCs/>
                      <w:kern w:val="0"/>
                    </w:rPr>
                    <w:t>m</w:t>
                  </w:r>
                </w:p>
              </w:tc>
              <w:tc>
                <w:tcPr>
                  <w:tcW w:w="457" w:type="pct"/>
                  <w:vAlign w:val="center"/>
                </w:tcPr>
                <w:p w14:paraId="4CDAC86F">
                  <w:pPr>
                    <w:widowControl/>
                    <w:jc w:val="center"/>
                    <w:rPr>
                      <w:rFonts w:cs="宋体"/>
                      <w:bCs/>
                      <w:kern w:val="0"/>
                    </w:rPr>
                  </w:pPr>
                  <w:r>
                    <w:rPr>
                      <w:rFonts w:hint="eastAsia" w:cs="宋体"/>
                      <w:bCs/>
                      <w:kern w:val="0"/>
                    </w:rPr>
                    <w:t>直径</w:t>
                  </w:r>
                  <w:r>
                    <w:rPr>
                      <w:bCs/>
                      <w:kern w:val="0"/>
                    </w:rPr>
                    <w:t>m</w:t>
                  </w:r>
                </w:p>
              </w:tc>
            </w:tr>
            <w:tr w14:paraId="02A0B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54" w:type="pct"/>
                  <w:vAlign w:val="center"/>
                </w:tcPr>
                <w:p w14:paraId="68EE2475">
                  <w:pPr>
                    <w:widowControl/>
                    <w:jc w:val="center"/>
                    <w:rPr>
                      <w:rFonts w:cs="宋体"/>
                      <w:kern w:val="0"/>
                    </w:rPr>
                  </w:pPr>
                  <w:r>
                    <w:rPr>
                      <w:rFonts w:hint="eastAsia" w:cs="宋体"/>
                      <w:kern w:val="0"/>
                    </w:rPr>
                    <w:t>颗粒物</w:t>
                  </w:r>
                </w:p>
              </w:tc>
              <w:tc>
                <w:tcPr>
                  <w:tcW w:w="454" w:type="pct"/>
                  <w:vMerge w:val="restart"/>
                  <w:vAlign w:val="center"/>
                </w:tcPr>
                <w:p w14:paraId="12F97E5D">
                  <w:pPr>
                    <w:widowControl/>
                    <w:jc w:val="center"/>
                    <w:rPr>
                      <w:kern w:val="0"/>
                    </w:rPr>
                  </w:pPr>
                  <w:r>
                    <w:rPr>
                      <w:kern w:val="0"/>
                    </w:rPr>
                    <w:t>6864</w:t>
                  </w:r>
                </w:p>
              </w:tc>
              <w:tc>
                <w:tcPr>
                  <w:tcW w:w="416" w:type="pct"/>
                  <w:vAlign w:val="center"/>
                </w:tcPr>
                <w:p w14:paraId="08718031">
                  <w:pPr>
                    <w:widowControl/>
                    <w:jc w:val="center"/>
                    <w:rPr>
                      <w:kern w:val="0"/>
                    </w:rPr>
                  </w:pPr>
                  <w:r>
                    <w:rPr>
                      <w:kern w:val="0"/>
                    </w:rPr>
                    <w:t xml:space="preserve">80.13 </w:t>
                  </w:r>
                </w:p>
              </w:tc>
              <w:tc>
                <w:tcPr>
                  <w:tcW w:w="304" w:type="pct"/>
                  <w:vAlign w:val="center"/>
                </w:tcPr>
                <w:p w14:paraId="054F9971">
                  <w:pPr>
                    <w:widowControl/>
                    <w:jc w:val="center"/>
                    <w:rPr>
                      <w:kern w:val="0"/>
                    </w:rPr>
                  </w:pPr>
                  <w:r>
                    <w:rPr>
                      <w:kern w:val="0"/>
                    </w:rPr>
                    <w:t>0.55</w:t>
                  </w:r>
                </w:p>
              </w:tc>
              <w:tc>
                <w:tcPr>
                  <w:tcW w:w="453" w:type="pct"/>
                  <w:vAlign w:val="center"/>
                </w:tcPr>
                <w:p w14:paraId="59BE3C05">
                  <w:pPr>
                    <w:widowControl/>
                    <w:jc w:val="center"/>
                    <w:rPr>
                      <w:kern w:val="0"/>
                    </w:rPr>
                  </w:pPr>
                  <w:r>
                    <w:rPr>
                      <w:kern w:val="0"/>
                    </w:rPr>
                    <w:t xml:space="preserve">1.65 </w:t>
                  </w:r>
                </w:p>
              </w:tc>
              <w:tc>
                <w:tcPr>
                  <w:tcW w:w="428" w:type="pct"/>
                  <w:vAlign w:val="center"/>
                </w:tcPr>
                <w:p w14:paraId="72117FF4">
                  <w:pPr>
                    <w:widowControl/>
                    <w:jc w:val="center"/>
                    <w:rPr>
                      <w:kern w:val="0"/>
                    </w:rPr>
                  </w:pPr>
                  <w:r>
                    <w:rPr>
                      <w:kern w:val="0"/>
                    </w:rPr>
                    <w:t>99.7</w:t>
                  </w:r>
                </w:p>
              </w:tc>
              <w:tc>
                <w:tcPr>
                  <w:tcW w:w="404" w:type="pct"/>
                  <w:vAlign w:val="center"/>
                </w:tcPr>
                <w:p w14:paraId="2466A250">
                  <w:pPr>
                    <w:widowControl/>
                    <w:jc w:val="center"/>
                    <w:rPr>
                      <w:kern w:val="0"/>
                    </w:rPr>
                  </w:pPr>
                  <w:r>
                    <w:rPr>
                      <w:kern w:val="0"/>
                    </w:rPr>
                    <w:t xml:space="preserve">0.24 </w:t>
                  </w:r>
                </w:p>
              </w:tc>
              <w:tc>
                <w:tcPr>
                  <w:tcW w:w="416" w:type="pct"/>
                  <w:vAlign w:val="center"/>
                </w:tcPr>
                <w:p w14:paraId="106D957B">
                  <w:pPr>
                    <w:widowControl/>
                    <w:jc w:val="center"/>
                    <w:rPr>
                      <w:kern w:val="0"/>
                    </w:rPr>
                  </w:pPr>
                  <w:r>
                    <w:rPr>
                      <w:kern w:val="0"/>
                    </w:rPr>
                    <w:t xml:space="preserve">0.0017 </w:t>
                  </w:r>
                </w:p>
              </w:tc>
              <w:tc>
                <w:tcPr>
                  <w:tcW w:w="453" w:type="pct"/>
                  <w:vAlign w:val="center"/>
                </w:tcPr>
                <w:p w14:paraId="570C4EEC">
                  <w:pPr>
                    <w:widowControl/>
                    <w:jc w:val="center"/>
                    <w:rPr>
                      <w:kern w:val="0"/>
                    </w:rPr>
                  </w:pPr>
                  <w:r>
                    <w:rPr>
                      <w:kern w:val="0"/>
                    </w:rPr>
                    <w:t xml:space="preserve">0.0050 </w:t>
                  </w:r>
                </w:p>
              </w:tc>
              <w:tc>
                <w:tcPr>
                  <w:tcW w:w="304" w:type="pct"/>
                  <w:vMerge w:val="restart"/>
                  <w:vAlign w:val="center"/>
                </w:tcPr>
                <w:p w14:paraId="0E3C9944">
                  <w:pPr>
                    <w:widowControl/>
                    <w:jc w:val="center"/>
                    <w:rPr>
                      <w:kern w:val="0"/>
                    </w:rPr>
                  </w:pPr>
                  <w:r>
                    <w:rPr>
                      <w:kern w:val="0"/>
                    </w:rPr>
                    <w:t>120</w:t>
                  </w:r>
                </w:p>
              </w:tc>
              <w:tc>
                <w:tcPr>
                  <w:tcW w:w="457" w:type="pct"/>
                  <w:vMerge w:val="restart"/>
                  <w:vAlign w:val="center"/>
                </w:tcPr>
                <w:p w14:paraId="45D07DE6">
                  <w:pPr>
                    <w:widowControl/>
                    <w:jc w:val="center"/>
                    <w:rPr>
                      <w:kern w:val="0"/>
                    </w:rPr>
                  </w:pPr>
                  <w:r>
                    <w:rPr>
                      <w:kern w:val="0"/>
                    </w:rPr>
                    <w:t>15</w:t>
                  </w:r>
                </w:p>
              </w:tc>
              <w:tc>
                <w:tcPr>
                  <w:tcW w:w="457" w:type="pct"/>
                  <w:vMerge w:val="restart"/>
                  <w:vAlign w:val="center"/>
                </w:tcPr>
                <w:p w14:paraId="6A7AC33C">
                  <w:pPr>
                    <w:widowControl/>
                    <w:jc w:val="center"/>
                    <w:rPr>
                      <w:kern w:val="0"/>
                    </w:rPr>
                  </w:pPr>
                  <w:r>
                    <w:rPr>
                      <w:kern w:val="0"/>
                    </w:rPr>
                    <w:t>0.5</w:t>
                  </w:r>
                </w:p>
              </w:tc>
            </w:tr>
            <w:tr w14:paraId="69DE1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54" w:type="pct"/>
                  <w:vAlign w:val="center"/>
                </w:tcPr>
                <w:p w14:paraId="6A9D4645">
                  <w:pPr>
                    <w:widowControl/>
                    <w:jc w:val="center"/>
                    <w:rPr>
                      <w:kern w:val="0"/>
                    </w:rPr>
                  </w:pPr>
                  <w:r>
                    <w:rPr>
                      <w:kern w:val="0"/>
                    </w:rPr>
                    <w:t>NO</w:t>
                  </w:r>
                  <w:r>
                    <w:rPr>
                      <w:kern w:val="0"/>
                      <w:vertAlign w:val="subscript"/>
                    </w:rPr>
                    <w:t>x</w:t>
                  </w:r>
                </w:p>
              </w:tc>
              <w:tc>
                <w:tcPr>
                  <w:tcW w:w="454" w:type="pct"/>
                  <w:vMerge w:val="continue"/>
                  <w:vAlign w:val="center"/>
                </w:tcPr>
                <w:p w14:paraId="2E9DBF81">
                  <w:pPr>
                    <w:widowControl/>
                    <w:jc w:val="center"/>
                    <w:rPr>
                      <w:kern w:val="0"/>
                    </w:rPr>
                  </w:pPr>
                </w:p>
              </w:tc>
              <w:tc>
                <w:tcPr>
                  <w:tcW w:w="416" w:type="pct"/>
                  <w:vAlign w:val="center"/>
                </w:tcPr>
                <w:p w14:paraId="74C87AB2">
                  <w:pPr>
                    <w:widowControl/>
                    <w:jc w:val="center"/>
                    <w:rPr>
                      <w:kern w:val="0"/>
                    </w:rPr>
                  </w:pPr>
                  <w:r>
                    <w:rPr>
                      <w:kern w:val="0"/>
                    </w:rPr>
                    <w:t xml:space="preserve">163.46 </w:t>
                  </w:r>
                </w:p>
              </w:tc>
              <w:tc>
                <w:tcPr>
                  <w:tcW w:w="304" w:type="pct"/>
                  <w:vAlign w:val="center"/>
                </w:tcPr>
                <w:p w14:paraId="4A17FFC4">
                  <w:pPr>
                    <w:widowControl/>
                    <w:jc w:val="center"/>
                    <w:rPr>
                      <w:kern w:val="0"/>
                    </w:rPr>
                  </w:pPr>
                  <w:r>
                    <w:rPr>
                      <w:kern w:val="0"/>
                    </w:rPr>
                    <w:t xml:space="preserve">1.12 </w:t>
                  </w:r>
                </w:p>
              </w:tc>
              <w:tc>
                <w:tcPr>
                  <w:tcW w:w="453" w:type="pct"/>
                  <w:vAlign w:val="center"/>
                </w:tcPr>
                <w:p w14:paraId="15BBDAD9">
                  <w:pPr>
                    <w:widowControl/>
                    <w:jc w:val="center"/>
                    <w:rPr>
                      <w:kern w:val="0"/>
                    </w:rPr>
                  </w:pPr>
                  <w:r>
                    <w:rPr>
                      <w:kern w:val="0"/>
                    </w:rPr>
                    <w:t xml:space="preserve">3.37 </w:t>
                  </w:r>
                </w:p>
              </w:tc>
              <w:tc>
                <w:tcPr>
                  <w:tcW w:w="428" w:type="pct"/>
                  <w:vAlign w:val="center"/>
                </w:tcPr>
                <w:p w14:paraId="62C765BC">
                  <w:pPr>
                    <w:widowControl/>
                    <w:jc w:val="center"/>
                    <w:rPr>
                      <w:kern w:val="0"/>
                    </w:rPr>
                  </w:pPr>
                  <w:r>
                    <w:rPr>
                      <w:kern w:val="0"/>
                    </w:rPr>
                    <w:t>79</w:t>
                  </w:r>
                </w:p>
              </w:tc>
              <w:tc>
                <w:tcPr>
                  <w:tcW w:w="404" w:type="pct"/>
                  <w:vAlign w:val="center"/>
                </w:tcPr>
                <w:p w14:paraId="1696D243">
                  <w:pPr>
                    <w:widowControl/>
                    <w:jc w:val="center"/>
                    <w:rPr>
                      <w:kern w:val="0"/>
                    </w:rPr>
                  </w:pPr>
                  <w:r>
                    <w:rPr>
                      <w:kern w:val="0"/>
                    </w:rPr>
                    <w:t xml:space="preserve">34.33 </w:t>
                  </w:r>
                </w:p>
              </w:tc>
              <w:tc>
                <w:tcPr>
                  <w:tcW w:w="416" w:type="pct"/>
                  <w:vAlign w:val="center"/>
                </w:tcPr>
                <w:p w14:paraId="330D1C92">
                  <w:pPr>
                    <w:widowControl/>
                    <w:jc w:val="center"/>
                    <w:rPr>
                      <w:kern w:val="0"/>
                    </w:rPr>
                  </w:pPr>
                  <w:r>
                    <w:rPr>
                      <w:kern w:val="0"/>
                    </w:rPr>
                    <w:t xml:space="preserve">0.24 </w:t>
                  </w:r>
                </w:p>
              </w:tc>
              <w:tc>
                <w:tcPr>
                  <w:tcW w:w="453" w:type="pct"/>
                  <w:vAlign w:val="center"/>
                </w:tcPr>
                <w:p w14:paraId="190DEAC7">
                  <w:pPr>
                    <w:widowControl/>
                    <w:jc w:val="center"/>
                    <w:rPr>
                      <w:kern w:val="0"/>
                    </w:rPr>
                  </w:pPr>
                  <w:r>
                    <w:rPr>
                      <w:kern w:val="0"/>
                    </w:rPr>
                    <w:t xml:space="preserve">0.71 </w:t>
                  </w:r>
                </w:p>
              </w:tc>
              <w:tc>
                <w:tcPr>
                  <w:tcW w:w="304" w:type="pct"/>
                  <w:vMerge w:val="continue"/>
                  <w:vAlign w:val="center"/>
                </w:tcPr>
                <w:p w14:paraId="45F490AF">
                  <w:pPr>
                    <w:widowControl/>
                    <w:jc w:val="center"/>
                    <w:rPr>
                      <w:kern w:val="0"/>
                    </w:rPr>
                  </w:pPr>
                </w:p>
              </w:tc>
              <w:tc>
                <w:tcPr>
                  <w:tcW w:w="457" w:type="pct"/>
                  <w:vMerge w:val="continue"/>
                  <w:vAlign w:val="center"/>
                </w:tcPr>
                <w:p w14:paraId="525F72D9">
                  <w:pPr>
                    <w:widowControl/>
                    <w:jc w:val="center"/>
                    <w:rPr>
                      <w:kern w:val="0"/>
                    </w:rPr>
                  </w:pPr>
                </w:p>
              </w:tc>
              <w:tc>
                <w:tcPr>
                  <w:tcW w:w="457" w:type="pct"/>
                  <w:vMerge w:val="continue"/>
                  <w:vAlign w:val="center"/>
                </w:tcPr>
                <w:p w14:paraId="32C5D08A">
                  <w:pPr>
                    <w:widowControl/>
                    <w:jc w:val="center"/>
                    <w:rPr>
                      <w:kern w:val="0"/>
                    </w:rPr>
                  </w:pPr>
                </w:p>
              </w:tc>
            </w:tr>
            <w:tr w14:paraId="2473F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54" w:type="pct"/>
                  <w:vAlign w:val="center"/>
                </w:tcPr>
                <w:p w14:paraId="077B8672">
                  <w:pPr>
                    <w:widowControl/>
                    <w:jc w:val="center"/>
                    <w:rPr>
                      <w:kern w:val="0"/>
                    </w:rPr>
                  </w:pPr>
                  <w:r>
                    <w:rPr>
                      <w:kern w:val="0"/>
                    </w:rPr>
                    <w:t>SO</w:t>
                  </w:r>
                  <w:r>
                    <w:rPr>
                      <w:kern w:val="0"/>
                      <w:vertAlign w:val="subscript"/>
                    </w:rPr>
                    <w:t>2</w:t>
                  </w:r>
                </w:p>
              </w:tc>
              <w:tc>
                <w:tcPr>
                  <w:tcW w:w="454" w:type="pct"/>
                  <w:vMerge w:val="continue"/>
                  <w:vAlign w:val="center"/>
                </w:tcPr>
                <w:p w14:paraId="28E16C40">
                  <w:pPr>
                    <w:widowControl/>
                    <w:jc w:val="center"/>
                    <w:rPr>
                      <w:kern w:val="0"/>
                    </w:rPr>
                  </w:pPr>
                </w:p>
              </w:tc>
              <w:tc>
                <w:tcPr>
                  <w:tcW w:w="416" w:type="pct"/>
                  <w:vAlign w:val="center"/>
                </w:tcPr>
                <w:p w14:paraId="6B02ACDD">
                  <w:pPr>
                    <w:widowControl/>
                    <w:jc w:val="center"/>
                    <w:rPr>
                      <w:kern w:val="0"/>
                    </w:rPr>
                  </w:pPr>
                  <w:r>
                    <w:rPr>
                      <w:kern w:val="0"/>
                    </w:rPr>
                    <w:t xml:space="preserve">27.24 </w:t>
                  </w:r>
                </w:p>
              </w:tc>
              <w:tc>
                <w:tcPr>
                  <w:tcW w:w="304" w:type="pct"/>
                  <w:vAlign w:val="center"/>
                </w:tcPr>
                <w:p w14:paraId="60AE7D6A">
                  <w:pPr>
                    <w:widowControl/>
                    <w:jc w:val="center"/>
                    <w:rPr>
                      <w:kern w:val="0"/>
                    </w:rPr>
                  </w:pPr>
                  <w:r>
                    <w:rPr>
                      <w:kern w:val="0"/>
                    </w:rPr>
                    <w:t xml:space="preserve">0.19 </w:t>
                  </w:r>
                </w:p>
              </w:tc>
              <w:tc>
                <w:tcPr>
                  <w:tcW w:w="453" w:type="pct"/>
                  <w:vAlign w:val="center"/>
                </w:tcPr>
                <w:p w14:paraId="210E3156">
                  <w:pPr>
                    <w:widowControl/>
                    <w:jc w:val="center"/>
                    <w:rPr>
                      <w:kern w:val="0"/>
                    </w:rPr>
                  </w:pPr>
                  <w:r>
                    <w:rPr>
                      <w:kern w:val="0"/>
                    </w:rPr>
                    <w:t xml:space="preserve">0.56 </w:t>
                  </w:r>
                </w:p>
              </w:tc>
              <w:tc>
                <w:tcPr>
                  <w:tcW w:w="428" w:type="pct"/>
                  <w:vAlign w:val="center"/>
                </w:tcPr>
                <w:p w14:paraId="38878450">
                  <w:pPr>
                    <w:widowControl/>
                    <w:jc w:val="center"/>
                    <w:rPr>
                      <w:rFonts w:cs="宋体"/>
                      <w:kern w:val="0"/>
                    </w:rPr>
                  </w:pPr>
                  <w:r>
                    <w:rPr>
                      <w:rFonts w:hint="eastAsia" w:cs="宋体"/>
                      <w:kern w:val="0"/>
                    </w:rPr>
                    <w:t>/</w:t>
                  </w:r>
                </w:p>
              </w:tc>
              <w:tc>
                <w:tcPr>
                  <w:tcW w:w="404" w:type="pct"/>
                  <w:vAlign w:val="center"/>
                </w:tcPr>
                <w:p w14:paraId="41EBC342">
                  <w:pPr>
                    <w:widowControl/>
                    <w:jc w:val="center"/>
                    <w:rPr>
                      <w:kern w:val="0"/>
                    </w:rPr>
                  </w:pPr>
                  <w:r>
                    <w:rPr>
                      <w:kern w:val="0"/>
                    </w:rPr>
                    <w:t xml:space="preserve">27.24 </w:t>
                  </w:r>
                </w:p>
              </w:tc>
              <w:tc>
                <w:tcPr>
                  <w:tcW w:w="416" w:type="pct"/>
                  <w:vAlign w:val="center"/>
                </w:tcPr>
                <w:p w14:paraId="0CAE9EC9">
                  <w:pPr>
                    <w:widowControl/>
                    <w:jc w:val="center"/>
                    <w:rPr>
                      <w:kern w:val="0"/>
                    </w:rPr>
                  </w:pPr>
                  <w:r>
                    <w:rPr>
                      <w:kern w:val="0"/>
                    </w:rPr>
                    <w:t xml:space="preserve">0.19 </w:t>
                  </w:r>
                </w:p>
              </w:tc>
              <w:tc>
                <w:tcPr>
                  <w:tcW w:w="453" w:type="pct"/>
                  <w:vAlign w:val="center"/>
                </w:tcPr>
                <w:p w14:paraId="220E3666">
                  <w:pPr>
                    <w:widowControl/>
                    <w:jc w:val="center"/>
                    <w:rPr>
                      <w:kern w:val="0"/>
                    </w:rPr>
                  </w:pPr>
                  <w:r>
                    <w:rPr>
                      <w:kern w:val="0"/>
                    </w:rPr>
                    <w:t xml:space="preserve">0.56 </w:t>
                  </w:r>
                </w:p>
              </w:tc>
              <w:tc>
                <w:tcPr>
                  <w:tcW w:w="304" w:type="pct"/>
                  <w:vMerge w:val="continue"/>
                  <w:vAlign w:val="center"/>
                </w:tcPr>
                <w:p w14:paraId="1649B56F">
                  <w:pPr>
                    <w:widowControl/>
                    <w:jc w:val="center"/>
                    <w:rPr>
                      <w:kern w:val="0"/>
                    </w:rPr>
                  </w:pPr>
                </w:p>
              </w:tc>
              <w:tc>
                <w:tcPr>
                  <w:tcW w:w="457" w:type="pct"/>
                  <w:vMerge w:val="continue"/>
                  <w:vAlign w:val="center"/>
                </w:tcPr>
                <w:p w14:paraId="24C216A7">
                  <w:pPr>
                    <w:widowControl/>
                    <w:jc w:val="center"/>
                    <w:rPr>
                      <w:kern w:val="0"/>
                    </w:rPr>
                  </w:pPr>
                </w:p>
              </w:tc>
              <w:tc>
                <w:tcPr>
                  <w:tcW w:w="457" w:type="pct"/>
                  <w:vMerge w:val="continue"/>
                  <w:vAlign w:val="center"/>
                </w:tcPr>
                <w:p w14:paraId="44EBC867">
                  <w:pPr>
                    <w:widowControl/>
                    <w:jc w:val="center"/>
                    <w:rPr>
                      <w:kern w:val="0"/>
                    </w:rPr>
                  </w:pPr>
                </w:p>
              </w:tc>
            </w:tr>
          </w:tbl>
          <w:p w14:paraId="7A5CD27E">
            <w:pPr>
              <w:spacing w:before="120" w:beforeLines="50" w:line="360" w:lineRule="auto"/>
              <w:ind w:left="482"/>
              <w:rPr>
                <w:b/>
                <w:kern w:val="18"/>
                <w:sz w:val="24"/>
              </w:rPr>
            </w:pPr>
            <w:r>
              <w:rPr>
                <w:rFonts w:hint="eastAsia"/>
                <w:b/>
                <w:kern w:val="18"/>
                <w:sz w:val="24"/>
              </w:rPr>
              <w:t>（2）废白土暂存、造粒废气</w:t>
            </w:r>
          </w:p>
          <w:p w14:paraId="3217922D">
            <w:pPr>
              <w:spacing w:line="360" w:lineRule="auto"/>
              <w:ind w:firstLine="480" w:firstLineChars="200"/>
              <w:rPr>
                <w:bCs/>
                <w:kern w:val="18"/>
                <w:sz w:val="24"/>
              </w:rPr>
            </w:pPr>
            <w:r>
              <w:rPr>
                <w:kern w:val="18"/>
                <w:sz w:val="24"/>
              </w:rPr>
              <w:t>散装废白土通过自卸货车运输入厂暂存于生产车间内废白土堆放区</w:t>
            </w:r>
            <w:r>
              <w:rPr>
                <w:rFonts w:hint="eastAsia"/>
                <w:kern w:val="18"/>
                <w:sz w:val="24"/>
              </w:rPr>
              <w:t>，然后</w:t>
            </w:r>
            <w:r>
              <w:rPr>
                <w:bCs/>
                <w:kern w:val="18"/>
                <w:sz w:val="24"/>
              </w:rPr>
              <w:t>采用人工投料的方式，将废白土投入造粒机内制粒。废白土含有约20~25%的油脂和少量水分，呈润湿状态，</w:t>
            </w:r>
            <w:r>
              <w:rPr>
                <w:rFonts w:hint="eastAsia"/>
                <w:bCs/>
                <w:kern w:val="18"/>
                <w:sz w:val="24"/>
              </w:rPr>
              <w:t>装卸、</w:t>
            </w:r>
            <w:r>
              <w:rPr>
                <w:bCs/>
                <w:kern w:val="18"/>
                <w:sz w:val="24"/>
              </w:rPr>
              <w:t>投料和造料过程均不会产生粉尘</w:t>
            </w:r>
            <w:r>
              <w:rPr>
                <w:rFonts w:hint="eastAsia"/>
                <w:bCs/>
                <w:kern w:val="18"/>
                <w:sz w:val="24"/>
              </w:rPr>
              <w:t>。废白土暂存和造粒会产生少量臭气，</w:t>
            </w:r>
            <w:r>
              <w:rPr>
                <w:bCs/>
                <w:kern w:val="18"/>
                <w:sz w:val="24"/>
              </w:rPr>
              <w:t>臭气主要成分</w:t>
            </w:r>
            <w:r>
              <w:rPr>
                <w:rFonts w:hint="eastAsia"/>
                <w:bCs/>
                <w:kern w:val="18"/>
                <w:sz w:val="24"/>
              </w:rPr>
              <w:t>以</w:t>
            </w:r>
            <w:r>
              <w:rPr>
                <w:bCs/>
                <w:kern w:val="18"/>
                <w:sz w:val="24"/>
              </w:rPr>
              <w:t>非甲烷总烃、硫化氢、氨</w:t>
            </w:r>
            <w:r>
              <w:rPr>
                <w:rFonts w:hint="eastAsia"/>
                <w:bCs/>
                <w:kern w:val="18"/>
                <w:sz w:val="24"/>
              </w:rPr>
              <w:t>表征。本项目</w:t>
            </w:r>
            <w:r>
              <w:rPr>
                <w:bCs/>
                <w:kern w:val="18"/>
                <w:sz w:val="24"/>
              </w:rPr>
              <w:t>通过在原料堆放区上方</w:t>
            </w:r>
            <w:r>
              <w:rPr>
                <w:rFonts w:hint="eastAsia"/>
                <w:bCs/>
                <w:kern w:val="18"/>
                <w:sz w:val="24"/>
              </w:rPr>
              <w:t>及</w:t>
            </w:r>
            <w:r>
              <w:rPr>
                <w:bCs/>
                <w:kern w:val="18"/>
                <w:sz w:val="24"/>
              </w:rPr>
              <w:t>造粒机上方设置集气罩进行收集，收集</w:t>
            </w:r>
            <w:r>
              <w:rPr>
                <w:kern w:val="18"/>
                <w:sz w:val="24"/>
              </w:rPr>
              <w:t>后通过</w:t>
            </w:r>
            <w:r>
              <w:rPr>
                <w:rFonts w:hint="eastAsia"/>
                <w:bCs/>
                <w:kern w:val="18"/>
                <w:sz w:val="24"/>
              </w:rPr>
              <w:t>“二级活性炭吸附”</w:t>
            </w:r>
            <w:r>
              <w:rPr>
                <w:kern w:val="18"/>
                <w:sz w:val="24"/>
              </w:rPr>
              <w:t>设施处理</w:t>
            </w:r>
            <w:r>
              <w:rPr>
                <w:rFonts w:hint="eastAsia"/>
                <w:kern w:val="18"/>
                <w:sz w:val="24"/>
              </w:rPr>
              <w:t>后通过</w:t>
            </w:r>
            <w:r>
              <w:rPr>
                <w:kern w:val="18"/>
                <w:sz w:val="24"/>
              </w:rPr>
              <w:t>15m高的排气筒</w:t>
            </w:r>
            <w:r>
              <w:rPr>
                <w:rFonts w:hint="eastAsia"/>
                <w:kern w:val="18"/>
                <w:sz w:val="24"/>
              </w:rPr>
              <w:t>（DA003）达标</w:t>
            </w:r>
            <w:r>
              <w:rPr>
                <w:kern w:val="18"/>
                <w:sz w:val="24"/>
              </w:rPr>
              <w:t>排放。</w:t>
            </w:r>
          </w:p>
          <w:p w14:paraId="68192B74">
            <w:pPr>
              <w:spacing w:line="360" w:lineRule="auto"/>
              <w:ind w:firstLine="480" w:firstLineChars="200"/>
              <w:rPr>
                <w:kern w:val="18"/>
                <w:sz w:val="24"/>
              </w:rPr>
            </w:pPr>
            <w:r>
              <w:rPr>
                <w:rFonts w:hint="eastAsia"/>
                <w:kern w:val="18"/>
                <w:sz w:val="24"/>
              </w:rPr>
              <w:t>废白土暂存和造粒过程产生的臭气污染物较少且难以定量计算，</w:t>
            </w:r>
            <w:r>
              <w:rPr>
                <w:rFonts w:hint="eastAsia"/>
                <w:bCs/>
                <w:kern w:val="18"/>
                <w:sz w:val="24"/>
              </w:rPr>
              <w:t>同类型生产企业</w:t>
            </w:r>
            <w:r>
              <w:rPr>
                <w:rFonts w:hint="eastAsia"/>
                <w:kern w:val="18"/>
                <w:sz w:val="24"/>
              </w:rPr>
              <w:t>均作无组织排放。</w:t>
            </w:r>
          </w:p>
          <w:p w14:paraId="2D5AC6F0">
            <w:pPr>
              <w:spacing w:line="360" w:lineRule="auto"/>
              <w:ind w:firstLine="480" w:firstLineChars="200"/>
              <w:rPr>
                <w:sz w:val="24"/>
                <w:szCs w:val="24"/>
              </w:rPr>
            </w:pPr>
            <w:r>
              <w:rPr>
                <w:rFonts w:hint="eastAsia"/>
                <w:bCs/>
                <w:sz w:val="24"/>
                <w:szCs w:val="24"/>
              </w:rPr>
              <w:t>本评价根据现有废白土加工项目废气实测数据，反推废白土堆场废气和废白土炒锅废气源强。废白土堆场废气和废白土炒锅废气采用活性炭吸附装置处理，</w:t>
            </w:r>
            <w:r>
              <w:rPr>
                <w:rFonts w:hint="eastAsia"/>
                <w:sz w:val="24"/>
              </w:rPr>
              <w:t>对</w:t>
            </w:r>
            <w:r>
              <w:rPr>
                <w:sz w:val="24"/>
              </w:rPr>
              <w:t>氨</w:t>
            </w:r>
            <w:r>
              <w:rPr>
                <w:rFonts w:hint="eastAsia"/>
                <w:sz w:val="24"/>
              </w:rPr>
              <w:t>、</w:t>
            </w:r>
            <w:r>
              <w:rPr>
                <w:sz w:val="24"/>
              </w:rPr>
              <w:t>硫化氢</w:t>
            </w:r>
            <w:r>
              <w:rPr>
                <w:rFonts w:hint="eastAsia"/>
                <w:sz w:val="24"/>
              </w:rPr>
              <w:t>、VOCs的处理效率分别约为95%、90%、85%，考虑废气处理设备已运行多年，保守按处理效率分别为85%、80%、75%估算VOCs排放量。</w:t>
            </w:r>
            <w:r>
              <w:rPr>
                <w:rFonts w:hint="eastAsia"/>
                <w:sz w:val="24"/>
                <w:szCs w:val="24"/>
              </w:rPr>
              <w:t>废气收集效率</w:t>
            </w:r>
            <w:r>
              <w:rPr>
                <w:sz w:val="24"/>
                <w:szCs w:val="24"/>
              </w:rPr>
              <w:t>参照《</w:t>
            </w:r>
            <w:r>
              <w:rPr>
                <w:rFonts w:hint="eastAsia"/>
                <w:sz w:val="24"/>
                <w:szCs w:val="24"/>
              </w:rPr>
              <w:t>广东省生态环境厅关于印发工业源挥发性有机物和氮氧化物减排量核算方法的通知</w:t>
            </w:r>
            <w:r>
              <w:rPr>
                <w:sz w:val="24"/>
                <w:szCs w:val="24"/>
              </w:rPr>
              <w:t>》</w:t>
            </w:r>
            <w:r>
              <w:rPr>
                <w:rFonts w:hint="eastAsia"/>
                <w:sz w:val="24"/>
                <w:szCs w:val="24"/>
              </w:rPr>
              <w:t>（粤环</w:t>
            </w:r>
            <w:r>
              <w:rPr>
                <w:sz w:val="24"/>
                <w:szCs w:val="24"/>
              </w:rPr>
              <w:t>〔</w:t>
            </w:r>
            <w:r>
              <w:rPr>
                <w:rFonts w:hint="eastAsia"/>
                <w:sz w:val="24"/>
                <w:szCs w:val="24"/>
              </w:rPr>
              <w:t>2023</w:t>
            </w:r>
            <w:r>
              <w:rPr>
                <w:sz w:val="24"/>
                <w:szCs w:val="24"/>
              </w:rPr>
              <w:t>〕</w:t>
            </w:r>
            <w:r>
              <w:rPr>
                <w:rFonts w:hint="eastAsia"/>
                <w:sz w:val="24"/>
                <w:szCs w:val="24"/>
              </w:rPr>
              <w:t>538号）附件《广东省工业源挥发性有机物减排量核算方法（2023年修订版）》中表</w:t>
            </w:r>
            <w:r>
              <w:rPr>
                <w:sz w:val="24"/>
                <w:szCs w:val="24"/>
              </w:rPr>
              <w:t>3.3-2 废气收集集气效率参考值</w:t>
            </w:r>
            <w:r>
              <w:rPr>
                <w:rFonts w:hint="eastAsia"/>
                <w:sz w:val="24"/>
                <w:szCs w:val="24"/>
              </w:rPr>
              <w:t>，采用外部集气罩（</w:t>
            </w:r>
            <w:r>
              <w:rPr>
                <w:sz w:val="24"/>
                <w:szCs w:val="24"/>
              </w:rPr>
              <w:t>相应工位所有VOCs 逸散点控制风速不小于0.3m/s</w:t>
            </w:r>
            <w:r>
              <w:rPr>
                <w:rFonts w:hint="eastAsia"/>
                <w:sz w:val="24"/>
                <w:szCs w:val="24"/>
              </w:rPr>
              <w:t>）的废气集气效率为30%。</w:t>
            </w:r>
          </w:p>
          <w:p w14:paraId="071209C2">
            <w:pPr>
              <w:spacing w:line="360" w:lineRule="auto"/>
              <w:ind w:firstLine="480" w:firstLineChars="200"/>
              <w:rPr>
                <w:kern w:val="18"/>
                <w:sz w:val="24"/>
              </w:rPr>
            </w:pPr>
            <w:bookmarkStart w:id="16" w:name="_Hlk209993049"/>
            <w:r>
              <w:rPr>
                <w:rFonts w:hint="eastAsia"/>
                <w:sz w:val="24"/>
              </w:rPr>
              <w:t>因本项目废白土暂存量约为现有项目的一半，且本项目造粒是在常温下对原料废白土进行直接造粒，而蒸炒是对经加水湿润后的废白土进行加热处理，为保守起见，本项目废白土暂存、造粒废气挥发性有机污染物的产生速率按现有项目监测数据的1/4进行估算，</w:t>
            </w:r>
            <w:bookmarkEnd w:id="16"/>
            <w:r>
              <w:rPr>
                <w:rFonts w:hint="eastAsia"/>
                <w:kern w:val="18"/>
                <w:sz w:val="24"/>
              </w:rPr>
              <w:t>废白土暂存和造粒废气源强见表4-4。</w:t>
            </w:r>
          </w:p>
          <w:p w14:paraId="1B5AADBA">
            <w:pPr>
              <w:pStyle w:val="12"/>
              <w:spacing w:line="360" w:lineRule="auto"/>
              <w:ind w:left="0" w:leftChars="0" w:firstLine="0" w:firstLineChars="0"/>
              <w:jc w:val="center"/>
              <w:rPr>
                <w:b/>
              </w:rPr>
            </w:pPr>
            <w:r>
              <w:rPr>
                <w:rFonts w:hint="eastAsia"/>
                <w:b/>
              </w:rPr>
              <w:t>表4-4 本项目废白土暂存+造粒废气污染物源强估算</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49"/>
              <w:gridCol w:w="3762"/>
              <w:gridCol w:w="3543"/>
            </w:tblGrid>
            <w:tr w14:paraId="7281C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0" w:type="pct"/>
                  <w:vAlign w:val="center"/>
                </w:tcPr>
                <w:p w14:paraId="67AC5FD7">
                  <w:pPr>
                    <w:widowControl/>
                    <w:jc w:val="center"/>
                    <w:rPr>
                      <w:rFonts w:cs="宋体"/>
                      <w:kern w:val="0"/>
                      <w:szCs w:val="22"/>
                    </w:rPr>
                  </w:pPr>
                  <w:r>
                    <w:rPr>
                      <w:rFonts w:hint="eastAsia" w:cs="宋体"/>
                      <w:kern w:val="0"/>
                      <w:szCs w:val="22"/>
                    </w:rPr>
                    <w:t>污染物</w:t>
                  </w:r>
                </w:p>
              </w:tc>
              <w:tc>
                <w:tcPr>
                  <w:tcW w:w="2199" w:type="pct"/>
                  <w:vAlign w:val="center"/>
                </w:tcPr>
                <w:p w14:paraId="5AE5A4C1">
                  <w:pPr>
                    <w:widowControl/>
                    <w:jc w:val="center"/>
                    <w:rPr>
                      <w:rFonts w:cs="宋体"/>
                      <w:kern w:val="0"/>
                      <w:szCs w:val="22"/>
                    </w:rPr>
                  </w:pPr>
                  <w:r>
                    <w:rPr>
                      <w:rFonts w:hint="eastAsia" w:cs="宋体"/>
                      <w:kern w:val="0"/>
                      <w:szCs w:val="22"/>
                    </w:rPr>
                    <w:t>现有项目废白土堆场+废白土炒锅</w:t>
                  </w:r>
                </w:p>
                <w:p w14:paraId="36EE5E4D">
                  <w:pPr>
                    <w:widowControl/>
                    <w:jc w:val="center"/>
                    <w:rPr>
                      <w:rFonts w:cs="宋体"/>
                      <w:kern w:val="0"/>
                      <w:szCs w:val="22"/>
                    </w:rPr>
                  </w:pPr>
                  <w:r>
                    <w:rPr>
                      <w:rFonts w:hint="eastAsia" w:cs="宋体"/>
                      <w:kern w:val="0"/>
                      <w:szCs w:val="22"/>
                    </w:rPr>
                    <w:t>废气污染物产生量（t/a）</w:t>
                  </w:r>
                </w:p>
              </w:tc>
              <w:tc>
                <w:tcPr>
                  <w:tcW w:w="2071" w:type="pct"/>
                  <w:vAlign w:val="center"/>
                </w:tcPr>
                <w:p w14:paraId="71A46FCF">
                  <w:pPr>
                    <w:widowControl/>
                    <w:jc w:val="center"/>
                    <w:rPr>
                      <w:rFonts w:cs="宋体"/>
                      <w:kern w:val="0"/>
                      <w:szCs w:val="22"/>
                    </w:rPr>
                  </w:pPr>
                  <w:r>
                    <w:rPr>
                      <w:rFonts w:hint="eastAsia" w:cs="宋体"/>
                      <w:kern w:val="0"/>
                      <w:szCs w:val="22"/>
                    </w:rPr>
                    <w:t>本项目废白土暂存+造粒</w:t>
                  </w:r>
                </w:p>
                <w:p w14:paraId="4C624F1C">
                  <w:pPr>
                    <w:widowControl/>
                    <w:jc w:val="center"/>
                    <w:rPr>
                      <w:rFonts w:cs="宋体"/>
                      <w:kern w:val="0"/>
                      <w:szCs w:val="22"/>
                    </w:rPr>
                  </w:pPr>
                  <w:r>
                    <w:rPr>
                      <w:rFonts w:hint="eastAsia" w:cs="宋体"/>
                      <w:kern w:val="0"/>
                      <w:szCs w:val="22"/>
                    </w:rPr>
                    <w:t>废气污染物产生量（t/a）</w:t>
                  </w:r>
                </w:p>
              </w:tc>
            </w:tr>
            <w:tr w14:paraId="5BFD9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0" w:type="pct"/>
                  <w:vAlign w:val="center"/>
                </w:tcPr>
                <w:p w14:paraId="7810962C">
                  <w:pPr>
                    <w:widowControl/>
                    <w:jc w:val="center"/>
                    <w:rPr>
                      <w:rFonts w:cs="宋体"/>
                      <w:kern w:val="0"/>
                    </w:rPr>
                  </w:pPr>
                  <w:r>
                    <w:rPr>
                      <w:rFonts w:hint="eastAsia" w:cs="宋体"/>
                      <w:kern w:val="0"/>
                    </w:rPr>
                    <w:t>非甲烷总烃</w:t>
                  </w:r>
                </w:p>
              </w:tc>
              <w:tc>
                <w:tcPr>
                  <w:tcW w:w="2199" w:type="pct"/>
                  <w:vAlign w:val="bottom"/>
                </w:tcPr>
                <w:p w14:paraId="2F5DFE83">
                  <w:pPr>
                    <w:widowControl/>
                    <w:jc w:val="center"/>
                    <w:rPr>
                      <w:rFonts w:cs="宋体"/>
                      <w:kern w:val="0"/>
                      <w:szCs w:val="22"/>
                    </w:rPr>
                  </w:pPr>
                  <w:bookmarkStart w:id="17" w:name="_Hlk209993123"/>
                  <w:r>
                    <w:rPr>
                      <w:rFonts w:hint="eastAsia" w:cs="宋体"/>
                      <w:kern w:val="0"/>
                      <w:szCs w:val="22"/>
                    </w:rPr>
                    <w:t>1.87</w:t>
                  </w:r>
                  <w:bookmarkEnd w:id="17"/>
                </w:p>
              </w:tc>
              <w:tc>
                <w:tcPr>
                  <w:tcW w:w="2071" w:type="pct"/>
                  <w:vAlign w:val="bottom"/>
                </w:tcPr>
                <w:p w14:paraId="43F9AA0D">
                  <w:pPr>
                    <w:widowControl/>
                    <w:jc w:val="center"/>
                    <w:rPr>
                      <w:rFonts w:cs="宋体"/>
                      <w:kern w:val="0"/>
                      <w:szCs w:val="22"/>
                    </w:rPr>
                  </w:pPr>
                  <w:r>
                    <w:rPr>
                      <w:rFonts w:hint="eastAsia" w:cs="宋体"/>
                      <w:kern w:val="0"/>
                      <w:szCs w:val="22"/>
                    </w:rPr>
                    <w:t>0.47</w:t>
                  </w:r>
                </w:p>
              </w:tc>
            </w:tr>
            <w:tr w14:paraId="5FC34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0" w:type="pct"/>
                  <w:vAlign w:val="center"/>
                </w:tcPr>
                <w:p w14:paraId="29FC945B">
                  <w:pPr>
                    <w:widowControl/>
                    <w:jc w:val="center"/>
                    <w:rPr>
                      <w:rFonts w:cs="宋体"/>
                      <w:kern w:val="0"/>
                    </w:rPr>
                  </w:pPr>
                  <w:r>
                    <w:rPr>
                      <w:rFonts w:hint="eastAsia" w:cs="宋体"/>
                      <w:kern w:val="0"/>
                    </w:rPr>
                    <w:t>硫化氢</w:t>
                  </w:r>
                </w:p>
              </w:tc>
              <w:tc>
                <w:tcPr>
                  <w:tcW w:w="2199" w:type="pct"/>
                  <w:vAlign w:val="bottom"/>
                </w:tcPr>
                <w:p w14:paraId="59D4337C">
                  <w:pPr>
                    <w:widowControl/>
                    <w:jc w:val="center"/>
                    <w:rPr>
                      <w:rFonts w:cs="宋体"/>
                      <w:kern w:val="0"/>
                      <w:szCs w:val="22"/>
                    </w:rPr>
                  </w:pPr>
                  <w:r>
                    <w:rPr>
                      <w:rFonts w:hint="eastAsia" w:cs="宋体"/>
                      <w:kern w:val="0"/>
                      <w:szCs w:val="22"/>
                    </w:rPr>
                    <w:t>0.01</w:t>
                  </w:r>
                </w:p>
              </w:tc>
              <w:tc>
                <w:tcPr>
                  <w:tcW w:w="2071" w:type="pct"/>
                  <w:vAlign w:val="bottom"/>
                </w:tcPr>
                <w:p w14:paraId="3CC80060">
                  <w:pPr>
                    <w:widowControl/>
                    <w:jc w:val="center"/>
                    <w:rPr>
                      <w:rFonts w:cs="宋体"/>
                      <w:kern w:val="0"/>
                      <w:szCs w:val="22"/>
                    </w:rPr>
                  </w:pPr>
                  <w:r>
                    <w:rPr>
                      <w:rFonts w:hint="eastAsia" w:cs="宋体"/>
                      <w:kern w:val="0"/>
                      <w:szCs w:val="22"/>
                    </w:rPr>
                    <w:t>0.0025</w:t>
                  </w:r>
                </w:p>
              </w:tc>
            </w:tr>
            <w:tr w14:paraId="5643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0" w:type="pct"/>
                  <w:vAlign w:val="center"/>
                </w:tcPr>
                <w:p w14:paraId="613C1BCC">
                  <w:pPr>
                    <w:widowControl/>
                    <w:jc w:val="center"/>
                    <w:rPr>
                      <w:rFonts w:cs="宋体"/>
                      <w:kern w:val="0"/>
                    </w:rPr>
                  </w:pPr>
                  <w:r>
                    <w:rPr>
                      <w:rFonts w:hint="eastAsia" w:cs="宋体"/>
                      <w:kern w:val="0"/>
                    </w:rPr>
                    <w:t>氨</w:t>
                  </w:r>
                </w:p>
              </w:tc>
              <w:tc>
                <w:tcPr>
                  <w:tcW w:w="2199" w:type="pct"/>
                  <w:vAlign w:val="bottom"/>
                </w:tcPr>
                <w:p w14:paraId="5A033D6B">
                  <w:pPr>
                    <w:widowControl/>
                    <w:jc w:val="center"/>
                    <w:rPr>
                      <w:rFonts w:cs="宋体"/>
                      <w:kern w:val="0"/>
                      <w:szCs w:val="22"/>
                    </w:rPr>
                  </w:pPr>
                  <w:r>
                    <w:rPr>
                      <w:rFonts w:hint="eastAsia" w:cs="宋体"/>
                      <w:kern w:val="0"/>
                      <w:szCs w:val="22"/>
                    </w:rPr>
                    <w:t>0.11</w:t>
                  </w:r>
                </w:p>
              </w:tc>
              <w:tc>
                <w:tcPr>
                  <w:tcW w:w="2071" w:type="pct"/>
                  <w:vAlign w:val="bottom"/>
                </w:tcPr>
                <w:p w14:paraId="495829AE">
                  <w:pPr>
                    <w:widowControl/>
                    <w:jc w:val="center"/>
                    <w:rPr>
                      <w:rFonts w:cs="宋体"/>
                      <w:kern w:val="0"/>
                      <w:szCs w:val="22"/>
                    </w:rPr>
                  </w:pPr>
                  <w:r>
                    <w:rPr>
                      <w:rFonts w:hint="eastAsia" w:cs="宋体"/>
                      <w:kern w:val="0"/>
                      <w:szCs w:val="22"/>
                    </w:rPr>
                    <w:t>0.028</w:t>
                  </w:r>
                </w:p>
              </w:tc>
            </w:tr>
          </w:tbl>
          <w:p w14:paraId="33CE5B89">
            <w:pPr>
              <w:spacing w:before="120" w:beforeLines="50" w:line="360" w:lineRule="auto"/>
              <w:ind w:firstLine="480" w:firstLineChars="200"/>
              <w:rPr>
                <w:kern w:val="18"/>
                <w:sz w:val="24"/>
              </w:rPr>
            </w:pPr>
            <w:bookmarkStart w:id="18" w:name="_Hlk209994010"/>
            <w:r>
              <w:rPr>
                <w:rFonts w:hint="eastAsia"/>
                <w:kern w:val="18"/>
                <w:sz w:val="24"/>
              </w:rPr>
              <w:t>根据《三废处理工程技术手册（废气卷）》表</w:t>
            </w:r>
            <w:r>
              <w:rPr>
                <w:kern w:val="18"/>
                <w:sz w:val="24"/>
              </w:rPr>
              <w:t>17-8</w:t>
            </w:r>
            <w:r>
              <w:rPr>
                <w:rFonts w:hint="eastAsia"/>
                <w:kern w:val="18"/>
                <w:sz w:val="24"/>
              </w:rPr>
              <w:t>中各种排气罩排气量计算公式表中的矩形排气罩计算公式：</w:t>
            </w:r>
          </w:p>
          <w:p w14:paraId="53833D80">
            <w:pPr>
              <w:spacing w:line="360" w:lineRule="auto"/>
              <w:jc w:val="center"/>
              <w:rPr>
                <w:kern w:val="18"/>
                <w:sz w:val="24"/>
              </w:rPr>
            </w:pPr>
            <w:r>
              <w:rPr>
                <w:kern w:val="18"/>
                <w:sz w:val="24"/>
              </w:rPr>
              <w:t>Q=0.75</w:t>
            </w:r>
            <w:r>
              <w:rPr>
                <w:rFonts w:hint="eastAsia"/>
                <w:kern w:val="18"/>
                <w:sz w:val="24"/>
              </w:rPr>
              <w:t>（</w:t>
            </w:r>
            <w:r>
              <w:rPr>
                <w:kern w:val="18"/>
                <w:sz w:val="24"/>
              </w:rPr>
              <w:t>10x</w:t>
            </w:r>
            <w:r>
              <w:rPr>
                <w:kern w:val="18"/>
                <w:sz w:val="24"/>
                <w:vertAlign w:val="superscript"/>
              </w:rPr>
              <w:t>2</w:t>
            </w:r>
            <w:r>
              <w:rPr>
                <w:kern w:val="18"/>
                <w:sz w:val="24"/>
              </w:rPr>
              <w:t>+F</w:t>
            </w:r>
            <w:r>
              <w:rPr>
                <w:rFonts w:hint="eastAsia"/>
                <w:kern w:val="18"/>
                <w:sz w:val="24"/>
              </w:rPr>
              <w:t>）</w:t>
            </w:r>
            <w:r>
              <w:rPr>
                <w:bCs/>
                <w:sz w:val="24"/>
                <w:szCs w:val="24"/>
              </w:rPr>
              <w:t>×</w:t>
            </w:r>
            <w:r>
              <w:rPr>
                <w:kern w:val="18"/>
                <w:sz w:val="24"/>
              </w:rPr>
              <w:t>V</w:t>
            </w:r>
            <w:r>
              <w:rPr>
                <w:kern w:val="18"/>
                <w:sz w:val="24"/>
                <w:vertAlign w:val="subscript"/>
              </w:rPr>
              <w:t>x</w:t>
            </w:r>
          </w:p>
          <w:p w14:paraId="33AD0BE1">
            <w:pPr>
              <w:spacing w:line="360" w:lineRule="auto"/>
              <w:ind w:firstLine="480" w:firstLineChars="200"/>
              <w:rPr>
                <w:kern w:val="18"/>
                <w:sz w:val="24"/>
              </w:rPr>
            </w:pPr>
            <w:r>
              <w:rPr>
                <w:rFonts w:hint="eastAsia"/>
                <w:kern w:val="18"/>
                <w:sz w:val="24"/>
              </w:rPr>
              <w:t>式中：</w:t>
            </w:r>
            <w:r>
              <w:rPr>
                <w:kern w:val="18"/>
                <w:sz w:val="24"/>
              </w:rPr>
              <w:t>Q</w:t>
            </w:r>
            <w:r>
              <w:rPr>
                <w:rFonts w:hint="eastAsia"/>
                <w:kern w:val="18"/>
                <w:sz w:val="24"/>
              </w:rPr>
              <w:t>——风量，</w:t>
            </w:r>
            <w:r>
              <w:rPr>
                <w:kern w:val="18"/>
                <w:sz w:val="24"/>
              </w:rPr>
              <w:t>m</w:t>
            </w:r>
            <w:r>
              <w:rPr>
                <w:kern w:val="18"/>
                <w:sz w:val="24"/>
                <w:vertAlign w:val="superscript"/>
              </w:rPr>
              <w:t>3</w:t>
            </w:r>
            <w:r>
              <w:rPr>
                <w:kern w:val="18"/>
                <w:sz w:val="24"/>
              </w:rPr>
              <w:t>/s</w:t>
            </w:r>
            <w:r>
              <w:rPr>
                <w:rFonts w:hint="eastAsia"/>
                <w:kern w:val="18"/>
                <w:sz w:val="24"/>
              </w:rPr>
              <w:t>；</w:t>
            </w:r>
          </w:p>
          <w:p w14:paraId="1E90F848">
            <w:pPr>
              <w:spacing w:line="360" w:lineRule="auto"/>
              <w:ind w:firstLine="1200" w:firstLineChars="500"/>
              <w:rPr>
                <w:kern w:val="18"/>
                <w:sz w:val="24"/>
              </w:rPr>
            </w:pPr>
            <w:r>
              <w:rPr>
                <w:rFonts w:hint="eastAsia"/>
                <w:kern w:val="18"/>
                <w:sz w:val="24"/>
              </w:rPr>
              <w:t>x——集气罩至污染源的距离，m；</w:t>
            </w:r>
          </w:p>
          <w:p w14:paraId="18D01FCC">
            <w:pPr>
              <w:spacing w:line="360" w:lineRule="auto"/>
              <w:ind w:firstLine="1200" w:firstLineChars="500"/>
              <w:rPr>
                <w:kern w:val="18"/>
                <w:sz w:val="24"/>
              </w:rPr>
            </w:pPr>
            <w:r>
              <w:rPr>
                <w:kern w:val="18"/>
                <w:sz w:val="24"/>
              </w:rPr>
              <w:t>F</w:t>
            </w:r>
            <w:r>
              <w:rPr>
                <w:rFonts w:hint="eastAsia"/>
                <w:kern w:val="18"/>
                <w:sz w:val="24"/>
              </w:rPr>
              <w:t>——集气罩口面积，m</w:t>
            </w:r>
            <w:r>
              <w:rPr>
                <w:rFonts w:hint="eastAsia"/>
                <w:kern w:val="18"/>
                <w:sz w:val="24"/>
                <w:vertAlign w:val="superscript"/>
              </w:rPr>
              <w:t>2</w:t>
            </w:r>
            <w:r>
              <w:rPr>
                <w:rFonts w:hint="eastAsia"/>
                <w:kern w:val="18"/>
                <w:sz w:val="24"/>
              </w:rPr>
              <w:t>；</w:t>
            </w:r>
          </w:p>
          <w:p w14:paraId="1D2A6BA8">
            <w:pPr>
              <w:spacing w:line="360" w:lineRule="auto"/>
              <w:ind w:firstLine="1200" w:firstLineChars="500"/>
              <w:rPr>
                <w:kern w:val="18"/>
                <w:sz w:val="24"/>
              </w:rPr>
            </w:pPr>
            <w:r>
              <w:rPr>
                <w:kern w:val="18"/>
                <w:sz w:val="24"/>
              </w:rPr>
              <w:t>V</w:t>
            </w:r>
            <w:r>
              <w:rPr>
                <w:rFonts w:hint="eastAsia"/>
                <w:kern w:val="18"/>
                <w:sz w:val="24"/>
                <w:vertAlign w:val="subscript"/>
              </w:rPr>
              <w:t>x</w:t>
            </w:r>
            <w:r>
              <w:rPr>
                <w:rFonts w:hint="eastAsia"/>
                <w:kern w:val="18"/>
                <w:sz w:val="24"/>
              </w:rPr>
              <w:t>——控制风速，</w:t>
            </w:r>
            <w:r>
              <w:rPr>
                <w:kern w:val="18"/>
                <w:sz w:val="24"/>
              </w:rPr>
              <w:t>m/s</w:t>
            </w:r>
            <w:r>
              <w:rPr>
                <w:rFonts w:hint="eastAsia"/>
                <w:kern w:val="18"/>
                <w:sz w:val="24"/>
              </w:rPr>
              <w:t>。</w:t>
            </w:r>
          </w:p>
          <w:p w14:paraId="15BCA0A7">
            <w:pPr>
              <w:spacing w:line="360" w:lineRule="auto"/>
              <w:ind w:firstLine="480" w:firstLineChars="200"/>
              <w:rPr>
                <w:sz w:val="24"/>
                <w:szCs w:val="24"/>
              </w:rPr>
            </w:pPr>
            <w:r>
              <w:rPr>
                <w:rFonts w:hint="eastAsia"/>
                <w:kern w:val="18"/>
                <w:sz w:val="24"/>
              </w:rPr>
              <w:t>设计风量按上式计算结果的</w:t>
            </w:r>
            <w:r>
              <w:rPr>
                <w:kern w:val="18"/>
                <w:sz w:val="24"/>
              </w:rPr>
              <w:t>120%</w:t>
            </w:r>
            <w:r>
              <w:rPr>
                <w:rFonts w:hint="eastAsia"/>
                <w:kern w:val="18"/>
                <w:sz w:val="24"/>
              </w:rPr>
              <w:t>向上取整进行设计，集气罩及风量设计见表4-5。</w:t>
            </w:r>
          </w:p>
          <w:bookmarkEnd w:id="18"/>
          <w:p w14:paraId="73A57707">
            <w:pPr>
              <w:pStyle w:val="12"/>
              <w:spacing w:line="360" w:lineRule="auto"/>
              <w:ind w:left="0" w:leftChars="0" w:firstLine="0" w:firstLineChars="0"/>
              <w:jc w:val="center"/>
              <w:rPr>
                <w:b/>
              </w:rPr>
            </w:pPr>
            <w:bookmarkStart w:id="19" w:name="_Hlk209994234"/>
            <w:r>
              <w:rPr>
                <w:b/>
              </w:rPr>
              <w:t>表</w:t>
            </w:r>
            <w:r>
              <w:rPr>
                <w:rFonts w:hint="eastAsia"/>
                <w:b/>
              </w:rPr>
              <w:t>4-5 废白土暂存、造粒集气罩设计数据</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9"/>
              <w:gridCol w:w="1475"/>
              <w:gridCol w:w="1719"/>
              <w:gridCol w:w="934"/>
              <w:gridCol w:w="707"/>
              <w:gridCol w:w="1510"/>
              <w:gridCol w:w="1510"/>
            </w:tblGrid>
            <w:tr w14:paraId="5E7E4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08" w:type="pct"/>
                  <w:noWrap/>
                  <w:vAlign w:val="center"/>
                </w:tcPr>
                <w:p w14:paraId="560A0170">
                  <w:pPr>
                    <w:widowControl/>
                    <w:jc w:val="center"/>
                    <w:rPr>
                      <w:rFonts w:cs="Calibri"/>
                      <w:kern w:val="0"/>
                      <w:szCs w:val="22"/>
                    </w:rPr>
                  </w:pPr>
                  <w:r>
                    <w:rPr>
                      <w:rFonts w:cs="Calibri"/>
                      <w:kern w:val="0"/>
                      <w:szCs w:val="22"/>
                    </w:rPr>
                    <w:t>序号</w:t>
                  </w:r>
                </w:p>
              </w:tc>
              <w:tc>
                <w:tcPr>
                  <w:tcW w:w="862" w:type="pct"/>
                  <w:noWrap/>
                  <w:vAlign w:val="center"/>
                </w:tcPr>
                <w:p w14:paraId="58E60BF7">
                  <w:pPr>
                    <w:widowControl/>
                    <w:jc w:val="center"/>
                    <w:rPr>
                      <w:rFonts w:cs="宋体"/>
                      <w:kern w:val="0"/>
                      <w:szCs w:val="22"/>
                    </w:rPr>
                  </w:pPr>
                  <w:r>
                    <w:rPr>
                      <w:rFonts w:hint="eastAsia" w:cs="宋体"/>
                      <w:kern w:val="0"/>
                      <w:szCs w:val="22"/>
                    </w:rPr>
                    <w:t>设备/场所</w:t>
                  </w:r>
                </w:p>
              </w:tc>
              <w:tc>
                <w:tcPr>
                  <w:tcW w:w="1005" w:type="pct"/>
                  <w:noWrap/>
                  <w:vAlign w:val="center"/>
                </w:tcPr>
                <w:p w14:paraId="0C65DA40">
                  <w:pPr>
                    <w:widowControl/>
                    <w:jc w:val="center"/>
                    <w:rPr>
                      <w:rFonts w:cs="Calibri"/>
                      <w:kern w:val="0"/>
                      <w:szCs w:val="22"/>
                    </w:rPr>
                  </w:pPr>
                  <w:r>
                    <w:rPr>
                      <w:rFonts w:cs="Calibri"/>
                      <w:kern w:val="0"/>
                      <w:szCs w:val="22"/>
                    </w:rPr>
                    <w:t>集气罩尺寸</w:t>
                  </w:r>
                </w:p>
              </w:tc>
              <w:tc>
                <w:tcPr>
                  <w:tcW w:w="546" w:type="pct"/>
                  <w:noWrap/>
                  <w:vAlign w:val="center"/>
                </w:tcPr>
                <w:p w14:paraId="3A7282B8">
                  <w:pPr>
                    <w:widowControl/>
                    <w:jc w:val="center"/>
                    <w:rPr>
                      <w:rFonts w:cs="Calibri"/>
                      <w:kern w:val="0"/>
                      <w:szCs w:val="22"/>
                    </w:rPr>
                  </w:pPr>
                  <w:r>
                    <w:rPr>
                      <w:rFonts w:cs="Calibri"/>
                      <w:kern w:val="0"/>
                      <w:szCs w:val="22"/>
                    </w:rPr>
                    <w:t>Vx</w:t>
                  </w:r>
                </w:p>
              </w:tc>
              <w:tc>
                <w:tcPr>
                  <w:tcW w:w="413" w:type="pct"/>
                  <w:noWrap/>
                  <w:vAlign w:val="center"/>
                </w:tcPr>
                <w:p w14:paraId="560DB2E5">
                  <w:pPr>
                    <w:widowControl/>
                    <w:jc w:val="center"/>
                    <w:rPr>
                      <w:rFonts w:cs="Calibri"/>
                      <w:kern w:val="0"/>
                      <w:szCs w:val="22"/>
                    </w:rPr>
                  </w:pPr>
                  <w:r>
                    <w:rPr>
                      <w:rFonts w:cs="Calibri"/>
                      <w:kern w:val="0"/>
                      <w:szCs w:val="22"/>
                    </w:rPr>
                    <w:t>X</w:t>
                  </w:r>
                </w:p>
              </w:tc>
              <w:tc>
                <w:tcPr>
                  <w:tcW w:w="883" w:type="pct"/>
                  <w:noWrap/>
                  <w:vAlign w:val="center"/>
                </w:tcPr>
                <w:p w14:paraId="6694E42A">
                  <w:pPr>
                    <w:widowControl/>
                    <w:jc w:val="center"/>
                    <w:rPr>
                      <w:rFonts w:cs="宋体"/>
                      <w:kern w:val="0"/>
                      <w:szCs w:val="22"/>
                    </w:rPr>
                  </w:pPr>
                  <w:r>
                    <w:rPr>
                      <w:rFonts w:hint="eastAsia" w:cs="宋体"/>
                      <w:kern w:val="0"/>
                      <w:szCs w:val="22"/>
                    </w:rPr>
                    <w:t>计算风量</w:t>
                  </w:r>
                </w:p>
              </w:tc>
              <w:tc>
                <w:tcPr>
                  <w:tcW w:w="883" w:type="pct"/>
                  <w:noWrap/>
                  <w:vAlign w:val="center"/>
                </w:tcPr>
                <w:p w14:paraId="79020B73">
                  <w:pPr>
                    <w:widowControl/>
                    <w:jc w:val="center"/>
                    <w:rPr>
                      <w:rFonts w:cs="Calibri"/>
                      <w:kern w:val="0"/>
                      <w:szCs w:val="22"/>
                    </w:rPr>
                  </w:pPr>
                  <w:r>
                    <w:rPr>
                      <w:rFonts w:hint="eastAsia" w:cs="Calibri"/>
                      <w:kern w:val="0"/>
                      <w:szCs w:val="22"/>
                    </w:rPr>
                    <w:t>设计风量</w:t>
                  </w:r>
                </w:p>
              </w:tc>
            </w:tr>
            <w:tr w14:paraId="24392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08" w:type="pct"/>
                  <w:noWrap/>
                  <w:vAlign w:val="center"/>
                </w:tcPr>
                <w:p w14:paraId="2D52EDCB">
                  <w:pPr>
                    <w:widowControl/>
                    <w:jc w:val="center"/>
                    <w:rPr>
                      <w:rFonts w:cs="Calibri"/>
                      <w:kern w:val="0"/>
                      <w:szCs w:val="22"/>
                    </w:rPr>
                  </w:pPr>
                  <w:r>
                    <w:rPr>
                      <w:rFonts w:cs="Calibri"/>
                      <w:kern w:val="0"/>
                      <w:szCs w:val="22"/>
                    </w:rPr>
                    <w:t>1</w:t>
                  </w:r>
                </w:p>
              </w:tc>
              <w:tc>
                <w:tcPr>
                  <w:tcW w:w="862" w:type="pct"/>
                  <w:noWrap/>
                  <w:vAlign w:val="center"/>
                </w:tcPr>
                <w:p w14:paraId="617942A3">
                  <w:pPr>
                    <w:widowControl/>
                    <w:jc w:val="center"/>
                    <w:rPr>
                      <w:rFonts w:cs="宋体"/>
                      <w:kern w:val="0"/>
                      <w:szCs w:val="22"/>
                    </w:rPr>
                  </w:pPr>
                  <w:r>
                    <w:rPr>
                      <w:rFonts w:hint="eastAsia" w:cs="宋体"/>
                      <w:kern w:val="0"/>
                      <w:szCs w:val="22"/>
                    </w:rPr>
                    <w:t>造粒机</w:t>
                  </w:r>
                </w:p>
              </w:tc>
              <w:tc>
                <w:tcPr>
                  <w:tcW w:w="1005" w:type="pct"/>
                  <w:noWrap/>
                  <w:vAlign w:val="center"/>
                </w:tcPr>
                <w:p w14:paraId="03FE4268">
                  <w:pPr>
                    <w:widowControl/>
                    <w:jc w:val="center"/>
                    <w:rPr>
                      <w:rFonts w:cs="Calibri"/>
                      <w:kern w:val="0"/>
                      <w:szCs w:val="22"/>
                    </w:rPr>
                  </w:pPr>
                  <w:r>
                    <w:rPr>
                      <w:rFonts w:cs="Calibri"/>
                      <w:kern w:val="0"/>
                      <w:szCs w:val="22"/>
                    </w:rPr>
                    <w:t>1.2m</w:t>
                  </w:r>
                  <w:r>
                    <w:rPr>
                      <w:bCs/>
                      <w:szCs w:val="24"/>
                    </w:rPr>
                    <w:t>×</w:t>
                  </w:r>
                  <w:r>
                    <w:rPr>
                      <w:rFonts w:cs="Calibri"/>
                      <w:kern w:val="0"/>
                      <w:szCs w:val="22"/>
                    </w:rPr>
                    <w:t>3m</w:t>
                  </w:r>
                </w:p>
              </w:tc>
              <w:tc>
                <w:tcPr>
                  <w:tcW w:w="546" w:type="pct"/>
                  <w:vMerge w:val="restart"/>
                  <w:noWrap/>
                  <w:vAlign w:val="center"/>
                </w:tcPr>
                <w:p w14:paraId="4C46456E">
                  <w:pPr>
                    <w:widowControl/>
                    <w:jc w:val="center"/>
                    <w:rPr>
                      <w:rFonts w:cs="Calibri"/>
                      <w:kern w:val="0"/>
                      <w:szCs w:val="22"/>
                    </w:rPr>
                  </w:pPr>
                  <w:r>
                    <w:rPr>
                      <w:rFonts w:cs="Calibri"/>
                      <w:kern w:val="0"/>
                      <w:szCs w:val="22"/>
                    </w:rPr>
                    <w:t>0.5m/s</w:t>
                  </w:r>
                </w:p>
              </w:tc>
              <w:tc>
                <w:tcPr>
                  <w:tcW w:w="413" w:type="pct"/>
                  <w:noWrap/>
                  <w:vAlign w:val="center"/>
                </w:tcPr>
                <w:p w14:paraId="3EE268E6">
                  <w:pPr>
                    <w:widowControl/>
                    <w:jc w:val="center"/>
                    <w:rPr>
                      <w:rFonts w:cs="Calibri"/>
                      <w:kern w:val="0"/>
                      <w:szCs w:val="22"/>
                    </w:rPr>
                  </w:pPr>
                  <w:r>
                    <w:rPr>
                      <w:rFonts w:cs="Calibri"/>
                      <w:kern w:val="0"/>
                      <w:szCs w:val="22"/>
                    </w:rPr>
                    <w:t>0.2m</w:t>
                  </w:r>
                </w:p>
              </w:tc>
              <w:tc>
                <w:tcPr>
                  <w:tcW w:w="883" w:type="pct"/>
                  <w:noWrap/>
                  <w:vAlign w:val="center"/>
                </w:tcPr>
                <w:p w14:paraId="0EDF1487">
                  <w:pPr>
                    <w:widowControl/>
                    <w:jc w:val="center"/>
                    <w:rPr>
                      <w:rFonts w:cs="Calibri"/>
                      <w:kern w:val="0"/>
                      <w:szCs w:val="22"/>
                    </w:rPr>
                  </w:pPr>
                  <w:r>
                    <w:rPr>
                      <w:rFonts w:cs="Calibri"/>
                      <w:kern w:val="0"/>
                      <w:szCs w:val="22"/>
                    </w:rPr>
                    <w:t>5400m</w:t>
                  </w:r>
                  <w:r>
                    <w:rPr>
                      <w:rFonts w:cs="Calibri"/>
                      <w:kern w:val="0"/>
                      <w:szCs w:val="22"/>
                      <w:vertAlign w:val="superscript"/>
                    </w:rPr>
                    <w:t>3</w:t>
                  </w:r>
                  <w:r>
                    <w:rPr>
                      <w:rFonts w:cs="Calibri"/>
                      <w:kern w:val="0"/>
                      <w:szCs w:val="22"/>
                    </w:rPr>
                    <w:t>/h</w:t>
                  </w:r>
                </w:p>
              </w:tc>
              <w:tc>
                <w:tcPr>
                  <w:tcW w:w="883" w:type="pct"/>
                  <w:noWrap/>
                  <w:vAlign w:val="center"/>
                </w:tcPr>
                <w:p w14:paraId="1F2331C6">
                  <w:pPr>
                    <w:widowControl/>
                    <w:jc w:val="center"/>
                    <w:rPr>
                      <w:rFonts w:cs="Calibri"/>
                      <w:kern w:val="0"/>
                      <w:szCs w:val="22"/>
                    </w:rPr>
                  </w:pPr>
                  <w:r>
                    <w:rPr>
                      <w:rFonts w:cs="Calibri"/>
                      <w:kern w:val="0"/>
                      <w:szCs w:val="22"/>
                    </w:rPr>
                    <w:t>6500m</w:t>
                  </w:r>
                  <w:r>
                    <w:rPr>
                      <w:rFonts w:cs="Calibri"/>
                      <w:kern w:val="0"/>
                      <w:szCs w:val="22"/>
                      <w:vertAlign w:val="superscript"/>
                    </w:rPr>
                    <w:t>3</w:t>
                  </w:r>
                  <w:r>
                    <w:rPr>
                      <w:rFonts w:cs="Calibri"/>
                      <w:kern w:val="0"/>
                      <w:szCs w:val="22"/>
                    </w:rPr>
                    <w:t>/h</w:t>
                  </w:r>
                </w:p>
              </w:tc>
            </w:tr>
            <w:tr w14:paraId="0E2DF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08" w:type="pct"/>
                  <w:noWrap/>
                  <w:vAlign w:val="center"/>
                </w:tcPr>
                <w:p w14:paraId="403E4565">
                  <w:pPr>
                    <w:widowControl/>
                    <w:jc w:val="center"/>
                    <w:rPr>
                      <w:rFonts w:cs="Calibri"/>
                      <w:kern w:val="0"/>
                      <w:szCs w:val="22"/>
                    </w:rPr>
                  </w:pPr>
                  <w:r>
                    <w:rPr>
                      <w:rFonts w:cs="Calibri"/>
                      <w:kern w:val="0"/>
                      <w:szCs w:val="22"/>
                    </w:rPr>
                    <w:t>2</w:t>
                  </w:r>
                </w:p>
              </w:tc>
              <w:tc>
                <w:tcPr>
                  <w:tcW w:w="862" w:type="pct"/>
                  <w:noWrap/>
                  <w:vAlign w:val="center"/>
                </w:tcPr>
                <w:p w14:paraId="2FF8FE2C">
                  <w:pPr>
                    <w:widowControl/>
                    <w:jc w:val="center"/>
                    <w:rPr>
                      <w:rFonts w:cs="宋体"/>
                      <w:kern w:val="0"/>
                      <w:szCs w:val="22"/>
                    </w:rPr>
                  </w:pPr>
                  <w:r>
                    <w:rPr>
                      <w:rFonts w:hint="eastAsia" w:cs="宋体"/>
                      <w:kern w:val="0"/>
                      <w:szCs w:val="22"/>
                    </w:rPr>
                    <w:t>原料区</w:t>
                  </w:r>
                </w:p>
              </w:tc>
              <w:tc>
                <w:tcPr>
                  <w:tcW w:w="1005" w:type="pct"/>
                  <w:noWrap/>
                  <w:vAlign w:val="center"/>
                </w:tcPr>
                <w:p w14:paraId="7E3BA696">
                  <w:pPr>
                    <w:widowControl/>
                    <w:jc w:val="center"/>
                    <w:rPr>
                      <w:rFonts w:cs="Calibri"/>
                      <w:kern w:val="0"/>
                      <w:szCs w:val="22"/>
                    </w:rPr>
                  </w:pPr>
                  <w:r>
                    <w:rPr>
                      <w:rFonts w:cs="Calibri"/>
                      <w:kern w:val="0"/>
                      <w:szCs w:val="22"/>
                    </w:rPr>
                    <w:t>1.5m</w:t>
                  </w:r>
                  <w:r>
                    <w:rPr>
                      <w:bCs/>
                      <w:szCs w:val="24"/>
                    </w:rPr>
                    <w:t>×</w:t>
                  </w:r>
                  <w:r>
                    <w:rPr>
                      <w:rFonts w:cs="Calibri"/>
                      <w:kern w:val="0"/>
                      <w:szCs w:val="22"/>
                    </w:rPr>
                    <w:t>3m</w:t>
                  </w:r>
                </w:p>
              </w:tc>
              <w:tc>
                <w:tcPr>
                  <w:tcW w:w="546" w:type="pct"/>
                  <w:vMerge w:val="continue"/>
                  <w:vAlign w:val="center"/>
                </w:tcPr>
                <w:p w14:paraId="5172C912">
                  <w:pPr>
                    <w:widowControl/>
                    <w:jc w:val="center"/>
                    <w:rPr>
                      <w:rFonts w:cs="Calibri"/>
                      <w:kern w:val="0"/>
                      <w:szCs w:val="22"/>
                    </w:rPr>
                  </w:pPr>
                </w:p>
              </w:tc>
              <w:tc>
                <w:tcPr>
                  <w:tcW w:w="413" w:type="pct"/>
                  <w:noWrap/>
                  <w:vAlign w:val="center"/>
                </w:tcPr>
                <w:p w14:paraId="3B9885B1">
                  <w:pPr>
                    <w:widowControl/>
                    <w:jc w:val="center"/>
                    <w:rPr>
                      <w:rFonts w:cs="Calibri"/>
                      <w:kern w:val="0"/>
                      <w:szCs w:val="22"/>
                    </w:rPr>
                  </w:pPr>
                  <w:r>
                    <w:rPr>
                      <w:rFonts w:cs="Calibri"/>
                      <w:kern w:val="0"/>
                      <w:szCs w:val="22"/>
                    </w:rPr>
                    <w:t>0.8m</w:t>
                  </w:r>
                </w:p>
              </w:tc>
              <w:tc>
                <w:tcPr>
                  <w:tcW w:w="883" w:type="pct"/>
                  <w:noWrap/>
                  <w:vAlign w:val="center"/>
                </w:tcPr>
                <w:p w14:paraId="654D9C15">
                  <w:pPr>
                    <w:widowControl/>
                    <w:jc w:val="center"/>
                    <w:rPr>
                      <w:rFonts w:cs="Calibri"/>
                      <w:kern w:val="0"/>
                      <w:szCs w:val="22"/>
                    </w:rPr>
                  </w:pPr>
                  <w:r>
                    <w:rPr>
                      <w:rFonts w:cs="Calibri"/>
                      <w:kern w:val="0"/>
                      <w:szCs w:val="22"/>
                    </w:rPr>
                    <w:t>14715m</w:t>
                  </w:r>
                  <w:r>
                    <w:rPr>
                      <w:rFonts w:cs="Calibri"/>
                      <w:kern w:val="0"/>
                      <w:szCs w:val="22"/>
                      <w:vertAlign w:val="superscript"/>
                    </w:rPr>
                    <w:t>3</w:t>
                  </w:r>
                  <w:r>
                    <w:rPr>
                      <w:rFonts w:cs="Calibri"/>
                      <w:kern w:val="0"/>
                      <w:szCs w:val="22"/>
                    </w:rPr>
                    <w:t>/h</w:t>
                  </w:r>
                </w:p>
              </w:tc>
              <w:tc>
                <w:tcPr>
                  <w:tcW w:w="883" w:type="pct"/>
                  <w:noWrap/>
                  <w:vAlign w:val="center"/>
                </w:tcPr>
                <w:p w14:paraId="6D69C817">
                  <w:pPr>
                    <w:widowControl/>
                    <w:jc w:val="center"/>
                    <w:rPr>
                      <w:rFonts w:cs="Calibri"/>
                      <w:kern w:val="0"/>
                      <w:szCs w:val="22"/>
                    </w:rPr>
                  </w:pPr>
                  <w:r>
                    <w:rPr>
                      <w:rFonts w:cs="Calibri"/>
                      <w:kern w:val="0"/>
                      <w:szCs w:val="22"/>
                    </w:rPr>
                    <w:t>18000m</w:t>
                  </w:r>
                  <w:r>
                    <w:rPr>
                      <w:rFonts w:cs="Calibri"/>
                      <w:kern w:val="0"/>
                      <w:szCs w:val="22"/>
                      <w:vertAlign w:val="superscript"/>
                    </w:rPr>
                    <w:t>3</w:t>
                  </w:r>
                  <w:r>
                    <w:rPr>
                      <w:rFonts w:cs="Calibri"/>
                      <w:kern w:val="0"/>
                      <w:szCs w:val="22"/>
                    </w:rPr>
                    <w:t>/h</w:t>
                  </w:r>
                </w:p>
              </w:tc>
            </w:tr>
            <w:bookmarkEnd w:id="19"/>
          </w:tbl>
          <w:p w14:paraId="177D0AF5">
            <w:pPr>
              <w:spacing w:before="120" w:beforeLines="50" w:line="360" w:lineRule="auto"/>
              <w:ind w:firstLine="480" w:firstLineChars="200"/>
              <w:rPr>
                <w:kern w:val="18"/>
                <w:sz w:val="24"/>
              </w:rPr>
            </w:pPr>
            <w:bookmarkStart w:id="20" w:name="_Hlk209994480"/>
            <w:r>
              <w:rPr>
                <w:rFonts w:hint="eastAsia"/>
                <w:kern w:val="18"/>
                <w:sz w:val="24"/>
              </w:rPr>
              <w:t>参考《广东省工业源挥发性有机物减排量核算方法（</w:t>
            </w:r>
            <w:r>
              <w:rPr>
                <w:kern w:val="18"/>
                <w:sz w:val="24"/>
              </w:rPr>
              <w:t>2023</w:t>
            </w:r>
            <w:r>
              <w:rPr>
                <w:rFonts w:hint="eastAsia"/>
                <w:kern w:val="18"/>
                <w:sz w:val="24"/>
              </w:rPr>
              <w:t>年修订版）》（粤环函</w:t>
            </w:r>
            <w:r>
              <w:rPr>
                <w:kern w:val="18"/>
                <w:sz w:val="24"/>
              </w:rPr>
              <w:t>〔</w:t>
            </w:r>
            <w:r>
              <w:rPr>
                <w:rFonts w:hint="eastAsia"/>
                <w:kern w:val="18"/>
                <w:sz w:val="24"/>
              </w:rPr>
              <w:t>2023</w:t>
            </w:r>
            <w:r>
              <w:rPr>
                <w:kern w:val="18"/>
                <w:sz w:val="24"/>
              </w:rPr>
              <w:t>〕538</w:t>
            </w:r>
            <w:r>
              <w:rPr>
                <w:rFonts w:hint="eastAsia"/>
                <w:kern w:val="18"/>
                <w:sz w:val="24"/>
              </w:rPr>
              <w:t>号）中表</w:t>
            </w:r>
            <w:r>
              <w:rPr>
                <w:kern w:val="18"/>
                <w:sz w:val="24"/>
              </w:rPr>
              <w:t xml:space="preserve">3.3-2 </w:t>
            </w:r>
            <w:r>
              <w:rPr>
                <w:rFonts w:hint="eastAsia"/>
                <w:kern w:val="18"/>
                <w:sz w:val="24"/>
              </w:rPr>
              <w:t>废气收集集气效率参考值，外部集气罩集气效率按30%计。</w:t>
            </w:r>
          </w:p>
          <w:bookmarkEnd w:id="20"/>
          <w:p w14:paraId="2DC4A0AD">
            <w:pPr>
              <w:adjustRightInd w:val="0"/>
              <w:snapToGrid w:val="0"/>
              <w:spacing w:line="360" w:lineRule="auto"/>
              <w:ind w:firstLine="480" w:firstLineChars="200"/>
              <w:rPr>
                <w:sz w:val="24"/>
                <w:szCs w:val="24"/>
              </w:rPr>
            </w:pPr>
            <w:bookmarkStart w:id="21" w:name="_Hlk209994630"/>
            <w:r>
              <w:rPr>
                <w:rFonts w:hint="eastAsia"/>
                <w:kern w:val="18"/>
                <w:sz w:val="24"/>
              </w:rPr>
              <w:t>废白土暂存和造粒产生的废气</w:t>
            </w:r>
            <w:r>
              <w:rPr>
                <w:rFonts w:hint="eastAsia"/>
                <w:bCs/>
                <w:sz w:val="24"/>
                <w:szCs w:val="24"/>
                <w:lang w:bidi="ar"/>
              </w:rPr>
              <w:t>收集后</w:t>
            </w:r>
            <w:r>
              <w:rPr>
                <w:bCs/>
                <w:sz w:val="24"/>
                <w:szCs w:val="24"/>
                <w:lang w:bidi="ar"/>
              </w:rPr>
              <w:t>引入</w:t>
            </w:r>
            <w:r>
              <w:rPr>
                <w:rFonts w:hint="eastAsia"/>
                <w:bCs/>
                <w:kern w:val="18"/>
                <w:sz w:val="24"/>
              </w:rPr>
              <w:t>“二级活性炭吸附”</w:t>
            </w:r>
            <w:r>
              <w:rPr>
                <w:kern w:val="18"/>
                <w:sz w:val="24"/>
              </w:rPr>
              <w:t>设施处理</w:t>
            </w:r>
            <w:r>
              <w:rPr>
                <w:rFonts w:hint="eastAsia"/>
                <w:kern w:val="18"/>
                <w:sz w:val="24"/>
              </w:rPr>
              <w:t>后通过</w:t>
            </w:r>
            <w:r>
              <w:rPr>
                <w:kern w:val="18"/>
                <w:sz w:val="24"/>
              </w:rPr>
              <w:t>15m高的排气筒</w:t>
            </w:r>
            <w:r>
              <w:rPr>
                <w:rFonts w:hint="eastAsia"/>
                <w:kern w:val="18"/>
                <w:sz w:val="24"/>
              </w:rPr>
              <w:t>（DA003）达标</w:t>
            </w:r>
            <w:r>
              <w:rPr>
                <w:kern w:val="18"/>
                <w:sz w:val="24"/>
              </w:rPr>
              <w:t>排放。</w:t>
            </w:r>
            <w:r>
              <w:rPr>
                <w:sz w:val="24"/>
                <w:szCs w:val="24"/>
              </w:rPr>
              <w:t>参考《广东省家具制造行业挥发性有机废气治理技术指南》（广东省环境保护厅2014年12月22日发布，2015年1月1日实施）活性炭吸附治理效率</w:t>
            </w:r>
            <w:r>
              <w:rPr>
                <w:rFonts w:hint="eastAsia"/>
                <w:sz w:val="24"/>
                <w:szCs w:val="24"/>
              </w:rPr>
              <w:t>为</w:t>
            </w:r>
            <w:r>
              <w:rPr>
                <w:sz w:val="24"/>
                <w:szCs w:val="24"/>
              </w:rPr>
              <w:t>50~80%，本项目取活性炭吸附治理效率60%，则</w:t>
            </w:r>
            <w:r>
              <w:rPr>
                <w:rFonts w:hint="eastAsia"/>
                <w:sz w:val="24"/>
                <w:szCs w:val="24"/>
              </w:rPr>
              <w:t>二级</w:t>
            </w:r>
            <w:r>
              <w:rPr>
                <w:sz w:val="24"/>
                <w:szCs w:val="24"/>
              </w:rPr>
              <w:t>活性炭吸附装置对挥发性有机物的</w:t>
            </w:r>
            <w:r>
              <w:rPr>
                <w:rFonts w:hint="eastAsia"/>
                <w:sz w:val="24"/>
                <w:szCs w:val="24"/>
              </w:rPr>
              <w:t>理论</w:t>
            </w:r>
            <w:r>
              <w:rPr>
                <w:sz w:val="24"/>
                <w:szCs w:val="24"/>
              </w:rPr>
              <w:t>去除效率为1-（1-60%）×（1-60%）=</w:t>
            </w:r>
            <w:r>
              <w:rPr>
                <w:rFonts w:hint="eastAsia"/>
                <w:sz w:val="24"/>
                <w:szCs w:val="24"/>
              </w:rPr>
              <w:t>84</w:t>
            </w:r>
            <w:r>
              <w:rPr>
                <w:sz w:val="24"/>
                <w:szCs w:val="24"/>
              </w:rPr>
              <w:t>%，</w:t>
            </w:r>
            <w:r>
              <w:rPr>
                <w:rFonts w:hint="eastAsia"/>
                <w:sz w:val="24"/>
                <w:szCs w:val="24"/>
              </w:rPr>
              <w:t>考虑到项目设备在实际运行过程中去除效率可能因为产污设备、废气污染物浓度及性质、温度等的差异有所浮动，本项目非甲烷总烷去除效率</w:t>
            </w:r>
            <w:r>
              <w:rPr>
                <w:sz w:val="24"/>
                <w:szCs w:val="24"/>
              </w:rPr>
              <w:t>保守取</w:t>
            </w:r>
            <w:r>
              <w:rPr>
                <w:rFonts w:hint="eastAsia"/>
                <w:sz w:val="24"/>
                <w:szCs w:val="24"/>
              </w:rPr>
              <w:t>值为</w:t>
            </w:r>
            <w:r>
              <w:rPr>
                <w:sz w:val="24"/>
                <w:szCs w:val="24"/>
              </w:rPr>
              <w:t>8</w:t>
            </w:r>
            <w:r>
              <w:rPr>
                <w:rFonts w:hint="eastAsia"/>
                <w:sz w:val="24"/>
                <w:szCs w:val="24"/>
              </w:rPr>
              <w:t>0</w:t>
            </w:r>
            <w:r>
              <w:rPr>
                <w:sz w:val="24"/>
                <w:szCs w:val="24"/>
              </w:rPr>
              <w:t>%。</w:t>
            </w:r>
          </w:p>
          <w:bookmarkEnd w:id="21"/>
          <w:p w14:paraId="42A15F8C">
            <w:pPr>
              <w:spacing w:line="360" w:lineRule="auto"/>
              <w:ind w:left="482"/>
              <w:rPr>
                <w:b/>
                <w:kern w:val="18"/>
                <w:sz w:val="24"/>
              </w:rPr>
            </w:pPr>
            <w:r>
              <w:rPr>
                <w:rFonts w:hint="eastAsia"/>
                <w:b/>
                <w:kern w:val="18"/>
                <w:sz w:val="24"/>
              </w:rPr>
              <w:t>（3）冷凝废气</w:t>
            </w:r>
          </w:p>
          <w:p w14:paraId="057D3137">
            <w:pPr>
              <w:spacing w:line="360" w:lineRule="auto"/>
              <w:ind w:firstLine="480" w:firstLineChars="200"/>
              <w:rPr>
                <w:bCs/>
                <w:sz w:val="24"/>
                <w:szCs w:val="24"/>
                <w:lang w:bidi="ar"/>
              </w:rPr>
            </w:pPr>
            <w:bookmarkStart w:id="22" w:name="_Hlk209993966"/>
            <w:r>
              <w:rPr>
                <w:rFonts w:hint="eastAsia"/>
                <w:bCs/>
                <w:sz w:val="24"/>
                <w:szCs w:val="24"/>
                <w:lang w:bidi="ar"/>
              </w:rPr>
              <w:t>本项目生产过程中，白土渣蒸脱形成的蒸汽，以及浸出液蒸发形成的蒸汽均通过密闭管道引至冷凝系统进行冷凝回收溶剂油。</w:t>
            </w:r>
            <w:r>
              <w:rPr>
                <w:bCs/>
                <w:sz w:val="24"/>
                <w:szCs w:val="24"/>
                <w:lang w:bidi="ar"/>
              </w:rPr>
              <w:t>冷凝过程会产生少量的不凝气，污染因子以非甲烷总烃计</w:t>
            </w:r>
            <w:r>
              <w:rPr>
                <w:rFonts w:hint="eastAsia"/>
                <w:bCs/>
                <w:sz w:val="24"/>
                <w:szCs w:val="24"/>
                <w:lang w:bidi="ar"/>
              </w:rPr>
              <w:t>。</w:t>
            </w:r>
          </w:p>
          <w:p w14:paraId="7059DDDD">
            <w:pPr>
              <w:spacing w:line="360" w:lineRule="auto"/>
              <w:ind w:firstLine="480" w:firstLineChars="200"/>
              <w:rPr>
                <w:kern w:val="18"/>
                <w:sz w:val="24"/>
              </w:rPr>
            </w:pPr>
            <w:r>
              <w:rPr>
                <w:bCs/>
                <w:sz w:val="24"/>
                <w:szCs w:val="24"/>
                <w:lang w:bidi="ar"/>
              </w:rPr>
              <w:t>项目冷凝</w:t>
            </w:r>
            <w:r>
              <w:rPr>
                <w:rFonts w:hint="eastAsia"/>
                <w:bCs/>
                <w:sz w:val="24"/>
                <w:szCs w:val="24"/>
                <w:lang w:bidi="ar"/>
              </w:rPr>
              <w:t>系统对溶剂的回收率为97%，根据物料平衡核算，形成不凝气的溶剂约0.63</w:t>
            </w:r>
            <w:r>
              <w:rPr>
                <w:bCs/>
                <w:sz w:val="24"/>
                <w:szCs w:val="24"/>
                <w:lang w:bidi="ar"/>
              </w:rPr>
              <w:t>t/a，</w:t>
            </w:r>
            <w:r>
              <w:rPr>
                <w:rFonts w:hint="eastAsia"/>
                <w:bCs/>
                <w:sz w:val="24"/>
                <w:szCs w:val="24"/>
                <w:lang w:bidi="ar"/>
              </w:rPr>
              <w:t>则</w:t>
            </w:r>
            <w:r>
              <w:rPr>
                <w:bCs/>
                <w:sz w:val="24"/>
                <w:szCs w:val="24"/>
                <w:lang w:bidi="ar"/>
              </w:rPr>
              <w:t>非甲烷总烃产生速率</w:t>
            </w:r>
            <w:r>
              <w:rPr>
                <w:rFonts w:hint="eastAsia"/>
                <w:bCs/>
                <w:sz w:val="24"/>
                <w:szCs w:val="24"/>
                <w:lang w:bidi="ar"/>
              </w:rPr>
              <w:t>约</w:t>
            </w:r>
            <w:r>
              <w:rPr>
                <w:bCs/>
                <w:sz w:val="24"/>
                <w:szCs w:val="24"/>
                <w:lang w:bidi="ar"/>
              </w:rPr>
              <w:t>为</w:t>
            </w:r>
            <w:r>
              <w:rPr>
                <w:rFonts w:hint="eastAsia"/>
                <w:bCs/>
                <w:sz w:val="24"/>
                <w:szCs w:val="24"/>
                <w:lang w:bidi="ar"/>
              </w:rPr>
              <w:t>0.088</w:t>
            </w:r>
            <w:r>
              <w:rPr>
                <w:bCs/>
                <w:sz w:val="24"/>
                <w:szCs w:val="24"/>
                <w:lang w:bidi="ar"/>
              </w:rPr>
              <w:t>kg/h</w:t>
            </w:r>
            <w:r>
              <w:rPr>
                <w:rFonts w:hint="eastAsia"/>
                <w:bCs/>
                <w:sz w:val="24"/>
                <w:szCs w:val="24"/>
                <w:lang w:bidi="ar"/>
              </w:rPr>
              <w:t>。本项目拟在冷凝器末端设置不凝气收集管道，收集管道与冷凝器直接相连，不凝气收集效率为</w:t>
            </w:r>
            <w:r>
              <w:rPr>
                <w:bCs/>
                <w:sz w:val="24"/>
                <w:szCs w:val="24"/>
                <w:lang w:bidi="ar"/>
              </w:rPr>
              <w:t>100%</w:t>
            </w:r>
            <w:r>
              <w:rPr>
                <w:rFonts w:hint="eastAsia"/>
                <w:bCs/>
                <w:sz w:val="24"/>
                <w:szCs w:val="24"/>
                <w:lang w:bidi="ar"/>
              </w:rPr>
              <w:t>。</w:t>
            </w:r>
          </w:p>
          <w:p w14:paraId="6625C165">
            <w:pPr>
              <w:spacing w:line="360" w:lineRule="auto"/>
              <w:ind w:firstLine="480" w:firstLineChars="200"/>
              <w:rPr>
                <w:kern w:val="18"/>
                <w:sz w:val="24"/>
              </w:rPr>
            </w:pPr>
            <w:r>
              <w:rPr>
                <w:rFonts w:hint="eastAsia"/>
                <w:kern w:val="18"/>
                <w:sz w:val="24"/>
              </w:rPr>
              <w:t>不凝气收集风量参照《三废处理工程技术手册（废气卷）》表</w:t>
            </w:r>
            <w:r>
              <w:rPr>
                <w:kern w:val="18"/>
                <w:sz w:val="24"/>
              </w:rPr>
              <w:t>17-8</w:t>
            </w:r>
            <w:r>
              <w:rPr>
                <w:rFonts w:hint="eastAsia"/>
                <w:kern w:val="18"/>
                <w:sz w:val="24"/>
              </w:rPr>
              <w:t>中各种排气罩排气量计算公式表中的密闭罩计算公式：</w:t>
            </w:r>
          </w:p>
          <w:p w14:paraId="5179213F">
            <w:pPr>
              <w:spacing w:line="360" w:lineRule="auto"/>
              <w:jc w:val="center"/>
              <w:rPr>
                <w:kern w:val="18"/>
                <w:sz w:val="24"/>
              </w:rPr>
            </w:pPr>
            <w:r>
              <w:rPr>
                <w:kern w:val="18"/>
                <w:sz w:val="24"/>
              </w:rPr>
              <w:t>Q=F</w:t>
            </w:r>
            <w:r>
              <w:rPr>
                <w:bCs/>
                <w:sz w:val="24"/>
                <w:szCs w:val="24"/>
              </w:rPr>
              <w:t>×</w:t>
            </w:r>
            <w:r>
              <w:rPr>
                <w:kern w:val="18"/>
                <w:sz w:val="24"/>
              </w:rPr>
              <w:t>V</w:t>
            </w:r>
          </w:p>
          <w:p w14:paraId="2EFD5AC2">
            <w:pPr>
              <w:spacing w:line="360" w:lineRule="auto"/>
              <w:ind w:firstLine="480" w:firstLineChars="200"/>
              <w:rPr>
                <w:kern w:val="18"/>
                <w:sz w:val="24"/>
              </w:rPr>
            </w:pPr>
            <w:r>
              <w:rPr>
                <w:rFonts w:hint="eastAsia"/>
                <w:kern w:val="18"/>
                <w:sz w:val="24"/>
              </w:rPr>
              <w:t>式中：</w:t>
            </w:r>
            <w:r>
              <w:rPr>
                <w:kern w:val="18"/>
                <w:sz w:val="24"/>
              </w:rPr>
              <w:t>Q</w:t>
            </w:r>
            <w:r>
              <w:rPr>
                <w:rFonts w:hint="eastAsia"/>
                <w:kern w:val="18"/>
                <w:sz w:val="24"/>
              </w:rPr>
              <w:t>——风量，</w:t>
            </w:r>
            <w:r>
              <w:rPr>
                <w:kern w:val="18"/>
                <w:sz w:val="24"/>
              </w:rPr>
              <w:t>m</w:t>
            </w:r>
            <w:r>
              <w:rPr>
                <w:kern w:val="18"/>
                <w:sz w:val="24"/>
                <w:vertAlign w:val="superscript"/>
              </w:rPr>
              <w:t>3</w:t>
            </w:r>
            <w:r>
              <w:rPr>
                <w:kern w:val="18"/>
                <w:sz w:val="24"/>
              </w:rPr>
              <w:t>/s</w:t>
            </w:r>
            <w:r>
              <w:rPr>
                <w:rFonts w:hint="eastAsia"/>
                <w:kern w:val="18"/>
                <w:sz w:val="24"/>
              </w:rPr>
              <w:t>；</w:t>
            </w:r>
          </w:p>
          <w:p w14:paraId="48494024">
            <w:pPr>
              <w:spacing w:line="360" w:lineRule="auto"/>
              <w:ind w:firstLine="1200" w:firstLineChars="500"/>
              <w:rPr>
                <w:kern w:val="18"/>
                <w:sz w:val="24"/>
              </w:rPr>
            </w:pPr>
            <w:r>
              <w:rPr>
                <w:kern w:val="18"/>
                <w:sz w:val="24"/>
              </w:rPr>
              <w:t>F</w:t>
            </w:r>
            <w:r>
              <w:rPr>
                <w:rFonts w:hint="eastAsia"/>
                <w:kern w:val="18"/>
                <w:sz w:val="24"/>
              </w:rPr>
              <w:t>——排口截面积，m</w:t>
            </w:r>
            <w:r>
              <w:rPr>
                <w:rFonts w:hint="eastAsia"/>
                <w:kern w:val="18"/>
                <w:sz w:val="24"/>
                <w:vertAlign w:val="superscript"/>
              </w:rPr>
              <w:t>2</w:t>
            </w:r>
            <w:r>
              <w:rPr>
                <w:rFonts w:hint="eastAsia"/>
                <w:kern w:val="18"/>
                <w:sz w:val="24"/>
              </w:rPr>
              <w:t>；</w:t>
            </w:r>
          </w:p>
          <w:p w14:paraId="3D2E85BC">
            <w:pPr>
              <w:spacing w:line="360" w:lineRule="auto"/>
              <w:ind w:firstLine="1200" w:firstLineChars="500"/>
              <w:rPr>
                <w:kern w:val="18"/>
                <w:sz w:val="24"/>
              </w:rPr>
            </w:pPr>
            <w:r>
              <w:rPr>
                <w:kern w:val="18"/>
                <w:sz w:val="24"/>
              </w:rPr>
              <w:t>V</w:t>
            </w:r>
            <w:r>
              <w:rPr>
                <w:rFonts w:hint="eastAsia"/>
                <w:kern w:val="18"/>
                <w:sz w:val="24"/>
              </w:rPr>
              <w:t>——排口风速，参考该技术手册取值5m/s。</w:t>
            </w:r>
          </w:p>
          <w:p w14:paraId="6D90FE84">
            <w:pPr>
              <w:spacing w:line="360" w:lineRule="auto"/>
              <w:ind w:firstLine="480" w:firstLineChars="200"/>
              <w:rPr>
                <w:kern w:val="18"/>
                <w:sz w:val="24"/>
              </w:rPr>
            </w:pPr>
            <w:r>
              <w:rPr>
                <w:rFonts w:hint="eastAsia"/>
                <w:kern w:val="18"/>
                <w:sz w:val="24"/>
              </w:rPr>
              <w:t>不凝气收集管口直径为0.4m，则计算风量为3.14</w:t>
            </w:r>
            <w:r>
              <w:rPr>
                <w:bCs/>
                <w:sz w:val="24"/>
                <w:szCs w:val="24"/>
              </w:rPr>
              <w:t>×</w:t>
            </w:r>
            <w:r>
              <w:rPr>
                <w:rFonts w:hint="eastAsia"/>
                <w:bCs/>
                <w:sz w:val="24"/>
                <w:szCs w:val="24"/>
              </w:rPr>
              <w:t>0.2</w:t>
            </w:r>
            <w:r>
              <w:rPr>
                <w:rFonts w:hint="eastAsia"/>
                <w:bCs/>
                <w:sz w:val="24"/>
                <w:szCs w:val="24"/>
                <w:vertAlign w:val="superscript"/>
              </w:rPr>
              <w:t>2</w:t>
            </w:r>
            <w:r>
              <w:rPr>
                <w:bCs/>
                <w:sz w:val="24"/>
                <w:szCs w:val="24"/>
              </w:rPr>
              <w:t>×</w:t>
            </w:r>
            <w:r>
              <w:rPr>
                <w:rFonts w:hint="eastAsia"/>
                <w:bCs/>
                <w:sz w:val="24"/>
                <w:szCs w:val="24"/>
              </w:rPr>
              <w:t>5</w:t>
            </w:r>
            <w:r>
              <w:rPr>
                <w:bCs/>
                <w:sz w:val="24"/>
                <w:szCs w:val="24"/>
              </w:rPr>
              <w:t>×</w:t>
            </w:r>
            <w:r>
              <w:rPr>
                <w:rFonts w:hint="eastAsia"/>
                <w:bCs/>
                <w:sz w:val="24"/>
                <w:szCs w:val="24"/>
              </w:rPr>
              <w:t>3600=2260</w:t>
            </w:r>
            <w:r>
              <w:rPr>
                <w:kern w:val="18"/>
                <w:sz w:val="24"/>
              </w:rPr>
              <w:t xml:space="preserve"> m</w:t>
            </w:r>
            <w:r>
              <w:rPr>
                <w:kern w:val="18"/>
                <w:sz w:val="24"/>
                <w:vertAlign w:val="superscript"/>
              </w:rPr>
              <w:t>3</w:t>
            </w:r>
            <w:r>
              <w:rPr>
                <w:kern w:val="18"/>
                <w:sz w:val="24"/>
              </w:rPr>
              <w:t>/</w:t>
            </w:r>
            <w:r>
              <w:rPr>
                <w:rFonts w:hint="eastAsia"/>
                <w:kern w:val="18"/>
                <w:sz w:val="24"/>
              </w:rPr>
              <w:t>h，设计风量按上式计算结果的</w:t>
            </w:r>
            <w:r>
              <w:rPr>
                <w:kern w:val="18"/>
                <w:sz w:val="24"/>
              </w:rPr>
              <w:t>120%</w:t>
            </w:r>
            <w:r>
              <w:rPr>
                <w:rFonts w:hint="eastAsia"/>
                <w:kern w:val="18"/>
                <w:sz w:val="24"/>
              </w:rPr>
              <w:t>向上取整，则设计风量为2800</w:t>
            </w:r>
            <w:r>
              <w:rPr>
                <w:kern w:val="18"/>
                <w:sz w:val="24"/>
              </w:rPr>
              <w:t xml:space="preserve"> m</w:t>
            </w:r>
            <w:r>
              <w:rPr>
                <w:kern w:val="18"/>
                <w:sz w:val="24"/>
                <w:vertAlign w:val="superscript"/>
              </w:rPr>
              <w:t>3</w:t>
            </w:r>
            <w:r>
              <w:rPr>
                <w:kern w:val="18"/>
                <w:sz w:val="24"/>
              </w:rPr>
              <w:t>/</w:t>
            </w:r>
            <w:r>
              <w:rPr>
                <w:rFonts w:hint="eastAsia"/>
                <w:kern w:val="18"/>
                <w:sz w:val="24"/>
              </w:rPr>
              <w:t>h。</w:t>
            </w:r>
          </w:p>
          <w:p w14:paraId="39BF3511">
            <w:pPr>
              <w:adjustRightInd w:val="0"/>
              <w:snapToGrid w:val="0"/>
              <w:spacing w:line="360" w:lineRule="auto"/>
              <w:ind w:firstLine="480" w:firstLineChars="200"/>
              <w:rPr>
                <w:sz w:val="24"/>
                <w:szCs w:val="24"/>
              </w:rPr>
            </w:pPr>
            <w:r>
              <w:rPr>
                <w:rFonts w:hint="eastAsia"/>
                <w:bCs/>
                <w:sz w:val="24"/>
                <w:szCs w:val="24"/>
                <w:lang w:bidi="ar"/>
              </w:rPr>
              <w:t>收集后的</w:t>
            </w:r>
            <w:r>
              <w:rPr>
                <w:bCs/>
                <w:sz w:val="24"/>
                <w:szCs w:val="24"/>
                <w:lang w:bidi="ar"/>
              </w:rPr>
              <w:t>不凝气引入</w:t>
            </w:r>
            <w:r>
              <w:rPr>
                <w:rFonts w:hint="eastAsia"/>
                <w:bCs/>
                <w:kern w:val="18"/>
                <w:sz w:val="24"/>
              </w:rPr>
              <w:t>“二级活性炭吸附”</w:t>
            </w:r>
            <w:r>
              <w:rPr>
                <w:kern w:val="18"/>
                <w:sz w:val="24"/>
              </w:rPr>
              <w:t>设施处理</w:t>
            </w:r>
            <w:r>
              <w:rPr>
                <w:rFonts w:hint="eastAsia"/>
                <w:kern w:val="18"/>
                <w:sz w:val="24"/>
              </w:rPr>
              <w:t>后通过</w:t>
            </w:r>
            <w:r>
              <w:rPr>
                <w:kern w:val="18"/>
                <w:sz w:val="24"/>
              </w:rPr>
              <w:t>15m高的排气筒</w:t>
            </w:r>
            <w:r>
              <w:rPr>
                <w:rFonts w:hint="eastAsia"/>
                <w:kern w:val="18"/>
                <w:sz w:val="24"/>
              </w:rPr>
              <w:t>（DA003）达标</w:t>
            </w:r>
            <w:r>
              <w:rPr>
                <w:kern w:val="18"/>
                <w:sz w:val="24"/>
              </w:rPr>
              <w:t>排放</w:t>
            </w:r>
            <w:r>
              <w:rPr>
                <w:rFonts w:hint="eastAsia"/>
                <w:sz w:val="24"/>
                <w:szCs w:val="24"/>
              </w:rPr>
              <w:t>，非甲烷总烷去除效率</w:t>
            </w:r>
            <w:r>
              <w:rPr>
                <w:sz w:val="24"/>
                <w:szCs w:val="24"/>
              </w:rPr>
              <w:t>保守取</w:t>
            </w:r>
            <w:r>
              <w:rPr>
                <w:rFonts w:hint="eastAsia"/>
                <w:sz w:val="24"/>
                <w:szCs w:val="24"/>
              </w:rPr>
              <w:t>值为</w:t>
            </w:r>
            <w:r>
              <w:rPr>
                <w:sz w:val="24"/>
                <w:szCs w:val="24"/>
              </w:rPr>
              <w:t>8</w:t>
            </w:r>
            <w:r>
              <w:rPr>
                <w:rFonts w:hint="eastAsia"/>
                <w:sz w:val="24"/>
                <w:szCs w:val="24"/>
              </w:rPr>
              <w:t>0</w:t>
            </w:r>
            <w:r>
              <w:rPr>
                <w:sz w:val="24"/>
                <w:szCs w:val="24"/>
              </w:rPr>
              <w:t>%。</w:t>
            </w:r>
          </w:p>
          <w:bookmarkEnd w:id="22"/>
          <w:p w14:paraId="3A99A0E7">
            <w:pPr>
              <w:spacing w:line="360" w:lineRule="auto"/>
              <w:ind w:firstLine="482" w:firstLineChars="200"/>
              <w:rPr>
                <w:b/>
                <w:sz w:val="24"/>
                <w:szCs w:val="24"/>
              </w:rPr>
            </w:pPr>
            <w:bookmarkStart w:id="23" w:name="_Hlk209994776"/>
            <w:r>
              <w:rPr>
                <w:rFonts w:hint="eastAsia"/>
                <w:b/>
                <w:sz w:val="24"/>
                <w:szCs w:val="24"/>
              </w:rPr>
              <w:t>（4）溶剂油罐无组织排放废气</w:t>
            </w:r>
          </w:p>
          <w:p w14:paraId="34DE58E5">
            <w:pPr>
              <w:spacing w:line="360" w:lineRule="auto"/>
              <w:ind w:firstLine="480" w:firstLineChars="200"/>
              <w:rPr>
                <w:bCs/>
                <w:sz w:val="24"/>
                <w:szCs w:val="24"/>
              </w:rPr>
            </w:pPr>
            <w:r>
              <w:rPr>
                <w:rFonts w:hint="eastAsia"/>
                <w:bCs/>
                <w:sz w:val="24"/>
                <w:szCs w:val="24"/>
              </w:rPr>
              <w:t>本项目设1个50</w:t>
            </w:r>
            <w:r>
              <w:rPr>
                <w:kern w:val="18"/>
                <w:sz w:val="24"/>
              </w:rPr>
              <w:t>m</w:t>
            </w:r>
            <w:r>
              <w:rPr>
                <w:kern w:val="18"/>
                <w:sz w:val="24"/>
                <w:vertAlign w:val="superscript"/>
              </w:rPr>
              <w:t>3</w:t>
            </w:r>
            <w:r>
              <w:rPr>
                <w:rFonts w:hint="eastAsia"/>
                <w:bCs/>
                <w:sz w:val="24"/>
                <w:szCs w:val="24"/>
              </w:rPr>
              <w:t>溶剂油罐，油罐“大”、“小”呼吸会产生少量有机废气，以非甲烷计，废气挥发量参照储罐大小呼吸的计算公式进行计算。</w:t>
            </w:r>
          </w:p>
          <w:p w14:paraId="359E5885">
            <w:pPr>
              <w:spacing w:line="360" w:lineRule="auto"/>
              <w:ind w:firstLine="480" w:firstLineChars="200"/>
              <w:rPr>
                <w:kern w:val="0"/>
                <w:sz w:val="24"/>
                <w:szCs w:val="24"/>
                <w:lang w:bidi="en-US"/>
              </w:rPr>
            </w:pPr>
            <w:r>
              <w:rPr>
                <w:kern w:val="0"/>
                <w:sz w:val="24"/>
                <w:szCs w:val="24"/>
                <w:lang w:bidi="en-US"/>
              </w:rPr>
              <w:t>根据《石油库节能设计导则》（SH3002-2000），“大呼吸”损耗可用下式估算：</w:t>
            </w:r>
          </w:p>
          <w:p w14:paraId="16B6B97D">
            <w:pPr>
              <w:widowControl/>
              <w:autoSpaceDE w:val="0"/>
              <w:autoSpaceDN w:val="0"/>
              <w:snapToGrid w:val="0"/>
              <w:spacing w:line="360" w:lineRule="auto"/>
              <w:jc w:val="center"/>
              <w:rPr>
                <w:kern w:val="0"/>
                <w:sz w:val="24"/>
                <w:szCs w:val="24"/>
                <w:lang w:eastAsia="en-US" w:bidi="en-US"/>
              </w:rPr>
            </w:pPr>
            <w:r>
              <w:rPr>
                <w:kern w:val="0"/>
                <w:sz w:val="24"/>
                <w:szCs w:val="24"/>
                <w:lang w:eastAsia="en-US" w:bidi="en-US"/>
              </w:rPr>
              <w:t>Lw＝4.188×10</w:t>
            </w:r>
            <w:r>
              <w:rPr>
                <w:kern w:val="0"/>
                <w:sz w:val="24"/>
                <w:szCs w:val="24"/>
                <w:vertAlign w:val="superscript"/>
                <w:lang w:eastAsia="en-US" w:bidi="en-US"/>
              </w:rPr>
              <w:t>-7</w:t>
            </w:r>
            <w:r>
              <w:rPr>
                <w:kern w:val="0"/>
                <w:sz w:val="24"/>
                <w:szCs w:val="24"/>
                <w:lang w:eastAsia="en-US" w:bidi="en-US"/>
              </w:rPr>
              <w:t>×M×P×K</w:t>
            </w:r>
            <w:r>
              <w:rPr>
                <w:kern w:val="0"/>
                <w:sz w:val="24"/>
                <w:szCs w:val="24"/>
                <w:vertAlign w:val="subscript"/>
                <w:lang w:eastAsia="en-US" w:bidi="en-US"/>
              </w:rPr>
              <w:t>N</w:t>
            </w:r>
            <w:r>
              <w:rPr>
                <w:kern w:val="0"/>
                <w:sz w:val="24"/>
                <w:szCs w:val="24"/>
                <w:lang w:eastAsia="en-US" w:bidi="en-US"/>
              </w:rPr>
              <w:t>×K</w:t>
            </w:r>
            <w:r>
              <w:rPr>
                <w:kern w:val="0"/>
                <w:sz w:val="24"/>
                <w:szCs w:val="24"/>
                <w:vertAlign w:val="subscript"/>
                <w:lang w:eastAsia="en-US" w:bidi="en-US"/>
              </w:rPr>
              <w:t>C</w:t>
            </w:r>
          </w:p>
          <w:p w14:paraId="7AF6BBB6">
            <w:pPr>
              <w:widowControl/>
              <w:autoSpaceDE w:val="0"/>
              <w:autoSpaceDN w:val="0"/>
              <w:snapToGrid w:val="0"/>
              <w:spacing w:line="360" w:lineRule="auto"/>
              <w:ind w:firstLine="480" w:firstLineChars="200"/>
              <w:rPr>
                <w:kern w:val="0"/>
                <w:sz w:val="24"/>
                <w:szCs w:val="24"/>
                <w:lang w:bidi="en-US"/>
              </w:rPr>
            </w:pPr>
            <w:r>
              <w:rPr>
                <w:kern w:val="0"/>
                <w:sz w:val="24"/>
                <w:szCs w:val="24"/>
                <w:lang w:bidi="en-US"/>
              </w:rPr>
              <w:t>式中：</w:t>
            </w:r>
          </w:p>
          <w:p w14:paraId="668C2402">
            <w:pPr>
              <w:widowControl/>
              <w:autoSpaceDE w:val="0"/>
              <w:autoSpaceDN w:val="0"/>
              <w:snapToGrid w:val="0"/>
              <w:spacing w:line="360" w:lineRule="auto"/>
              <w:ind w:firstLine="480" w:firstLineChars="200"/>
              <w:rPr>
                <w:kern w:val="0"/>
                <w:sz w:val="24"/>
                <w:szCs w:val="24"/>
                <w:lang w:bidi="en-US"/>
              </w:rPr>
            </w:pPr>
            <w:r>
              <w:rPr>
                <w:kern w:val="0"/>
                <w:sz w:val="24"/>
                <w:szCs w:val="24"/>
                <w:lang w:bidi="en-US"/>
              </w:rPr>
              <w:t>Lw——储罐工作损失（kg/m</w:t>
            </w:r>
            <w:r>
              <w:rPr>
                <w:kern w:val="0"/>
                <w:sz w:val="24"/>
                <w:szCs w:val="24"/>
                <w:vertAlign w:val="superscript"/>
                <w:lang w:bidi="en-US"/>
              </w:rPr>
              <w:t>3</w:t>
            </w:r>
            <w:r>
              <w:rPr>
                <w:kern w:val="0"/>
                <w:sz w:val="24"/>
                <w:szCs w:val="24"/>
                <w:lang w:bidi="en-US"/>
              </w:rPr>
              <w:t>投入量）；</w:t>
            </w:r>
          </w:p>
          <w:p w14:paraId="294E5A56">
            <w:pPr>
              <w:widowControl/>
              <w:autoSpaceDE w:val="0"/>
              <w:autoSpaceDN w:val="0"/>
              <w:snapToGrid w:val="0"/>
              <w:spacing w:line="360" w:lineRule="auto"/>
              <w:ind w:firstLine="480" w:firstLineChars="200"/>
              <w:rPr>
                <w:kern w:val="0"/>
                <w:sz w:val="24"/>
                <w:szCs w:val="24"/>
                <w:lang w:bidi="en-US"/>
              </w:rPr>
            </w:pPr>
            <w:r>
              <w:rPr>
                <w:kern w:val="0"/>
                <w:sz w:val="24"/>
                <w:szCs w:val="24"/>
                <w:lang w:bidi="en-US"/>
              </w:rPr>
              <w:t>M——储罐内蒸气的分子量；</w:t>
            </w:r>
          </w:p>
          <w:p w14:paraId="3DEC6784">
            <w:pPr>
              <w:widowControl/>
              <w:autoSpaceDE w:val="0"/>
              <w:autoSpaceDN w:val="0"/>
              <w:snapToGrid w:val="0"/>
              <w:spacing w:line="360" w:lineRule="auto"/>
              <w:ind w:firstLine="480" w:firstLineChars="200"/>
              <w:rPr>
                <w:kern w:val="0"/>
                <w:sz w:val="24"/>
                <w:szCs w:val="24"/>
                <w:lang w:bidi="en-US"/>
              </w:rPr>
            </w:pPr>
            <w:r>
              <w:rPr>
                <w:kern w:val="0"/>
                <w:sz w:val="24"/>
                <w:szCs w:val="24"/>
                <w:lang w:bidi="en-US"/>
              </w:rPr>
              <w:t>P——在大量液体状态下，真实的蒸气压力（Pa）；</w:t>
            </w:r>
          </w:p>
          <w:p w14:paraId="314BF75D">
            <w:pPr>
              <w:widowControl/>
              <w:autoSpaceDE w:val="0"/>
              <w:autoSpaceDN w:val="0"/>
              <w:snapToGrid w:val="0"/>
              <w:spacing w:line="360" w:lineRule="auto"/>
              <w:ind w:firstLine="480" w:firstLineChars="200"/>
              <w:rPr>
                <w:kern w:val="0"/>
                <w:sz w:val="24"/>
                <w:szCs w:val="24"/>
                <w:lang w:bidi="en-US"/>
              </w:rPr>
            </w:pPr>
            <w:r>
              <w:rPr>
                <w:kern w:val="0"/>
                <w:sz w:val="24"/>
                <w:szCs w:val="24"/>
                <w:lang w:bidi="en-US"/>
              </w:rPr>
              <w:t>K</w:t>
            </w:r>
            <w:r>
              <w:rPr>
                <w:kern w:val="0"/>
                <w:sz w:val="24"/>
                <w:szCs w:val="24"/>
                <w:vertAlign w:val="subscript"/>
                <w:lang w:bidi="en-US"/>
              </w:rPr>
              <w:t>N</w:t>
            </w:r>
            <w:r>
              <w:rPr>
                <w:kern w:val="0"/>
                <w:sz w:val="24"/>
                <w:szCs w:val="24"/>
                <w:lang w:bidi="en-US"/>
              </w:rPr>
              <w:t>——周转因子（无量纲），取值按年周转次数（K）确定，K≤36，K</w:t>
            </w:r>
            <w:r>
              <w:rPr>
                <w:kern w:val="0"/>
                <w:sz w:val="24"/>
                <w:szCs w:val="24"/>
                <w:vertAlign w:val="subscript"/>
                <w:lang w:bidi="en-US"/>
              </w:rPr>
              <w:t>N</w:t>
            </w:r>
            <w:r>
              <w:rPr>
                <w:kern w:val="0"/>
                <w:sz w:val="24"/>
                <w:szCs w:val="24"/>
                <w:lang w:bidi="en-US"/>
              </w:rPr>
              <w:t>＝1；36&lt;K≤220，K</w:t>
            </w:r>
            <w:r>
              <w:rPr>
                <w:kern w:val="0"/>
                <w:sz w:val="24"/>
                <w:szCs w:val="24"/>
                <w:vertAlign w:val="subscript"/>
                <w:lang w:bidi="en-US"/>
              </w:rPr>
              <w:t>N</w:t>
            </w:r>
            <w:r>
              <w:rPr>
                <w:kern w:val="0"/>
                <w:sz w:val="24"/>
                <w:szCs w:val="24"/>
                <w:lang w:bidi="en-US"/>
              </w:rPr>
              <w:t>＝11.467×K</w:t>
            </w:r>
            <w:r>
              <w:rPr>
                <w:kern w:val="0"/>
                <w:sz w:val="24"/>
                <w:szCs w:val="24"/>
                <w:vertAlign w:val="superscript"/>
                <w:lang w:bidi="en-US"/>
              </w:rPr>
              <w:t>-0.7026</w:t>
            </w:r>
            <w:r>
              <w:rPr>
                <w:kern w:val="0"/>
                <w:sz w:val="24"/>
                <w:szCs w:val="24"/>
                <w:lang w:bidi="en-US"/>
              </w:rPr>
              <w:t>；K&gt;220，K</w:t>
            </w:r>
            <w:r>
              <w:rPr>
                <w:kern w:val="0"/>
                <w:sz w:val="24"/>
                <w:szCs w:val="24"/>
                <w:vertAlign w:val="subscript"/>
                <w:lang w:bidi="en-US"/>
              </w:rPr>
              <w:t>N</w:t>
            </w:r>
            <w:r>
              <w:rPr>
                <w:kern w:val="0"/>
                <w:sz w:val="24"/>
                <w:szCs w:val="24"/>
                <w:lang w:bidi="en-US"/>
              </w:rPr>
              <w:t>＝0.26；</w:t>
            </w:r>
          </w:p>
          <w:p w14:paraId="4A5D7E68">
            <w:pPr>
              <w:adjustRightInd w:val="0"/>
              <w:snapToGrid w:val="0"/>
              <w:spacing w:line="360" w:lineRule="auto"/>
              <w:ind w:firstLine="480" w:firstLineChars="200"/>
              <w:rPr>
                <w:sz w:val="24"/>
                <w:szCs w:val="24"/>
              </w:rPr>
            </w:pPr>
            <w:r>
              <w:rPr>
                <w:kern w:val="0"/>
                <w:sz w:val="24"/>
                <w:szCs w:val="24"/>
                <w:lang w:bidi="en-US"/>
              </w:rPr>
              <w:t>K</w:t>
            </w:r>
            <w:r>
              <w:rPr>
                <w:kern w:val="0"/>
                <w:sz w:val="24"/>
                <w:szCs w:val="24"/>
                <w:vertAlign w:val="subscript"/>
                <w:lang w:bidi="en-US"/>
              </w:rPr>
              <w:t>C</w:t>
            </w:r>
            <w:r>
              <w:rPr>
                <w:kern w:val="0"/>
                <w:sz w:val="24"/>
                <w:szCs w:val="24"/>
                <w:lang w:bidi="en-US"/>
              </w:rPr>
              <w:t>——产品因子（石油原油KC取0.65，其他的有机液体取1.0）。</w:t>
            </w:r>
          </w:p>
          <w:p w14:paraId="7FC72A87">
            <w:pPr>
              <w:adjustRightInd w:val="0"/>
              <w:snapToGrid w:val="0"/>
              <w:spacing w:line="360" w:lineRule="auto"/>
              <w:ind w:firstLine="480" w:firstLineChars="200"/>
              <w:rPr>
                <w:sz w:val="24"/>
                <w:szCs w:val="24"/>
              </w:rPr>
            </w:pPr>
            <w:r>
              <w:rPr>
                <w:rFonts w:hint="eastAsia"/>
                <w:sz w:val="24"/>
                <w:szCs w:val="24"/>
              </w:rPr>
              <w:t>小呼吸采用下式估算：</w:t>
            </w:r>
          </w:p>
          <w:p w14:paraId="16B77994">
            <w:pPr>
              <w:adjustRightInd w:val="0"/>
              <w:snapToGrid w:val="0"/>
              <w:spacing w:line="360" w:lineRule="auto"/>
              <w:jc w:val="center"/>
              <w:rPr>
                <w:sz w:val="24"/>
                <w:szCs w:val="24"/>
              </w:rPr>
            </w:pPr>
            <w:r>
              <w:rPr>
                <w:position w:val="-10"/>
                <w:sz w:val="24"/>
                <w:szCs w:val="24"/>
              </w:rPr>
              <w:object>
                <v:shape id="_x0000_i1025" o:spt="75" type="#_x0000_t75" style="height:14.6pt;width:8.65pt;" o:ole="t" filled="f" o:preferrelative="t" stroked="f" coordsize="21600,21600">
                  <v:path/>
                  <v:fill on="f" focussize="0,0"/>
                  <v:stroke on="f" joinstyle="miter"/>
                  <v:imagedata r:id="rId20" o:title=""/>
                  <o:lock v:ext="edit" aspectratio="t"/>
                  <w10:wrap type="none"/>
                  <w10:anchorlock/>
                </v:shape>
                <o:OLEObject Type="Embed" ProgID="Equation.3" ShapeID="_x0000_i1025" DrawAspect="Content" ObjectID="_1468075725" r:id="rId19">
                  <o:LockedField>false</o:LockedField>
                </o:OLEObject>
              </w:object>
            </w:r>
            <w:r>
              <w:rPr>
                <w:position w:val="-28"/>
                <w:sz w:val="24"/>
                <w:szCs w:val="24"/>
              </w:rPr>
              <w:object>
                <v:shape id="_x0000_i1026" o:spt="75" type="#_x0000_t75" style="height:32.8pt;width:226.55pt;" o:ole="t" filled="f" o:preferrelative="t" stroked="f" coordsize="21600,21600">
                  <v:path/>
                  <v:fill on="f" focussize="0,0"/>
                  <v:stroke on="f" joinstyle="miter"/>
                  <v:imagedata r:id="rId22" o:title=""/>
                  <o:lock v:ext="edit" aspectratio="t"/>
                  <w10:wrap type="none"/>
                  <w10:anchorlock/>
                </v:shape>
                <o:OLEObject Type="Embed" ProgID="Equation.3" ShapeID="_x0000_i1026" DrawAspect="Content" ObjectID="_1468075726" r:id="rId21">
                  <o:LockedField>false</o:LockedField>
                </o:OLEObject>
              </w:object>
            </w:r>
          </w:p>
          <w:p w14:paraId="17BFD20C">
            <w:pPr>
              <w:adjustRightInd w:val="0"/>
              <w:snapToGrid w:val="0"/>
              <w:spacing w:line="360" w:lineRule="auto"/>
              <w:ind w:firstLine="480" w:firstLineChars="200"/>
              <w:rPr>
                <w:sz w:val="24"/>
                <w:szCs w:val="24"/>
              </w:rPr>
            </w:pPr>
            <w:r>
              <w:rPr>
                <w:rFonts w:hint="eastAsia"/>
                <w:sz w:val="24"/>
                <w:szCs w:val="24"/>
              </w:rPr>
              <w:t>式中：</w:t>
            </w:r>
          </w:p>
          <w:p w14:paraId="34E9E170">
            <w:pPr>
              <w:adjustRightInd w:val="0"/>
              <w:snapToGrid w:val="0"/>
              <w:spacing w:line="360" w:lineRule="auto"/>
              <w:ind w:firstLine="480" w:firstLineChars="200"/>
              <w:rPr>
                <w:sz w:val="24"/>
                <w:szCs w:val="24"/>
              </w:rPr>
            </w:pPr>
            <w:r>
              <w:rPr>
                <w:sz w:val="24"/>
                <w:szCs w:val="24"/>
              </w:rPr>
              <w:t>L</w:t>
            </w:r>
            <w:r>
              <w:rPr>
                <w:sz w:val="24"/>
                <w:szCs w:val="24"/>
                <w:vertAlign w:val="subscript"/>
              </w:rPr>
              <w:t>y</w:t>
            </w:r>
            <w:r>
              <w:rPr>
                <w:kern w:val="0"/>
                <w:sz w:val="24"/>
                <w:szCs w:val="24"/>
                <w:lang w:bidi="en-US"/>
              </w:rPr>
              <w:t>——</w:t>
            </w:r>
            <w:r>
              <w:rPr>
                <w:rFonts w:hint="eastAsia"/>
                <w:sz w:val="24"/>
                <w:szCs w:val="24"/>
              </w:rPr>
              <w:t>储罐的年挥发量（</w:t>
            </w:r>
            <w:r>
              <w:rPr>
                <w:sz w:val="24"/>
                <w:szCs w:val="24"/>
              </w:rPr>
              <w:t>kg/a</w:t>
            </w:r>
            <w:r>
              <w:rPr>
                <w:rFonts w:hint="eastAsia"/>
                <w:sz w:val="24"/>
                <w:szCs w:val="24"/>
              </w:rPr>
              <w:t>）；</w:t>
            </w:r>
          </w:p>
          <w:p w14:paraId="0B7A5FAE">
            <w:pPr>
              <w:adjustRightInd w:val="0"/>
              <w:snapToGrid w:val="0"/>
              <w:spacing w:line="360" w:lineRule="auto"/>
              <w:ind w:firstLine="480" w:firstLineChars="200"/>
              <w:rPr>
                <w:sz w:val="24"/>
                <w:szCs w:val="24"/>
              </w:rPr>
            </w:pPr>
            <w:r>
              <w:rPr>
                <w:sz w:val="24"/>
                <w:szCs w:val="24"/>
              </w:rPr>
              <w:t>M</w:t>
            </w:r>
            <w:r>
              <w:rPr>
                <w:kern w:val="0"/>
                <w:sz w:val="24"/>
                <w:szCs w:val="24"/>
                <w:lang w:bidi="en-US"/>
              </w:rPr>
              <w:t>——</w:t>
            </w:r>
            <w:r>
              <w:rPr>
                <w:rFonts w:hint="eastAsia"/>
                <w:sz w:val="24"/>
                <w:szCs w:val="24"/>
              </w:rPr>
              <w:t>储罐内产品蒸气分子量；</w:t>
            </w:r>
          </w:p>
          <w:p w14:paraId="70B54F74">
            <w:pPr>
              <w:adjustRightInd w:val="0"/>
              <w:snapToGrid w:val="0"/>
              <w:spacing w:line="360" w:lineRule="auto"/>
              <w:ind w:firstLine="480" w:firstLineChars="200"/>
              <w:rPr>
                <w:sz w:val="24"/>
                <w:szCs w:val="24"/>
              </w:rPr>
            </w:pPr>
            <w:r>
              <w:rPr>
                <w:sz w:val="24"/>
                <w:szCs w:val="24"/>
              </w:rPr>
              <w:t>P</w:t>
            </w:r>
            <w:r>
              <w:rPr>
                <w:kern w:val="0"/>
                <w:sz w:val="24"/>
                <w:szCs w:val="24"/>
                <w:lang w:bidi="en-US"/>
              </w:rPr>
              <w:t>——</w:t>
            </w:r>
            <w:r>
              <w:rPr>
                <w:rFonts w:hint="eastAsia"/>
                <w:sz w:val="24"/>
                <w:szCs w:val="24"/>
              </w:rPr>
              <w:t>大量液体状态下，真实的蒸气压力（</w:t>
            </w:r>
            <w:r>
              <w:rPr>
                <w:sz w:val="24"/>
                <w:szCs w:val="24"/>
              </w:rPr>
              <w:t>Pa</w:t>
            </w:r>
            <w:r>
              <w:rPr>
                <w:rFonts w:hint="eastAsia"/>
                <w:sz w:val="24"/>
                <w:szCs w:val="24"/>
              </w:rPr>
              <w:t>）；</w:t>
            </w:r>
          </w:p>
          <w:p w14:paraId="76B60CA6">
            <w:pPr>
              <w:adjustRightInd w:val="0"/>
              <w:snapToGrid w:val="0"/>
              <w:spacing w:line="360" w:lineRule="auto"/>
              <w:ind w:firstLine="480" w:firstLineChars="200"/>
              <w:rPr>
                <w:sz w:val="24"/>
                <w:szCs w:val="24"/>
              </w:rPr>
            </w:pPr>
            <w:r>
              <w:rPr>
                <w:sz w:val="24"/>
                <w:szCs w:val="24"/>
              </w:rPr>
              <w:t>D</w:t>
            </w:r>
            <w:r>
              <w:rPr>
                <w:kern w:val="0"/>
                <w:sz w:val="24"/>
                <w:szCs w:val="24"/>
                <w:lang w:bidi="en-US"/>
              </w:rPr>
              <w:t>——</w:t>
            </w:r>
            <w:r>
              <w:rPr>
                <w:rFonts w:hint="eastAsia"/>
                <w:sz w:val="24"/>
                <w:szCs w:val="24"/>
              </w:rPr>
              <w:t>储罐直径（</w:t>
            </w:r>
            <w:r>
              <w:rPr>
                <w:sz w:val="24"/>
                <w:szCs w:val="24"/>
              </w:rPr>
              <w:t>m</w:t>
            </w:r>
            <w:r>
              <w:rPr>
                <w:rFonts w:hint="eastAsia"/>
                <w:sz w:val="24"/>
                <w:szCs w:val="24"/>
              </w:rPr>
              <w:t>）；</w:t>
            </w:r>
          </w:p>
          <w:p w14:paraId="411031B8">
            <w:pPr>
              <w:adjustRightInd w:val="0"/>
              <w:snapToGrid w:val="0"/>
              <w:spacing w:line="360" w:lineRule="auto"/>
              <w:ind w:firstLine="480" w:firstLineChars="200"/>
              <w:rPr>
                <w:sz w:val="24"/>
                <w:szCs w:val="24"/>
              </w:rPr>
            </w:pPr>
            <w:r>
              <w:rPr>
                <w:sz w:val="24"/>
                <w:szCs w:val="24"/>
              </w:rPr>
              <w:t>H</w:t>
            </w:r>
            <w:r>
              <w:rPr>
                <w:kern w:val="0"/>
                <w:sz w:val="24"/>
                <w:szCs w:val="24"/>
                <w:lang w:bidi="en-US"/>
              </w:rPr>
              <w:t>——</w:t>
            </w:r>
            <w:r>
              <w:rPr>
                <w:rFonts w:hint="eastAsia"/>
                <w:sz w:val="24"/>
                <w:szCs w:val="24"/>
              </w:rPr>
              <w:t>平均蒸气空间高度（或罐高度）；</w:t>
            </w:r>
          </w:p>
          <w:p w14:paraId="25502B99">
            <w:pPr>
              <w:adjustRightInd w:val="0"/>
              <w:snapToGrid w:val="0"/>
              <w:spacing w:line="360" w:lineRule="auto"/>
              <w:ind w:firstLine="480" w:firstLineChars="200"/>
              <w:rPr>
                <w:sz w:val="24"/>
                <w:szCs w:val="24"/>
              </w:rPr>
            </w:pPr>
            <w:r>
              <w:rPr>
                <w:sz w:val="24"/>
                <w:szCs w:val="24"/>
              </w:rPr>
              <w:t>T</w:t>
            </w:r>
            <w:r>
              <w:rPr>
                <w:kern w:val="0"/>
                <w:sz w:val="24"/>
                <w:szCs w:val="24"/>
                <w:lang w:bidi="en-US"/>
              </w:rPr>
              <w:t>——</w:t>
            </w:r>
            <w:r>
              <w:rPr>
                <w:rFonts w:hint="eastAsia"/>
                <w:sz w:val="24"/>
                <w:szCs w:val="24"/>
              </w:rPr>
              <w:t>每日大气温度变化的年平均值；</w:t>
            </w:r>
          </w:p>
          <w:p w14:paraId="0FA55890">
            <w:pPr>
              <w:adjustRightInd w:val="0"/>
              <w:snapToGrid w:val="0"/>
              <w:spacing w:line="360" w:lineRule="auto"/>
              <w:ind w:firstLine="480" w:firstLineChars="200"/>
              <w:rPr>
                <w:sz w:val="24"/>
                <w:szCs w:val="24"/>
              </w:rPr>
            </w:pPr>
            <w:r>
              <w:rPr>
                <w:sz w:val="24"/>
                <w:szCs w:val="24"/>
              </w:rPr>
              <w:t>F</w:t>
            </w:r>
            <w:r>
              <w:rPr>
                <w:sz w:val="24"/>
                <w:szCs w:val="24"/>
                <w:vertAlign w:val="subscript"/>
              </w:rPr>
              <w:t>p</w:t>
            </w:r>
            <w:r>
              <w:rPr>
                <w:kern w:val="0"/>
                <w:sz w:val="24"/>
                <w:szCs w:val="24"/>
                <w:lang w:bidi="en-US"/>
              </w:rPr>
              <w:t>——</w:t>
            </w:r>
            <w:r>
              <w:rPr>
                <w:rFonts w:hint="eastAsia"/>
                <w:sz w:val="24"/>
                <w:szCs w:val="24"/>
              </w:rPr>
              <w:t>涂层系数（</w:t>
            </w:r>
            <w:r>
              <w:rPr>
                <w:sz w:val="24"/>
                <w:szCs w:val="24"/>
              </w:rPr>
              <w:t>1</w:t>
            </w:r>
            <w:r>
              <w:rPr>
                <w:rFonts w:hint="eastAsia"/>
                <w:sz w:val="24"/>
                <w:szCs w:val="24"/>
              </w:rPr>
              <w:t>～</w:t>
            </w:r>
            <w:r>
              <w:rPr>
                <w:sz w:val="24"/>
                <w:szCs w:val="24"/>
              </w:rPr>
              <w:t>1.5</w:t>
            </w:r>
            <w:r>
              <w:rPr>
                <w:rFonts w:hint="eastAsia"/>
                <w:sz w:val="24"/>
                <w:szCs w:val="24"/>
              </w:rPr>
              <w:t>，铅漆</w:t>
            </w:r>
            <w:r>
              <w:rPr>
                <w:sz w:val="24"/>
                <w:szCs w:val="24"/>
              </w:rPr>
              <w:t>1.39</w:t>
            </w:r>
            <w:r>
              <w:rPr>
                <w:rFonts w:hint="eastAsia"/>
                <w:sz w:val="24"/>
                <w:szCs w:val="24"/>
              </w:rPr>
              <w:t>，白漆</w:t>
            </w:r>
            <w:r>
              <w:rPr>
                <w:sz w:val="24"/>
                <w:szCs w:val="24"/>
              </w:rPr>
              <w:t>1.02</w:t>
            </w:r>
            <w:r>
              <w:rPr>
                <w:rFonts w:hint="eastAsia"/>
                <w:sz w:val="24"/>
                <w:szCs w:val="24"/>
              </w:rPr>
              <w:t>）；</w:t>
            </w:r>
          </w:p>
          <w:p w14:paraId="554346D5">
            <w:pPr>
              <w:adjustRightInd w:val="0"/>
              <w:snapToGrid w:val="0"/>
              <w:spacing w:line="360" w:lineRule="auto"/>
              <w:ind w:firstLine="480" w:firstLineChars="200"/>
              <w:rPr>
                <w:sz w:val="24"/>
                <w:szCs w:val="24"/>
              </w:rPr>
            </w:pPr>
            <w:r>
              <w:rPr>
                <w:sz w:val="24"/>
                <w:szCs w:val="24"/>
              </w:rPr>
              <w:t>C</w:t>
            </w:r>
            <w:r>
              <w:rPr>
                <w:rFonts w:hint="eastAsia"/>
                <w:sz w:val="24"/>
                <w:szCs w:val="24"/>
              </w:rPr>
              <w:t>－用于小直径罐的调节因子（直径在</w:t>
            </w:r>
            <w:r>
              <w:rPr>
                <w:sz w:val="24"/>
                <w:szCs w:val="24"/>
              </w:rPr>
              <w:t>0</w:t>
            </w:r>
            <w:r>
              <w:rPr>
                <w:rFonts w:hint="eastAsia"/>
                <w:sz w:val="24"/>
                <w:szCs w:val="24"/>
              </w:rPr>
              <w:t>～</w:t>
            </w:r>
            <w:r>
              <w:rPr>
                <w:sz w:val="24"/>
                <w:szCs w:val="24"/>
              </w:rPr>
              <w:t>9m</w:t>
            </w:r>
            <w:r>
              <w:rPr>
                <w:rFonts w:hint="eastAsia"/>
                <w:sz w:val="24"/>
                <w:szCs w:val="24"/>
              </w:rPr>
              <w:t>间，</w:t>
            </w:r>
            <w:r>
              <w:rPr>
                <w:sz w:val="24"/>
                <w:szCs w:val="24"/>
              </w:rPr>
              <w:t>C</w:t>
            </w:r>
            <w:r>
              <w:rPr>
                <w:rFonts w:hint="eastAsia"/>
                <w:sz w:val="24"/>
                <w:szCs w:val="24"/>
              </w:rPr>
              <w:t>＝</w:t>
            </w:r>
            <w:r>
              <w:rPr>
                <w:sz w:val="24"/>
                <w:szCs w:val="24"/>
              </w:rPr>
              <w:t>1-0.0123×(D-9)</w:t>
            </w:r>
            <w:r>
              <w:rPr>
                <w:sz w:val="24"/>
                <w:szCs w:val="24"/>
                <w:vertAlign w:val="superscript"/>
              </w:rPr>
              <w:t>2</w:t>
            </w:r>
            <w:r>
              <w:rPr>
                <w:rFonts w:hint="eastAsia"/>
                <w:sz w:val="24"/>
                <w:szCs w:val="24"/>
              </w:rPr>
              <w:t>；罐径大于</w:t>
            </w:r>
            <w:r>
              <w:rPr>
                <w:sz w:val="24"/>
                <w:szCs w:val="24"/>
              </w:rPr>
              <w:t>9</w:t>
            </w:r>
            <w:r>
              <w:rPr>
                <w:rFonts w:hint="eastAsia"/>
                <w:sz w:val="24"/>
                <w:szCs w:val="24"/>
              </w:rPr>
              <w:t>，</w:t>
            </w:r>
            <w:r>
              <w:rPr>
                <w:sz w:val="24"/>
                <w:szCs w:val="24"/>
              </w:rPr>
              <w:t>C</w:t>
            </w:r>
            <w:r>
              <w:rPr>
                <w:rFonts w:hint="eastAsia"/>
                <w:sz w:val="24"/>
                <w:szCs w:val="24"/>
              </w:rPr>
              <w:t>为</w:t>
            </w:r>
            <w:r>
              <w:rPr>
                <w:sz w:val="24"/>
                <w:szCs w:val="24"/>
              </w:rPr>
              <w:t>1</w:t>
            </w:r>
            <w:r>
              <w:rPr>
                <w:rFonts w:hint="eastAsia"/>
                <w:sz w:val="24"/>
                <w:szCs w:val="24"/>
              </w:rPr>
              <w:t>）；</w:t>
            </w:r>
          </w:p>
          <w:p w14:paraId="11012DE7">
            <w:pPr>
              <w:adjustRightInd w:val="0"/>
              <w:snapToGrid w:val="0"/>
              <w:spacing w:line="360" w:lineRule="auto"/>
              <w:ind w:firstLine="480" w:firstLineChars="200"/>
              <w:rPr>
                <w:sz w:val="24"/>
                <w:szCs w:val="24"/>
              </w:rPr>
            </w:pPr>
            <w:r>
              <w:rPr>
                <w:sz w:val="24"/>
                <w:szCs w:val="24"/>
              </w:rPr>
              <w:t>K</w:t>
            </w:r>
            <w:r>
              <w:rPr>
                <w:sz w:val="24"/>
                <w:szCs w:val="24"/>
                <w:vertAlign w:val="subscript"/>
              </w:rPr>
              <w:t>c</w:t>
            </w:r>
            <w:r>
              <w:rPr>
                <w:rFonts w:hint="eastAsia"/>
                <w:sz w:val="24"/>
                <w:szCs w:val="24"/>
              </w:rPr>
              <w:t>－产品因子（石油</w:t>
            </w:r>
            <w:r>
              <w:rPr>
                <w:sz w:val="24"/>
                <w:szCs w:val="24"/>
              </w:rPr>
              <w:t>0.65</w:t>
            </w:r>
            <w:r>
              <w:rPr>
                <w:rFonts w:hint="eastAsia"/>
                <w:sz w:val="24"/>
                <w:szCs w:val="24"/>
              </w:rPr>
              <w:t>，其他有机液体</w:t>
            </w:r>
            <w:r>
              <w:rPr>
                <w:sz w:val="24"/>
                <w:szCs w:val="24"/>
              </w:rPr>
              <w:t>1.0</w:t>
            </w:r>
            <w:r>
              <w:rPr>
                <w:rFonts w:hint="eastAsia"/>
                <w:sz w:val="24"/>
                <w:szCs w:val="24"/>
              </w:rPr>
              <w:t>）。</w:t>
            </w:r>
          </w:p>
          <w:p w14:paraId="754AA632">
            <w:pPr>
              <w:adjustRightInd w:val="0"/>
              <w:snapToGrid w:val="0"/>
              <w:spacing w:line="360" w:lineRule="auto"/>
              <w:ind w:firstLine="480" w:firstLineChars="200"/>
              <w:rPr>
                <w:rFonts w:cs="宋体"/>
                <w:kern w:val="0"/>
                <w:sz w:val="24"/>
                <w:szCs w:val="24"/>
              </w:rPr>
            </w:pPr>
            <w:r>
              <w:rPr>
                <w:rFonts w:hint="eastAsia" w:cs="宋体"/>
                <w:kern w:val="0"/>
                <w:sz w:val="24"/>
                <w:szCs w:val="24"/>
              </w:rPr>
              <w:t>溶液的分子量按正己烷</w:t>
            </w:r>
            <w:r>
              <w:rPr>
                <w:rFonts w:cs="宋体"/>
                <w:kern w:val="0"/>
                <w:sz w:val="24"/>
                <w:szCs w:val="24"/>
              </w:rPr>
              <w:t>分子量</w:t>
            </w:r>
            <w:r>
              <w:rPr>
                <w:rFonts w:hint="eastAsia" w:cs="宋体"/>
                <w:kern w:val="0"/>
                <w:sz w:val="24"/>
                <w:szCs w:val="24"/>
              </w:rPr>
              <w:t>86</w:t>
            </w:r>
            <w:r>
              <w:rPr>
                <w:rFonts w:cs="宋体"/>
                <w:kern w:val="0"/>
                <w:sz w:val="24"/>
                <w:szCs w:val="24"/>
              </w:rPr>
              <w:t>计</w:t>
            </w:r>
            <w:r>
              <w:rPr>
                <w:rFonts w:hint="eastAsia"/>
                <w:sz w:val="24"/>
              </w:rPr>
              <w:t>，</w:t>
            </w:r>
            <w:r>
              <w:rPr>
                <w:rFonts w:hint="eastAsia" w:cs="宋体"/>
                <w:kern w:val="0"/>
                <w:sz w:val="24"/>
                <w:szCs w:val="24"/>
              </w:rPr>
              <w:t>参考</w:t>
            </w:r>
            <w:r>
              <w:rPr>
                <w:sz w:val="24"/>
              </w:rPr>
              <w:t xml:space="preserve">《化学化工物性数据手册 </w:t>
            </w:r>
            <w:r>
              <w:rPr>
                <w:rFonts w:hint="eastAsia"/>
                <w:sz w:val="24"/>
              </w:rPr>
              <w:t>有</w:t>
            </w:r>
            <w:r>
              <w:rPr>
                <w:sz w:val="24"/>
              </w:rPr>
              <w:t>机卷》，常温</w:t>
            </w:r>
            <w:r>
              <w:rPr>
                <w:rFonts w:hint="eastAsia"/>
                <w:sz w:val="24"/>
              </w:rPr>
              <w:t>下</w:t>
            </w:r>
            <w:r>
              <w:rPr>
                <w:sz w:val="24"/>
              </w:rPr>
              <w:t>正己</w:t>
            </w:r>
            <w:r>
              <w:rPr>
                <w:rFonts w:hint="eastAsia"/>
                <w:sz w:val="24"/>
              </w:rPr>
              <w:t>烷</w:t>
            </w:r>
            <w:r>
              <w:rPr>
                <w:sz w:val="24"/>
              </w:rPr>
              <w:t>的蒸汽压力</w:t>
            </w:r>
            <w:r>
              <w:rPr>
                <w:rFonts w:hint="eastAsia"/>
                <w:sz w:val="24"/>
              </w:rPr>
              <w:t>取0.475kP</w:t>
            </w:r>
            <w:r>
              <w:rPr>
                <w:sz w:val="24"/>
              </w:rPr>
              <w:t>a</w:t>
            </w:r>
            <w:r>
              <w:rPr>
                <w:rFonts w:hint="eastAsia" w:cs="宋体"/>
                <w:kern w:val="0"/>
                <w:sz w:val="24"/>
                <w:szCs w:val="24"/>
              </w:rPr>
              <w:t>。</w:t>
            </w:r>
          </w:p>
          <w:p w14:paraId="4BD6BD9B">
            <w:pPr>
              <w:autoSpaceDE w:val="0"/>
              <w:autoSpaceDN w:val="0"/>
              <w:adjustRightInd w:val="0"/>
              <w:spacing w:line="360" w:lineRule="auto"/>
              <w:ind w:firstLine="480" w:firstLineChars="200"/>
              <w:rPr>
                <w:rFonts w:cs="宋体"/>
                <w:kern w:val="0"/>
                <w:sz w:val="24"/>
                <w:szCs w:val="24"/>
              </w:rPr>
            </w:pPr>
            <w:r>
              <w:rPr>
                <w:rFonts w:hint="eastAsia" w:cs="宋体"/>
                <w:kern w:val="0"/>
                <w:sz w:val="24"/>
                <w:szCs w:val="24"/>
              </w:rPr>
              <w:t>根据上述公式和参数，计算溶剂油罐大小呼吸的污染物产生情况，计算过程及结果见表4-6</w:t>
            </w:r>
            <w:r>
              <w:rPr>
                <w:rFonts w:cs="宋体"/>
                <w:kern w:val="0"/>
                <w:sz w:val="24"/>
                <w:szCs w:val="24"/>
              </w:rPr>
              <w:t>~</w:t>
            </w:r>
            <w:r>
              <w:rPr>
                <w:rFonts w:hint="eastAsia" w:cs="宋体"/>
                <w:kern w:val="0"/>
                <w:sz w:val="24"/>
                <w:szCs w:val="24"/>
              </w:rPr>
              <w:t>表4-7。</w:t>
            </w:r>
          </w:p>
          <w:p w14:paraId="0834BD73">
            <w:pPr>
              <w:pStyle w:val="12"/>
              <w:spacing w:line="360" w:lineRule="auto"/>
              <w:ind w:left="0" w:leftChars="0" w:firstLine="0" w:firstLineChars="0"/>
              <w:jc w:val="center"/>
              <w:rPr>
                <w:b/>
              </w:rPr>
            </w:pPr>
            <w:bookmarkStart w:id="24" w:name="_Ref123668637"/>
            <w:r>
              <w:rPr>
                <w:rFonts w:hint="eastAsia"/>
                <w:b/>
              </w:rPr>
              <w:t>表</w:t>
            </w:r>
            <w:bookmarkEnd w:id="24"/>
            <w:r>
              <w:rPr>
                <w:rFonts w:hint="eastAsia"/>
                <w:b/>
              </w:rPr>
              <w:t>4-6</w:t>
            </w:r>
            <w:r>
              <w:rPr>
                <w:b/>
              </w:rPr>
              <w:t xml:space="preserve"> </w:t>
            </w:r>
            <w:r>
              <w:rPr>
                <w:rFonts w:hint="eastAsia"/>
                <w:b/>
              </w:rPr>
              <w:t>溶剂油大呼吸污染物产生量污染物计算表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09"/>
              <w:gridCol w:w="1096"/>
              <w:gridCol w:w="1028"/>
              <w:gridCol w:w="971"/>
              <w:gridCol w:w="524"/>
              <w:gridCol w:w="905"/>
              <w:gridCol w:w="572"/>
              <w:gridCol w:w="572"/>
              <w:gridCol w:w="1001"/>
              <w:gridCol w:w="876"/>
            </w:tblGrid>
            <w:tr w14:paraId="6AF2C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590" w:type="pct"/>
                  <w:vAlign w:val="center"/>
                </w:tcPr>
                <w:p w14:paraId="0D5EC2FD">
                  <w:pPr>
                    <w:widowControl/>
                    <w:jc w:val="center"/>
                    <w:rPr>
                      <w:rFonts w:cs="宋体"/>
                      <w:kern w:val="0"/>
                    </w:rPr>
                  </w:pPr>
                  <w:r>
                    <w:rPr>
                      <w:rFonts w:hint="eastAsia" w:cs="宋体"/>
                      <w:kern w:val="0"/>
                    </w:rPr>
                    <w:t>主要产污环节</w:t>
                  </w:r>
                </w:p>
              </w:tc>
              <w:tc>
                <w:tcPr>
                  <w:tcW w:w="641" w:type="pct"/>
                  <w:vAlign w:val="center"/>
                </w:tcPr>
                <w:p w14:paraId="076B251A">
                  <w:pPr>
                    <w:widowControl/>
                    <w:jc w:val="center"/>
                    <w:rPr>
                      <w:rFonts w:cs="宋体"/>
                      <w:kern w:val="0"/>
                    </w:rPr>
                  </w:pPr>
                  <w:r>
                    <w:rPr>
                      <w:rFonts w:hint="eastAsia" w:cs="宋体"/>
                      <w:kern w:val="0"/>
                    </w:rPr>
                    <w:t>污染物</w:t>
                  </w:r>
                </w:p>
              </w:tc>
              <w:tc>
                <w:tcPr>
                  <w:tcW w:w="601" w:type="pct"/>
                  <w:vAlign w:val="center"/>
                </w:tcPr>
                <w:p w14:paraId="347B0AF9">
                  <w:pPr>
                    <w:widowControl/>
                    <w:jc w:val="center"/>
                    <w:rPr>
                      <w:rFonts w:cs="宋体"/>
                      <w:kern w:val="0"/>
                    </w:rPr>
                  </w:pPr>
                  <w:r>
                    <w:rPr>
                      <w:rFonts w:hint="eastAsia" w:cs="宋体"/>
                      <w:kern w:val="0"/>
                    </w:rPr>
                    <w:t>贮罐数量（个）</w:t>
                  </w:r>
                </w:p>
              </w:tc>
              <w:tc>
                <w:tcPr>
                  <w:tcW w:w="568" w:type="pct"/>
                  <w:vAlign w:val="center"/>
                </w:tcPr>
                <w:p w14:paraId="6F60B298">
                  <w:pPr>
                    <w:widowControl/>
                    <w:jc w:val="center"/>
                    <w:rPr>
                      <w:rFonts w:cs="宋体"/>
                      <w:kern w:val="0"/>
                    </w:rPr>
                  </w:pPr>
                  <w:r>
                    <w:rPr>
                      <w:rFonts w:hint="eastAsia" w:cs="宋体"/>
                      <w:kern w:val="0"/>
                    </w:rPr>
                    <w:t>物料用量（t/a）</w:t>
                  </w:r>
                </w:p>
              </w:tc>
              <w:tc>
                <w:tcPr>
                  <w:tcW w:w="306" w:type="pct"/>
                  <w:vAlign w:val="center"/>
                </w:tcPr>
                <w:p w14:paraId="6BB05DA3">
                  <w:pPr>
                    <w:widowControl/>
                    <w:jc w:val="center"/>
                    <w:rPr>
                      <w:rFonts w:cs="宋体"/>
                      <w:kern w:val="0"/>
                    </w:rPr>
                  </w:pPr>
                  <w:r>
                    <w:rPr>
                      <w:rFonts w:hint="eastAsia" w:cs="宋体"/>
                      <w:kern w:val="0"/>
                    </w:rPr>
                    <w:t>M</w:t>
                  </w:r>
                </w:p>
              </w:tc>
              <w:tc>
                <w:tcPr>
                  <w:tcW w:w="529" w:type="pct"/>
                  <w:vAlign w:val="center"/>
                </w:tcPr>
                <w:p w14:paraId="6805301F">
                  <w:pPr>
                    <w:widowControl/>
                    <w:jc w:val="center"/>
                    <w:rPr>
                      <w:kern w:val="0"/>
                      <w:szCs w:val="18"/>
                    </w:rPr>
                  </w:pPr>
                  <w:r>
                    <w:rPr>
                      <w:kern w:val="0"/>
                      <w:szCs w:val="18"/>
                    </w:rPr>
                    <w:t>P</w:t>
                  </w:r>
                  <w:r>
                    <w:rPr>
                      <w:rFonts w:hint="eastAsia"/>
                      <w:kern w:val="0"/>
                      <w:szCs w:val="18"/>
                    </w:rPr>
                    <w:t>（</w:t>
                  </w:r>
                  <w:r>
                    <w:rPr>
                      <w:kern w:val="0"/>
                      <w:szCs w:val="18"/>
                    </w:rPr>
                    <w:t>Pa</w:t>
                  </w:r>
                  <w:r>
                    <w:rPr>
                      <w:rFonts w:hint="eastAsia"/>
                      <w:kern w:val="0"/>
                      <w:szCs w:val="18"/>
                    </w:rPr>
                    <w:t>）</w:t>
                  </w:r>
                </w:p>
              </w:tc>
              <w:tc>
                <w:tcPr>
                  <w:tcW w:w="334" w:type="pct"/>
                  <w:vAlign w:val="center"/>
                </w:tcPr>
                <w:p w14:paraId="2A14037C">
                  <w:pPr>
                    <w:widowControl/>
                    <w:jc w:val="center"/>
                    <w:rPr>
                      <w:kern w:val="0"/>
                      <w:szCs w:val="18"/>
                    </w:rPr>
                  </w:pPr>
                  <w:r>
                    <w:rPr>
                      <w:kern w:val="0"/>
                      <w:szCs w:val="18"/>
                    </w:rPr>
                    <w:t>K</w:t>
                  </w:r>
                  <w:r>
                    <w:rPr>
                      <w:kern w:val="0"/>
                      <w:szCs w:val="16"/>
                      <w:vertAlign w:val="subscript"/>
                    </w:rPr>
                    <w:t>N</w:t>
                  </w:r>
                </w:p>
              </w:tc>
              <w:tc>
                <w:tcPr>
                  <w:tcW w:w="334" w:type="pct"/>
                  <w:vAlign w:val="center"/>
                </w:tcPr>
                <w:p w14:paraId="5CD666F0">
                  <w:pPr>
                    <w:widowControl/>
                    <w:jc w:val="center"/>
                    <w:rPr>
                      <w:kern w:val="0"/>
                      <w:szCs w:val="18"/>
                    </w:rPr>
                  </w:pPr>
                  <w:r>
                    <w:rPr>
                      <w:kern w:val="0"/>
                      <w:szCs w:val="18"/>
                    </w:rPr>
                    <w:t>K</w:t>
                  </w:r>
                  <w:r>
                    <w:rPr>
                      <w:kern w:val="0"/>
                      <w:szCs w:val="16"/>
                      <w:vertAlign w:val="subscript"/>
                    </w:rPr>
                    <w:t>C</w:t>
                  </w:r>
                </w:p>
              </w:tc>
              <w:tc>
                <w:tcPr>
                  <w:tcW w:w="585" w:type="pct"/>
                  <w:vAlign w:val="center"/>
                </w:tcPr>
                <w:p w14:paraId="2837FC8D">
                  <w:pPr>
                    <w:widowControl/>
                    <w:jc w:val="center"/>
                    <w:rPr>
                      <w:kern w:val="0"/>
                      <w:szCs w:val="18"/>
                    </w:rPr>
                  </w:pPr>
                  <w:r>
                    <w:rPr>
                      <w:kern w:val="0"/>
                      <w:szCs w:val="18"/>
                    </w:rPr>
                    <w:t>L</w:t>
                  </w:r>
                  <w:r>
                    <w:rPr>
                      <w:kern w:val="0"/>
                      <w:szCs w:val="18"/>
                      <w:vertAlign w:val="subscript"/>
                    </w:rPr>
                    <w:t>W</w:t>
                  </w:r>
                  <w:r>
                    <w:rPr>
                      <w:kern w:val="0"/>
                      <w:szCs w:val="18"/>
                    </w:rPr>
                    <w:t>(kg/m</w:t>
                  </w:r>
                  <w:r>
                    <w:rPr>
                      <w:kern w:val="0"/>
                      <w:szCs w:val="18"/>
                      <w:vertAlign w:val="superscript"/>
                    </w:rPr>
                    <w:t>3</w:t>
                  </w:r>
                  <w:r>
                    <w:rPr>
                      <w:rFonts w:hint="eastAsia"/>
                      <w:kern w:val="0"/>
                      <w:szCs w:val="18"/>
                    </w:rPr>
                    <w:t>投入量</w:t>
                  </w:r>
                  <w:r>
                    <w:rPr>
                      <w:kern w:val="0"/>
                      <w:szCs w:val="18"/>
                    </w:rPr>
                    <w:t>)</w:t>
                  </w:r>
                </w:p>
              </w:tc>
              <w:tc>
                <w:tcPr>
                  <w:tcW w:w="512" w:type="pct"/>
                  <w:vAlign w:val="center"/>
                </w:tcPr>
                <w:p w14:paraId="06E06E44">
                  <w:pPr>
                    <w:widowControl/>
                    <w:jc w:val="center"/>
                    <w:rPr>
                      <w:rFonts w:cs="宋体"/>
                      <w:kern w:val="0"/>
                    </w:rPr>
                  </w:pPr>
                  <w:r>
                    <w:rPr>
                      <w:rFonts w:hint="eastAsia" w:cs="宋体"/>
                      <w:kern w:val="0"/>
                    </w:rPr>
                    <w:t>产生量（kg/a）</w:t>
                  </w:r>
                </w:p>
              </w:tc>
            </w:tr>
            <w:tr w14:paraId="3B093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590" w:type="pct"/>
                  <w:vAlign w:val="center"/>
                </w:tcPr>
                <w:p w14:paraId="7FBA7EA0">
                  <w:pPr>
                    <w:widowControl/>
                    <w:jc w:val="center"/>
                    <w:rPr>
                      <w:rFonts w:cs="宋体"/>
                      <w:kern w:val="0"/>
                    </w:rPr>
                  </w:pPr>
                  <w:r>
                    <w:rPr>
                      <w:rFonts w:hint="eastAsia" w:cs="宋体"/>
                      <w:kern w:val="0"/>
                    </w:rPr>
                    <w:t>溶剂油罐</w:t>
                  </w:r>
                </w:p>
              </w:tc>
              <w:tc>
                <w:tcPr>
                  <w:tcW w:w="641" w:type="pct"/>
                  <w:vAlign w:val="center"/>
                </w:tcPr>
                <w:p w14:paraId="3098ABF3">
                  <w:pPr>
                    <w:widowControl/>
                    <w:jc w:val="center"/>
                    <w:rPr>
                      <w:rFonts w:cs="Calibri"/>
                      <w:kern w:val="0"/>
                    </w:rPr>
                  </w:pPr>
                  <w:r>
                    <w:rPr>
                      <w:rFonts w:hint="eastAsia" w:cs="Calibri"/>
                      <w:kern w:val="0"/>
                    </w:rPr>
                    <w:t>非甲烷总烃</w:t>
                  </w:r>
                </w:p>
              </w:tc>
              <w:tc>
                <w:tcPr>
                  <w:tcW w:w="601" w:type="pct"/>
                  <w:vAlign w:val="center"/>
                </w:tcPr>
                <w:p w14:paraId="6C094B70">
                  <w:pPr>
                    <w:widowControl/>
                    <w:jc w:val="center"/>
                    <w:rPr>
                      <w:rFonts w:cs="宋体"/>
                      <w:kern w:val="0"/>
                    </w:rPr>
                  </w:pPr>
                  <w:r>
                    <w:rPr>
                      <w:rFonts w:hint="eastAsia" w:cs="宋体"/>
                      <w:kern w:val="0"/>
                    </w:rPr>
                    <w:t>1</w:t>
                  </w:r>
                </w:p>
              </w:tc>
              <w:tc>
                <w:tcPr>
                  <w:tcW w:w="568" w:type="pct"/>
                  <w:vAlign w:val="center"/>
                </w:tcPr>
                <w:p w14:paraId="3B9FF070">
                  <w:pPr>
                    <w:widowControl/>
                    <w:jc w:val="center"/>
                    <w:rPr>
                      <w:rFonts w:cs="宋体"/>
                      <w:kern w:val="0"/>
                    </w:rPr>
                  </w:pPr>
                  <w:r>
                    <w:rPr>
                      <w:rFonts w:hint="eastAsia" w:cs="宋体"/>
                      <w:kern w:val="0"/>
                    </w:rPr>
                    <w:t>50</w:t>
                  </w:r>
                </w:p>
              </w:tc>
              <w:tc>
                <w:tcPr>
                  <w:tcW w:w="306" w:type="pct"/>
                  <w:vAlign w:val="center"/>
                </w:tcPr>
                <w:p w14:paraId="01D7D022">
                  <w:pPr>
                    <w:widowControl/>
                    <w:jc w:val="center"/>
                    <w:rPr>
                      <w:rFonts w:cs="宋体"/>
                      <w:kern w:val="0"/>
                    </w:rPr>
                  </w:pPr>
                  <w:r>
                    <w:rPr>
                      <w:rFonts w:hint="eastAsia" w:cs="宋体"/>
                      <w:kern w:val="0"/>
                    </w:rPr>
                    <w:t>86</w:t>
                  </w:r>
                </w:p>
              </w:tc>
              <w:tc>
                <w:tcPr>
                  <w:tcW w:w="529" w:type="pct"/>
                  <w:vAlign w:val="center"/>
                </w:tcPr>
                <w:p w14:paraId="4F585ADA">
                  <w:pPr>
                    <w:widowControl/>
                    <w:jc w:val="center"/>
                    <w:rPr>
                      <w:kern w:val="0"/>
                      <w:szCs w:val="18"/>
                    </w:rPr>
                  </w:pPr>
                  <w:r>
                    <w:rPr>
                      <w:rFonts w:hint="eastAsia"/>
                      <w:kern w:val="0"/>
                      <w:szCs w:val="18"/>
                    </w:rPr>
                    <w:t>475</w:t>
                  </w:r>
                </w:p>
              </w:tc>
              <w:tc>
                <w:tcPr>
                  <w:tcW w:w="334" w:type="pct"/>
                  <w:vAlign w:val="center"/>
                </w:tcPr>
                <w:p w14:paraId="0BA24760">
                  <w:pPr>
                    <w:widowControl/>
                    <w:jc w:val="center"/>
                    <w:rPr>
                      <w:kern w:val="0"/>
                      <w:szCs w:val="18"/>
                    </w:rPr>
                  </w:pPr>
                  <w:r>
                    <w:rPr>
                      <w:kern w:val="0"/>
                      <w:szCs w:val="18"/>
                    </w:rPr>
                    <w:t>1</w:t>
                  </w:r>
                </w:p>
              </w:tc>
              <w:tc>
                <w:tcPr>
                  <w:tcW w:w="334" w:type="pct"/>
                  <w:vAlign w:val="center"/>
                </w:tcPr>
                <w:p w14:paraId="6B98E0C0">
                  <w:pPr>
                    <w:widowControl/>
                    <w:jc w:val="center"/>
                    <w:rPr>
                      <w:kern w:val="0"/>
                      <w:szCs w:val="18"/>
                    </w:rPr>
                  </w:pPr>
                  <w:r>
                    <w:rPr>
                      <w:kern w:val="0"/>
                      <w:szCs w:val="18"/>
                    </w:rPr>
                    <w:t>1</w:t>
                  </w:r>
                </w:p>
              </w:tc>
              <w:tc>
                <w:tcPr>
                  <w:tcW w:w="585" w:type="pct"/>
                  <w:vAlign w:val="center"/>
                </w:tcPr>
                <w:p w14:paraId="62F30C66">
                  <w:pPr>
                    <w:widowControl/>
                    <w:jc w:val="center"/>
                    <w:rPr>
                      <w:kern w:val="0"/>
                      <w:szCs w:val="18"/>
                    </w:rPr>
                  </w:pPr>
                  <w:r>
                    <w:rPr>
                      <w:kern w:val="0"/>
                      <w:szCs w:val="18"/>
                    </w:rPr>
                    <w:t>0.01</w:t>
                  </w:r>
                  <w:r>
                    <w:rPr>
                      <w:rFonts w:hint="eastAsia"/>
                      <w:kern w:val="0"/>
                      <w:szCs w:val="18"/>
                    </w:rPr>
                    <w:t>7</w:t>
                  </w:r>
                  <w:r>
                    <w:rPr>
                      <w:kern w:val="0"/>
                      <w:szCs w:val="18"/>
                    </w:rPr>
                    <w:t xml:space="preserve"> </w:t>
                  </w:r>
                </w:p>
              </w:tc>
              <w:tc>
                <w:tcPr>
                  <w:tcW w:w="512" w:type="pct"/>
                  <w:vAlign w:val="center"/>
                </w:tcPr>
                <w:p w14:paraId="212F9F91">
                  <w:pPr>
                    <w:widowControl/>
                    <w:jc w:val="center"/>
                    <w:rPr>
                      <w:rFonts w:cs="宋体"/>
                      <w:kern w:val="0"/>
                    </w:rPr>
                  </w:pPr>
                  <w:r>
                    <w:rPr>
                      <w:rFonts w:hint="eastAsia" w:cs="宋体"/>
                      <w:kern w:val="0"/>
                    </w:rPr>
                    <w:t xml:space="preserve">0.86 </w:t>
                  </w:r>
                </w:p>
              </w:tc>
            </w:tr>
          </w:tbl>
          <w:p w14:paraId="23F209DB">
            <w:pPr>
              <w:pStyle w:val="12"/>
              <w:spacing w:before="120" w:beforeLines="50" w:line="360" w:lineRule="auto"/>
              <w:ind w:left="0" w:leftChars="0" w:firstLine="0" w:firstLineChars="0"/>
              <w:jc w:val="center"/>
              <w:rPr>
                <w:b/>
              </w:rPr>
            </w:pPr>
            <w:r>
              <w:rPr>
                <w:rFonts w:hint="eastAsia"/>
                <w:b/>
              </w:rPr>
              <w:t>表4-7 溶剂油小呼吸污染物产生量污染物计算表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9"/>
              <w:gridCol w:w="1296"/>
              <w:gridCol w:w="691"/>
              <w:gridCol w:w="691"/>
              <w:gridCol w:w="692"/>
              <w:gridCol w:w="692"/>
              <w:gridCol w:w="692"/>
              <w:gridCol w:w="692"/>
              <w:gridCol w:w="692"/>
              <w:gridCol w:w="501"/>
              <w:gridCol w:w="878"/>
            </w:tblGrid>
            <w:tr w14:paraId="187EA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608" w:type="pct"/>
                  <w:vAlign w:val="center"/>
                </w:tcPr>
                <w:p w14:paraId="1770D13B">
                  <w:pPr>
                    <w:widowControl/>
                    <w:jc w:val="center"/>
                    <w:rPr>
                      <w:rFonts w:cs="宋体"/>
                      <w:kern w:val="0"/>
                    </w:rPr>
                  </w:pPr>
                  <w:r>
                    <w:rPr>
                      <w:rFonts w:hint="eastAsia" w:cs="宋体"/>
                      <w:kern w:val="0"/>
                    </w:rPr>
                    <w:t>主要产污环节</w:t>
                  </w:r>
                </w:p>
              </w:tc>
              <w:tc>
                <w:tcPr>
                  <w:tcW w:w="758" w:type="pct"/>
                  <w:vAlign w:val="center"/>
                </w:tcPr>
                <w:p w14:paraId="5E178086">
                  <w:pPr>
                    <w:widowControl/>
                    <w:jc w:val="center"/>
                    <w:rPr>
                      <w:rFonts w:cs="宋体"/>
                      <w:kern w:val="0"/>
                    </w:rPr>
                  </w:pPr>
                  <w:r>
                    <w:rPr>
                      <w:rFonts w:hint="eastAsia" w:cs="宋体"/>
                      <w:kern w:val="0"/>
                    </w:rPr>
                    <w:t>污染物</w:t>
                  </w:r>
                </w:p>
              </w:tc>
              <w:tc>
                <w:tcPr>
                  <w:tcW w:w="404" w:type="pct"/>
                  <w:vAlign w:val="center"/>
                </w:tcPr>
                <w:p w14:paraId="46AA8872">
                  <w:pPr>
                    <w:widowControl/>
                    <w:jc w:val="center"/>
                    <w:rPr>
                      <w:rFonts w:cs="宋体"/>
                      <w:kern w:val="0"/>
                    </w:rPr>
                  </w:pPr>
                  <w:r>
                    <w:rPr>
                      <w:rFonts w:hint="eastAsia" w:cs="宋体"/>
                      <w:kern w:val="0"/>
                    </w:rPr>
                    <w:t>M</w:t>
                  </w:r>
                </w:p>
              </w:tc>
              <w:tc>
                <w:tcPr>
                  <w:tcW w:w="404" w:type="pct"/>
                  <w:vAlign w:val="center"/>
                </w:tcPr>
                <w:p w14:paraId="1741493F">
                  <w:pPr>
                    <w:widowControl/>
                    <w:jc w:val="center"/>
                    <w:rPr>
                      <w:rFonts w:cs="宋体"/>
                      <w:kern w:val="0"/>
                    </w:rPr>
                  </w:pPr>
                  <w:r>
                    <w:rPr>
                      <w:rFonts w:hint="eastAsia" w:cs="宋体"/>
                      <w:kern w:val="0"/>
                    </w:rPr>
                    <w:t>P(Pa)</w:t>
                  </w:r>
                </w:p>
              </w:tc>
              <w:tc>
                <w:tcPr>
                  <w:tcW w:w="404" w:type="pct"/>
                  <w:vAlign w:val="center"/>
                </w:tcPr>
                <w:p w14:paraId="3EA3A278">
                  <w:pPr>
                    <w:widowControl/>
                    <w:jc w:val="center"/>
                    <w:rPr>
                      <w:rFonts w:cs="宋体"/>
                      <w:kern w:val="0"/>
                    </w:rPr>
                  </w:pPr>
                  <w:r>
                    <w:rPr>
                      <w:rFonts w:hint="eastAsia" w:cs="宋体"/>
                      <w:kern w:val="0"/>
                    </w:rPr>
                    <w:t>D(m)</w:t>
                  </w:r>
                </w:p>
              </w:tc>
              <w:tc>
                <w:tcPr>
                  <w:tcW w:w="404" w:type="pct"/>
                  <w:vAlign w:val="center"/>
                </w:tcPr>
                <w:p w14:paraId="269CB25B">
                  <w:pPr>
                    <w:widowControl/>
                    <w:jc w:val="center"/>
                    <w:rPr>
                      <w:rFonts w:cs="宋体"/>
                      <w:kern w:val="0"/>
                    </w:rPr>
                  </w:pPr>
                  <w:r>
                    <w:rPr>
                      <w:rFonts w:hint="eastAsia" w:cs="宋体"/>
                      <w:kern w:val="0"/>
                    </w:rPr>
                    <w:t>H(m)</w:t>
                  </w:r>
                </w:p>
              </w:tc>
              <w:tc>
                <w:tcPr>
                  <w:tcW w:w="404" w:type="pct"/>
                  <w:vAlign w:val="center"/>
                </w:tcPr>
                <w:p w14:paraId="647321F3">
                  <w:pPr>
                    <w:widowControl/>
                    <w:jc w:val="center"/>
                    <w:rPr>
                      <w:rFonts w:cs="宋体"/>
                      <w:kern w:val="0"/>
                    </w:rPr>
                  </w:pPr>
                  <w:r>
                    <w:rPr>
                      <w:rFonts w:hint="eastAsia" w:cs="宋体"/>
                      <w:kern w:val="0"/>
                    </w:rPr>
                    <w:t>T(℃)</w:t>
                  </w:r>
                </w:p>
              </w:tc>
              <w:tc>
                <w:tcPr>
                  <w:tcW w:w="404" w:type="pct"/>
                  <w:vAlign w:val="center"/>
                </w:tcPr>
                <w:p w14:paraId="2FEA5FC3">
                  <w:pPr>
                    <w:widowControl/>
                    <w:jc w:val="center"/>
                    <w:rPr>
                      <w:rFonts w:cs="宋体"/>
                      <w:kern w:val="0"/>
                    </w:rPr>
                  </w:pPr>
                  <w:r>
                    <w:rPr>
                      <w:rFonts w:hint="eastAsia" w:cs="宋体"/>
                      <w:kern w:val="0"/>
                    </w:rPr>
                    <w:t>F</w:t>
                  </w:r>
                  <w:r>
                    <w:rPr>
                      <w:rFonts w:hint="eastAsia" w:cs="宋体"/>
                      <w:kern w:val="0"/>
                      <w:vertAlign w:val="subscript"/>
                    </w:rPr>
                    <w:t>p</w:t>
                  </w:r>
                </w:p>
              </w:tc>
              <w:tc>
                <w:tcPr>
                  <w:tcW w:w="404" w:type="pct"/>
                  <w:vAlign w:val="center"/>
                </w:tcPr>
                <w:p w14:paraId="4D6898AD">
                  <w:pPr>
                    <w:widowControl/>
                    <w:jc w:val="center"/>
                    <w:rPr>
                      <w:rFonts w:cs="宋体"/>
                      <w:kern w:val="0"/>
                    </w:rPr>
                  </w:pPr>
                  <w:r>
                    <w:rPr>
                      <w:rFonts w:hint="eastAsia" w:cs="宋体"/>
                      <w:kern w:val="0"/>
                    </w:rPr>
                    <w:t>C</w:t>
                  </w:r>
                </w:p>
              </w:tc>
              <w:tc>
                <w:tcPr>
                  <w:tcW w:w="293" w:type="pct"/>
                  <w:vAlign w:val="center"/>
                </w:tcPr>
                <w:p w14:paraId="40B600B6">
                  <w:pPr>
                    <w:widowControl/>
                    <w:jc w:val="center"/>
                    <w:rPr>
                      <w:rFonts w:cs="宋体"/>
                      <w:kern w:val="0"/>
                    </w:rPr>
                  </w:pPr>
                  <w:r>
                    <w:rPr>
                      <w:rFonts w:hint="eastAsia" w:cs="宋体"/>
                      <w:kern w:val="0"/>
                    </w:rPr>
                    <w:t>K</w:t>
                  </w:r>
                  <w:r>
                    <w:rPr>
                      <w:rFonts w:hint="eastAsia" w:cs="宋体"/>
                      <w:kern w:val="0"/>
                      <w:vertAlign w:val="subscript"/>
                    </w:rPr>
                    <w:t>c</w:t>
                  </w:r>
                </w:p>
              </w:tc>
              <w:tc>
                <w:tcPr>
                  <w:tcW w:w="515" w:type="pct"/>
                  <w:vAlign w:val="center"/>
                </w:tcPr>
                <w:p w14:paraId="2146141F">
                  <w:pPr>
                    <w:widowControl/>
                    <w:jc w:val="center"/>
                    <w:rPr>
                      <w:rFonts w:cs="宋体"/>
                      <w:kern w:val="0"/>
                    </w:rPr>
                  </w:pPr>
                  <w:r>
                    <w:rPr>
                      <w:rFonts w:hint="eastAsia" w:cs="宋体"/>
                      <w:kern w:val="0"/>
                    </w:rPr>
                    <w:t>L</w:t>
                  </w:r>
                  <w:r>
                    <w:rPr>
                      <w:rFonts w:hint="eastAsia" w:cs="宋体"/>
                      <w:kern w:val="0"/>
                      <w:vertAlign w:val="subscript"/>
                    </w:rPr>
                    <w:t>y</w:t>
                  </w:r>
                  <w:r>
                    <w:rPr>
                      <w:rFonts w:hint="eastAsia" w:cs="宋体"/>
                      <w:kern w:val="0"/>
                    </w:rPr>
                    <w:t>(kg/a)</w:t>
                  </w:r>
                </w:p>
              </w:tc>
            </w:tr>
            <w:tr w14:paraId="18069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608" w:type="pct"/>
                  <w:vAlign w:val="center"/>
                </w:tcPr>
                <w:p w14:paraId="4CD12A83">
                  <w:pPr>
                    <w:widowControl/>
                    <w:jc w:val="center"/>
                    <w:rPr>
                      <w:rFonts w:cs="宋体"/>
                      <w:kern w:val="0"/>
                    </w:rPr>
                  </w:pPr>
                  <w:r>
                    <w:rPr>
                      <w:rFonts w:hint="eastAsia" w:cs="宋体"/>
                      <w:kern w:val="0"/>
                    </w:rPr>
                    <w:t>溶剂油罐</w:t>
                  </w:r>
                </w:p>
              </w:tc>
              <w:tc>
                <w:tcPr>
                  <w:tcW w:w="758" w:type="pct"/>
                  <w:vAlign w:val="center"/>
                </w:tcPr>
                <w:p w14:paraId="0F58C35A">
                  <w:pPr>
                    <w:widowControl/>
                    <w:jc w:val="center"/>
                    <w:rPr>
                      <w:rFonts w:cs="Calibri"/>
                      <w:kern w:val="0"/>
                    </w:rPr>
                  </w:pPr>
                  <w:r>
                    <w:rPr>
                      <w:rFonts w:hint="eastAsia" w:cs="Calibri"/>
                      <w:kern w:val="0"/>
                    </w:rPr>
                    <w:t>非甲烷总烃</w:t>
                  </w:r>
                </w:p>
              </w:tc>
              <w:tc>
                <w:tcPr>
                  <w:tcW w:w="404" w:type="pct"/>
                  <w:vAlign w:val="center"/>
                </w:tcPr>
                <w:p w14:paraId="5B4B0C6A">
                  <w:pPr>
                    <w:widowControl/>
                    <w:jc w:val="center"/>
                    <w:rPr>
                      <w:rFonts w:cs="宋体"/>
                      <w:kern w:val="0"/>
                    </w:rPr>
                  </w:pPr>
                  <w:r>
                    <w:rPr>
                      <w:rFonts w:hint="eastAsia"/>
                      <w:szCs w:val="22"/>
                    </w:rPr>
                    <w:t>86</w:t>
                  </w:r>
                </w:p>
              </w:tc>
              <w:tc>
                <w:tcPr>
                  <w:tcW w:w="404" w:type="pct"/>
                  <w:vAlign w:val="center"/>
                </w:tcPr>
                <w:p w14:paraId="69282B9A">
                  <w:pPr>
                    <w:widowControl/>
                    <w:jc w:val="center"/>
                    <w:rPr>
                      <w:kern w:val="0"/>
                      <w:szCs w:val="18"/>
                    </w:rPr>
                  </w:pPr>
                  <w:r>
                    <w:rPr>
                      <w:rFonts w:hint="eastAsia"/>
                      <w:szCs w:val="22"/>
                    </w:rPr>
                    <w:t>475</w:t>
                  </w:r>
                </w:p>
              </w:tc>
              <w:tc>
                <w:tcPr>
                  <w:tcW w:w="404" w:type="pct"/>
                  <w:vAlign w:val="center"/>
                </w:tcPr>
                <w:p w14:paraId="451D9EC4">
                  <w:pPr>
                    <w:widowControl/>
                    <w:jc w:val="center"/>
                    <w:rPr>
                      <w:rFonts w:cs="宋体"/>
                      <w:kern w:val="0"/>
                    </w:rPr>
                  </w:pPr>
                  <w:r>
                    <w:rPr>
                      <w:rFonts w:hint="eastAsia"/>
                      <w:szCs w:val="22"/>
                    </w:rPr>
                    <w:t>3</w:t>
                  </w:r>
                </w:p>
              </w:tc>
              <w:tc>
                <w:tcPr>
                  <w:tcW w:w="404" w:type="pct"/>
                  <w:vAlign w:val="center"/>
                </w:tcPr>
                <w:p w14:paraId="1C60ADA8">
                  <w:pPr>
                    <w:widowControl/>
                    <w:jc w:val="center"/>
                    <w:rPr>
                      <w:rFonts w:cs="宋体"/>
                      <w:kern w:val="0"/>
                    </w:rPr>
                  </w:pPr>
                  <w:r>
                    <w:rPr>
                      <w:rFonts w:hint="eastAsia"/>
                      <w:szCs w:val="22"/>
                    </w:rPr>
                    <w:t>7.5</w:t>
                  </w:r>
                </w:p>
              </w:tc>
              <w:tc>
                <w:tcPr>
                  <w:tcW w:w="404" w:type="pct"/>
                  <w:vAlign w:val="center"/>
                </w:tcPr>
                <w:p w14:paraId="43F2C173">
                  <w:pPr>
                    <w:widowControl/>
                    <w:jc w:val="center"/>
                    <w:rPr>
                      <w:rFonts w:cs="宋体"/>
                      <w:kern w:val="0"/>
                    </w:rPr>
                  </w:pPr>
                  <w:r>
                    <w:rPr>
                      <w:rFonts w:hint="eastAsia"/>
                      <w:szCs w:val="22"/>
                    </w:rPr>
                    <w:t>13.6</w:t>
                  </w:r>
                </w:p>
              </w:tc>
              <w:tc>
                <w:tcPr>
                  <w:tcW w:w="404" w:type="pct"/>
                  <w:vAlign w:val="center"/>
                </w:tcPr>
                <w:p w14:paraId="52F43430">
                  <w:pPr>
                    <w:widowControl/>
                    <w:jc w:val="center"/>
                    <w:rPr>
                      <w:rFonts w:cs="宋体"/>
                      <w:kern w:val="0"/>
                    </w:rPr>
                  </w:pPr>
                  <w:r>
                    <w:rPr>
                      <w:rFonts w:hint="eastAsia"/>
                      <w:szCs w:val="22"/>
                    </w:rPr>
                    <w:t>1</w:t>
                  </w:r>
                </w:p>
              </w:tc>
              <w:tc>
                <w:tcPr>
                  <w:tcW w:w="404" w:type="pct"/>
                  <w:vAlign w:val="center"/>
                </w:tcPr>
                <w:p w14:paraId="7D83065A">
                  <w:pPr>
                    <w:widowControl/>
                    <w:jc w:val="center"/>
                    <w:rPr>
                      <w:rFonts w:cs="宋体"/>
                      <w:kern w:val="0"/>
                    </w:rPr>
                  </w:pPr>
                  <w:r>
                    <w:rPr>
                      <w:rFonts w:hint="eastAsia"/>
                      <w:szCs w:val="22"/>
                    </w:rPr>
                    <w:t xml:space="preserve">0.56 </w:t>
                  </w:r>
                </w:p>
              </w:tc>
              <w:tc>
                <w:tcPr>
                  <w:tcW w:w="293" w:type="pct"/>
                  <w:vAlign w:val="center"/>
                </w:tcPr>
                <w:p w14:paraId="2697A0A2">
                  <w:pPr>
                    <w:widowControl/>
                    <w:jc w:val="center"/>
                    <w:rPr>
                      <w:rFonts w:cs="宋体"/>
                      <w:kern w:val="0"/>
                    </w:rPr>
                  </w:pPr>
                  <w:r>
                    <w:rPr>
                      <w:rFonts w:hint="eastAsia"/>
                      <w:szCs w:val="22"/>
                    </w:rPr>
                    <w:t>1</w:t>
                  </w:r>
                </w:p>
              </w:tc>
              <w:tc>
                <w:tcPr>
                  <w:tcW w:w="515" w:type="pct"/>
                  <w:vAlign w:val="center"/>
                </w:tcPr>
                <w:p w14:paraId="21FA3D19">
                  <w:pPr>
                    <w:widowControl/>
                    <w:jc w:val="center"/>
                    <w:rPr>
                      <w:rFonts w:cs="宋体"/>
                      <w:kern w:val="0"/>
                    </w:rPr>
                  </w:pPr>
                  <w:r>
                    <w:rPr>
                      <w:rFonts w:hint="eastAsia"/>
                      <w:szCs w:val="22"/>
                    </w:rPr>
                    <w:t xml:space="preserve">14.53 </w:t>
                  </w:r>
                </w:p>
              </w:tc>
            </w:tr>
            <w:bookmarkEnd w:id="23"/>
          </w:tbl>
          <w:p w14:paraId="383A48E7">
            <w:pPr>
              <w:adjustRightInd w:val="0"/>
              <w:snapToGrid w:val="0"/>
              <w:spacing w:before="120" w:beforeLines="50" w:line="360" w:lineRule="auto"/>
              <w:ind w:firstLine="482" w:firstLineChars="200"/>
              <w:rPr>
                <w:b/>
                <w:bCs/>
                <w:sz w:val="24"/>
                <w:szCs w:val="24"/>
              </w:rPr>
            </w:pPr>
            <w:r>
              <w:rPr>
                <w:rFonts w:hint="eastAsia"/>
                <w:b/>
                <w:bCs/>
                <w:sz w:val="24"/>
                <w:szCs w:val="24"/>
              </w:rPr>
              <w:t>（5）非正常工况分析</w:t>
            </w:r>
          </w:p>
          <w:p w14:paraId="51F65C0C">
            <w:pPr>
              <w:pStyle w:val="13"/>
              <w:spacing w:line="360" w:lineRule="auto"/>
              <w:ind w:firstLine="480" w:firstLineChars="200"/>
              <w:rPr>
                <w:sz w:val="24"/>
                <w:szCs w:val="24"/>
              </w:rPr>
            </w:pPr>
            <w:r>
              <w:rPr>
                <w:rFonts w:hint="eastAsia"/>
                <w:sz w:val="24"/>
                <w:szCs w:val="24"/>
              </w:rPr>
              <w:t>非正常排放是指生产过程中开停车（工、炉）、设备检修、工艺设备运转异常等非正常工况下的污染物排放，以及污染物排放控制措施达不到应有效率等情况下的排放。项目废气非正常工况排放按废气处理装置故障时，废气治理效率下降至20%，但废气收集系统可以正常运行，废气通过排气筒排放等情况来考虑。废气处理设施出现故障不能正常运行时，应立即停产进行维修，避免对周围环境造成污染。废气非正常工况源强见表4-8。</w:t>
            </w:r>
          </w:p>
          <w:p w14:paraId="6F2D1998">
            <w:pPr>
              <w:pStyle w:val="12"/>
              <w:spacing w:line="360" w:lineRule="auto"/>
              <w:ind w:left="0" w:leftChars="0" w:firstLine="0" w:firstLineChars="0"/>
              <w:jc w:val="center"/>
              <w:rPr>
                <w:b/>
              </w:rPr>
            </w:pPr>
            <w:r>
              <w:rPr>
                <w:rFonts w:hint="eastAsia"/>
                <w:b/>
              </w:rPr>
              <w:t>表4-8 废气非正常工况排放源强</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074"/>
              <w:gridCol w:w="923"/>
              <w:gridCol w:w="1271"/>
              <w:gridCol w:w="1154"/>
              <w:gridCol w:w="864"/>
              <w:gridCol w:w="1009"/>
              <w:gridCol w:w="1314"/>
            </w:tblGrid>
            <w:tr w14:paraId="4C504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vAlign w:val="center"/>
                </w:tcPr>
                <w:p w14:paraId="2B5E170D">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污染源</w:t>
                  </w:r>
                </w:p>
              </w:tc>
              <w:tc>
                <w:tcPr>
                  <w:tcW w:w="628" w:type="pct"/>
                  <w:vAlign w:val="center"/>
                </w:tcPr>
                <w:p w14:paraId="53A720E4">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污</w:t>
                  </w:r>
                  <w:r>
                    <w:rPr>
                      <w:rFonts w:ascii="Times New Roman" w:hAnsi="Times New Roman"/>
                      <w:b w:val="0"/>
                      <w:color w:val="auto"/>
                      <w:sz w:val="21"/>
                    </w:rPr>
                    <w:t>染物</w:t>
                  </w:r>
                </w:p>
              </w:tc>
              <w:tc>
                <w:tcPr>
                  <w:tcW w:w="539" w:type="pct"/>
                  <w:vAlign w:val="center"/>
                </w:tcPr>
                <w:p w14:paraId="4DA5BC7E">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处理</w:t>
                  </w:r>
                </w:p>
                <w:p w14:paraId="6A3D1CAA">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效率（%）</w:t>
                  </w:r>
                </w:p>
              </w:tc>
              <w:tc>
                <w:tcPr>
                  <w:tcW w:w="743" w:type="pct"/>
                  <w:vAlign w:val="center"/>
                </w:tcPr>
                <w:p w14:paraId="45819F5E">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排放浓度/（mg/m</w:t>
                  </w:r>
                  <w:r>
                    <w:rPr>
                      <w:rFonts w:hint="default" w:ascii="Times New Roman" w:hAnsi="Times New Roman"/>
                      <w:b w:val="0"/>
                      <w:color w:val="auto"/>
                      <w:sz w:val="21"/>
                      <w:vertAlign w:val="superscript"/>
                    </w:rPr>
                    <w:t>3</w:t>
                  </w:r>
                  <w:r>
                    <w:rPr>
                      <w:rFonts w:hint="default" w:ascii="Times New Roman" w:hAnsi="Times New Roman"/>
                      <w:b w:val="0"/>
                      <w:color w:val="auto"/>
                      <w:sz w:val="21"/>
                    </w:rPr>
                    <w:t>）</w:t>
                  </w:r>
                </w:p>
              </w:tc>
              <w:tc>
                <w:tcPr>
                  <w:tcW w:w="675" w:type="pct"/>
                  <w:vAlign w:val="center"/>
                </w:tcPr>
                <w:p w14:paraId="18CBAB6C">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排放速率/（kg/h）</w:t>
                  </w:r>
                </w:p>
              </w:tc>
              <w:tc>
                <w:tcPr>
                  <w:tcW w:w="505" w:type="pct"/>
                  <w:vAlign w:val="center"/>
                </w:tcPr>
                <w:p w14:paraId="587C12A5">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单次持续时间/h</w:t>
                  </w:r>
                </w:p>
              </w:tc>
              <w:tc>
                <w:tcPr>
                  <w:tcW w:w="590" w:type="pct"/>
                  <w:vAlign w:val="center"/>
                </w:tcPr>
                <w:p w14:paraId="2AE41790">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年</w:t>
                  </w:r>
                  <w:r>
                    <w:rPr>
                      <w:rFonts w:ascii="Times New Roman" w:hAnsi="Times New Roman"/>
                      <w:b w:val="0"/>
                      <w:color w:val="auto"/>
                      <w:sz w:val="21"/>
                    </w:rPr>
                    <w:t>可能</w:t>
                  </w:r>
                  <w:r>
                    <w:rPr>
                      <w:rFonts w:hint="default" w:ascii="Times New Roman" w:hAnsi="Times New Roman"/>
                      <w:b w:val="0"/>
                      <w:color w:val="auto"/>
                      <w:sz w:val="21"/>
                    </w:rPr>
                    <w:t>发生频次/次</w:t>
                  </w:r>
                </w:p>
              </w:tc>
              <w:tc>
                <w:tcPr>
                  <w:tcW w:w="768" w:type="pct"/>
                  <w:vAlign w:val="center"/>
                </w:tcPr>
                <w:p w14:paraId="0B68BE11">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应对措施</w:t>
                  </w:r>
                </w:p>
              </w:tc>
            </w:tr>
            <w:tr w14:paraId="28065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vMerge w:val="restart"/>
                  <w:vAlign w:val="center"/>
                </w:tcPr>
                <w:p w14:paraId="3E000FAD">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DA001排气筒</w:t>
                  </w:r>
                </w:p>
              </w:tc>
              <w:tc>
                <w:tcPr>
                  <w:tcW w:w="628" w:type="pct"/>
                  <w:vAlign w:val="center"/>
                </w:tcPr>
                <w:p w14:paraId="2366435B">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cs="宋体"/>
                      <w:b w:val="0"/>
                      <w:color w:val="auto"/>
                      <w:kern w:val="0"/>
                      <w:sz w:val="21"/>
                    </w:rPr>
                    <w:t>颗粒物</w:t>
                  </w:r>
                </w:p>
              </w:tc>
              <w:tc>
                <w:tcPr>
                  <w:tcW w:w="539" w:type="pct"/>
                  <w:vAlign w:val="center"/>
                </w:tcPr>
                <w:p w14:paraId="2532B5EE">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20</w:t>
                  </w:r>
                </w:p>
              </w:tc>
              <w:tc>
                <w:tcPr>
                  <w:tcW w:w="743" w:type="pct"/>
                  <w:vAlign w:val="center"/>
                </w:tcPr>
                <w:p w14:paraId="257A23F5">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64.10</w:t>
                  </w:r>
                </w:p>
              </w:tc>
              <w:tc>
                <w:tcPr>
                  <w:tcW w:w="675" w:type="pct"/>
                  <w:vAlign w:val="center"/>
                </w:tcPr>
                <w:p w14:paraId="59C24631">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0.44</w:t>
                  </w:r>
                </w:p>
              </w:tc>
              <w:tc>
                <w:tcPr>
                  <w:tcW w:w="505" w:type="pct"/>
                  <w:vMerge w:val="restart"/>
                  <w:vAlign w:val="center"/>
                </w:tcPr>
                <w:p w14:paraId="0D0BBDFD">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w:t>
                  </w:r>
                </w:p>
              </w:tc>
              <w:tc>
                <w:tcPr>
                  <w:tcW w:w="590" w:type="pct"/>
                  <w:vMerge w:val="restart"/>
                  <w:vAlign w:val="center"/>
                </w:tcPr>
                <w:p w14:paraId="168453E0">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w:t>
                  </w:r>
                </w:p>
              </w:tc>
              <w:tc>
                <w:tcPr>
                  <w:tcW w:w="768" w:type="pct"/>
                  <w:vMerge w:val="restart"/>
                  <w:vAlign w:val="center"/>
                </w:tcPr>
                <w:p w14:paraId="6D927E5B">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立即停止生产，关闭排放阀，及时疏散人群</w:t>
                  </w:r>
                </w:p>
              </w:tc>
            </w:tr>
            <w:tr w14:paraId="27ABB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vMerge w:val="continue"/>
                  <w:vAlign w:val="center"/>
                </w:tcPr>
                <w:p w14:paraId="38DF1500">
                  <w:pPr>
                    <w:pStyle w:val="42"/>
                    <w:autoSpaceDE/>
                    <w:autoSpaceDN/>
                    <w:adjustRightInd/>
                    <w:spacing w:line="0" w:lineRule="atLeast"/>
                    <w:jc w:val="center"/>
                    <w:textAlignment w:val="baseline"/>
                    <w:rPr>
                      <w:rFonts w:hint="default" w:ascii="Times New Roman" w:hAnsi="Times New Roman"/>
                      <w:b w:val="0"/>
                      <w:color w:val="auto"/>
                      <w:sz w:val="21"/>
                    </w:rPr>
                  </w:pPr>
                </w:p>
              </w:tc>
              <w:tc>
                <w:tcPr>
                  <w:tcW w:w="628" w:type="pct"/>
                  <w:vAlign w:val="center"/>
                </w:tcPr>
                <w:p w14:paraId="6135736B">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kern w:val="0"/>
                      <w:sz w:val="21"/>
                    </w:rPr>
                    <w:t>NO</w:t>
                  </w:r>
                  <w:r>
                    <w:rPr>
                      <w:rFonts w:ascii="Times New Roman" w:hAnsi="Times New Roman"/>
                      <w:b w:val="0"/>
                      <w:color w:val="auto"/>
                      <w:kern w:val="0"/>
                      <w:sz w:val="21"/>
                      <w:vertAlign w:val="subscript"/>
                    </w:rPr>
                    <w:t>x</w:t>
                  </w:r>
                </w:p>
              </w:tc>
              <w:tc>
                <w:tcPr>
                  <w:tcW w:w="539" w:type="pct"/>
                  <w:vAlign w:val="center"/>
                </w:tcPr>
                <w:p w14:paraId="5A99C894">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20</w:t>
                  </w:r>
                </w:p>
              </w:tc>
              <w:tc>
                <w:tcPr>
                  <w:tcW w:w="743" w:type="pct"/>
                  <w:vAlign w:val="center"/>
                </w:tcPr>
                <w:p w14:paraId="58B0C781">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130.77</w:t>
                  </w:r>
                </w:p>
              </w:tc>
              <w:tc>
                <w:tcPr>
                  <w:tcW w:w="675" w:type="pct"/>
                  <w:vAlign w:val="center"/>
                </w:tcPr>
                <w:p w14:paraId="10E295BB">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0.90</w:t>
                  </w:r>
                </w:p>
              </w:tc>
              <w:tc>
                <w:tcPr>
                  <w:tcW w:w="505" w:type="pct"/>
                  <w:vMerge w:val="continue"/>
                  <w:vAlign w:val="center"/>
                </w:tcPr>
                <w:p w14:paraId="5F96CFB1">
                  <w:pPr>
                    <w:pStyle w:val="42"/>
                    <w:autoSpaceDE/>
                    <w:autoSpaceDN/>
                    <w:adjustRightInd/>
                    <w:spacing w:line="0" w:lineRule="atLeast"/>
                    <w:jc w:val="center"/>
                    <w:textAlignment w:val="baseline"/>
                    <w:rPr>
                      <w:rFonts w:hint="default" w:ascii="Times New Roman" w:hAnsi="Times New Roman"/>
                      <w:b w:val="0"/>
                      <w:color w:val="auto"/>
                      <w:sz w:val="21"/>
                    </w:rPr>
                  </w:pPr>
                </w:p>
              </w:tc>
              <w:tc>
                <w:tcPr>
                  <w:tcW w:w="590" w:type="pct"/>
                  <w:vMerge w:val="continue"/>
                  <w:vAlign w:val="center"/>
                </w:tcPr>
                <w:p w14:paraId="37AAB250">
                  <w:pPr>
                    <w:pStyle w:val="42"/>
                    <w:autoSpaceDE/>
                    <w:autoSpaceDN/>
                    <w:adjustRightInd/>
                    <w:spacing w:line="0" w:lineRule="atLeast"/>
                    <w:jc w:val="center"/>
                    <w:textAlignment w:val="baseline"/>
                    <w:rPr>
                      <w:rFonts w:hint="default" w:ascii="Times New Roman" w:hAnsi="Times New Roman"/>
                      <w:b w:val="0"/>
                      <w:color w:val="auto"/>
                      <w:sz w:val="21"/>
                    </w:rPr>
                  </w:pPr>
                </w:p>
              </w:tc>
              <w:tc>
                <w:tcPr>
                  <w:tcW w:w="768" w:type="pct"/>
                  <w:vMerge w:val="continue"/>
                  <w:vAlign w:val="center"/>
                </w:tcPr>
                <w:p w14:paraId="2A8767F4">
                  <w:pPr>
                    <w:pStyle w:val="42"/>
                    <w:autoSpaceDE/>
                    <w:autoSpaceDN/>
                    <w:adjustRightInd/>
                    <w:spacing w:line="0" w:lineRule="atLeast"/>
                    <w:jc w:val="center"/>
                    <w:textAlignment w:val="baseline"/>
                    <w:rPr>
                      <w:rFonts w:hint="default" w:ascii="Times New Roman" w:hAnsi="Times New Roman"/>
                      <w:b w:val="0"/>
                      <w:color w:val="auto"/>
                      <w:sz w:val="21"/>
                    </w:rPr>
                  </w:pPr>
                </w:p>
              </w:tc>
            </w:tr>
            <w:tr w14:paraId="1F853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vMerge w:val="continue"/>
                  <w:vAlign w:val="center"/>
                </w:tcPr>
                <w:p w14:paraId="6C91E3D0">
                  <w:pPr>
                    <w:pStyle w:val="42"/>
                    <w:autoSpaceDE/>
                    <w:autoSpaceDN/>
                    <w:adjustRightInd/>
                    <w:spacing w:line="0" w:lineRule="atLeast"/>
                    <w:jc w:val="center"/>
                    <w:textAlignment w:val="baseline"/>
                    <w:rPr>
                      <w:rFonts w:hint="default" w:ascii="Times New Roman" w:hAnsi="Times New Roman"/>
                      <w:b w:val="0"/>
                      <w:color w:val="auto"/>
                      <w:sz w:val="21"/>
                    </w:rPr>
                  </w:pPr>
                </w:p>
              </w:tc>
              <w:tc>
                <w:tcPr>
                  <w:tcW w:w="628" w:type="pct"/>
                  <w:vAlign w:val="center"/>
                </w:tcPr>
                <w:p w14:paraId="33DD9282">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kern w:val="0"/>
                      <w:sz w:val="21"/>
                    </w:rPr>
                    <w:t>SO</w:t>
                  </w:r>
                  <w:r>
                    <w:rPr>
                      <w:rFonts w:ascii="Times New Roman" w:hAnsi="Times New Roman"/>
                      <w:b w:val="0"/>
                      <w:color w:val="auto"/>
                      <w:kern w:val="0"/>
                      <w:sz w:val="21"/>
                      <w:vertAlign w:val="subscript"/>
                    </w:rPr>
                    <w:t>2</w:t>
                  </w:r>
                </w:p>
              </w:tc>
              <w:tc>
                <w:tcPr>
                  <w:tcW w:w="539" w:type="pct"/>
                  <w:vAlign w:val="center"/>
                </w:tcPr>
                <w:p w14:paraId="564A4716">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0</w:t>
                  </w:r>
                </w:p>
              </w:tc>
              <w:tc>
                <w:tcPr>
                  <w:tcW w:w="743" w:type="pct"/>
                  <w:vAlign w:val="center"/>
                </w:tcPr>
                <w:p w14:paraId="7A960A3B">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kern w:val="0"/>
                      <w:sz w:val="21"/>
                    </w:rPr>
                    <w:t xml:space="preserve">27.24 </w:t>
                  </w:r>
                </w:p>
              </w:tc>
              <w:tc>
                <w:tcPr>
                  <w:tcW w:w="675" w:type="pct"/>
                  <w:vAlign w:val="center"/>
                </w:tcPr>
                <w:p w14:paraId="69136135">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kern w:val="0"/>
                      <w:sz w:val="21"/>
                    </w:rPr>
                    <w:t xml:space="preserve">0.19 </w:t>
                  </w:r>
                </w:p>
              </w:tc>
              <w:tc>
                <w:tcPr>
                  <w:tcW w:w="505" w:type="pct"/>
                  <w:vMerge w:val="continue"/>
                  <w:vAlign w:val="center"/>
                </w:tcPr>
                <w:p w14:paraId="27851E20">
                  <w:pPr>
                    <w:pStyle w:val="42"/>
                    <w:autoSpaceDE/>
                    <w:autoSpaceDN/>
                    <w:adjustRightInd/>
                    <w:spacing w:line="0" w:lineRule="atLeast"/>
                    <w:jc w:val="center"/>
                    <w:textAlignment w:val="baseline"/>
                    <w:rPr>
                      <w:rFonts w:hint="default" w:ascii="Times New Roman" w:hAnsi="Times New Roman"/>
                      <w:b w:val="0"/>
                      <w:color w:val="auto"/>
                      <w:sz w:val="21"/>
                    </w:rPr>
                  </w:pPr>
                </w:p>
              </w:tc>
              <w:tc>
                <w:tcPr>
                  <w:tcW w:w="590" w:type="pct"/>
                  <w:vMerge w:val="continue"/>
                  <w:vAlign w:val="center"/>
                </w:tcPr>
                <w:p w14:paraId="38E16C5F">
                  <w:pPr>
                    <w:pStyle w:val="42"/>
                    <w:autoSpaceDE/>
                    <w:autoSpaceDN/>
                    <w:adjustRightInd/>
                    <w:spacing w:line="0" w:lineRule="atLeast"/>
                    <w:jc w:val="center"/>
                    <w:textAlignment w:val="baseline"/>
                    <w:rPr>
                      <w:rFonts w:hint="default" w:ascii="Times New Roman" w:hAnsi="Times New Roman"/>
                      <w:b w:val="0"/>
                      <w:color w:val="auto"/>
                      <w:sz w:val="21"/>
                    </w:rPr>
                  </w:pPr>
                </w:p>
              </w:tc>
              <w:tc>
                <w:tcPr>
                  <w:tcW w:w="768" w:type="pct"/>
                  <w:vMerge w:val="continue"/>
                  <w:vAlign w:val="center"/>
                </w:tcPr>
                <w:p w14:paraId="3B073B93">
                  <w:pPr>
                    <w:pStyle w:val="42"/>
                    <w:autoSpaceDE/>
                    <w:autoSpaceDN/>
                    <w:adjustRightInd/>
                    <w:spacing w:line="0" w:lineRule="atLeast"/>
                    <w:jc w:val="center"/>
                    <w:textAlignment w:val="baseline"/>
                    <w:rPr>
                      <w:rFonts w:hint="default" w:ascii="Times New Roman" w:hAnsi="Times New Roman"/>
                      <w:b w:val="0"/>
                      <w:color w:val="auto"/>
                      <w:sz w:val="21"/>
                    </w:rPr>
                  </w:pPr>
                </w:p>
              </w:tc>
            </w:tr>
            <w:tr w14:paraId="2EA25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vMerge w:val="restart"/>
                  <w:vAlign w:val="center"/>
                </w:tcPr>
                <w:p w14:paraId="3445CDE2">
                  <w:pPr>
                    <w:pStyle w:val="42"/>
                    <w:autoSpaceDE/>
                    <w:autoSpaceDN/>
                    <w:adjustRightInd/>
                    <w:spacing w:line="0" w:lineRule="atLeast"/>
                    <w:jc w:val="center"/>
                    <w:textAlignment w:val="baseline"/>
                    <w:rPr>
                      <w:rFonts w:hint="default" w:ascii="Times New Roman" w:hAnsi="Times New Roman"/>
                      <w:b w:val="0"/>
                      <w:color w:val="auto"/>
                      <w:sz w:val="21"/>
                    </w:rPr>
                  </w:pPr>
                  <w:r>
                    <w:rPr>
                      <w:rFonts w:hint="default" w:ascii="Times New Roman" w:hAnsi="Times New Roman"/>
                      <w:b w:val="0"/>
                      <w:color w:val="auto"/>
                      <w:sz w:val="21"/>
                    </w:rPr>
                    <w:t>DA00</w:t>
                  </w:r>
                  <w:r>
                    <w:rPr>
                      <w:rFonts w:ascii="Times New Roman" w:hAnsi="Times New Roman"/>
                      <w:b w:val="0"/>
                      <w:color w:val="auto"/>
                      <w:sz w:val="21"/>
                    </w:rPr>
                    <w:t>3</w:t>
                  </w:r>
                  <w:r>
                    <w:rPr>
                      <w:rFonts w:hint="default" w:ascii="Times New Roman" w:hAnsi="Times New Roman"/>
                      <w:b w:val="0"/>
                      <w:color w:val="auto"/>
                      <w:sz w:val="21"/>
                    </w:rPr>
                    <w:t>排气筒</w:t>
                  </w:r>
                </w:p>
              </w:tc>
              <w:tc>
                <w:tcPr>
                  <w:tcW w:w="628" w:type="pct"/>
                  <w:vAlign w:val="center"/>
                </w:tcPr>
                <w:p w14:paraId="74F837E8">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非甲烷总烃</w:t>
                  </w:r>
                </w:p>
              </w:tc>
              <w:tc>
                <w:tcPr>
                  <w:tcW w:w="539" w:type="pct"/>
                  <w:vAlign w:val="center"/>
                </w:tcPr>
                <w:p w14:paraId="7185B331">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20</w:t>
                  </w:r>
                </w:p>
              </w:tc>
              <w:tc>
                <w:tcPr>
                  <w:tcW w:w="743" w:type="pct"/>
                  <w:vAlign w:val="center"/>
                </w:tcPr>
                <w:p w14:paraId="31385F01">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3.15</w:t>
                  </w:r>
                </w:p>
              </w:tc>
              <w:tc>
                <w:tcPr>
                  <w:tcW w:w="675" w:type="pct"/>
                  <w:vAlign w:val="center"/>
                </w:tcPr>
                <w:p w14:paraId="5AA17B1C">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0.086</w:t>
                  </w:r>
                </w:p>
              </w:tc>
              <w:tc>
                <w:tcPr>
                  <w:tcW w:w="505" w:type="pct"/>
                  <w:vAlign w:val="center"/>
                </w:tcPr>
                <w:p w14:paraId="7FFCC187">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w:t>
                  </w:r>
                </w:p>
              </w:tc>
              <w:tc>
                <w:tcPr>
                  <w:tcW w:w="590" w:type="pct"/>
                  <w:vAlign w:val="center"/>
                </w:tcPr>
                <w:p w14:paraId="1E994883">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w:t>
                  </w:r>
                </w:p>
              </w:tc>
              <w:tc>
                <w:tcPr>
                  <w:tcW w:w="768" w:type="pct"/>
                  <w:vMerge w:val="continue"/>
                  <w:vAlign w:val="center"/>
                </w:tcPr>
                <w:p w14:paraId="797F95CA">
                  <w:pPr>
                    <w:pStyle w:val="42"/>
                    <w:autoSpaceDE/>
                    <w:autoSpaceDN/>
                    <w:adjustRightInd/>
                    <w:spacing w:line="0" w:lineRule="atLeast"/>
                    <w:jc w:val="center"/>
                    <w:textAlignment w:val="baseline"/>
                    <w:rPr>
                      <w:rFonts w:hint="default" w:ascii="Times New Roman" w:hAnsi="Times New Roman"/>
                      <w:b w:val="0"/>
                      <w:color w:val="auto"/>
                      <w:sz w:val="21"/>
                    </w:rPr>
                  </w:pPr>
                </w:p>
              </w:tc>
            </w:tr>
            <w:tr w14:paraId="5824A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vMerge w:val="continue"/>
                  <w:vAlign w:val="center"/>
                </w:tcPr>
                <w:p w14:paraId="12390F70">
                  <w:pPr>
                    <w:pStyle w:val="42"/>
                    <w:autoSpaceDE/>
                    <w:autoSpaceDN/>
                    <w:adjustRightInd/>
                    <w:spacing w:line="0" w:lineRule="atLeast"/>
                    <w:jc w:val="center"/>
                    <w:textAlignment w:val="baseline"/>
                    <w:rPr>
                      <w:rFonts w:hint="default" w:ascii="Times New Roman" w:hAnsi="Times New Roman" w:cs="宋体"/>
                      <w:b w:val="0"/>
                      <w:color w:val="auto"/>
                      <w:kern w:val="0"/>
                      <w:sz w:val="21"/>
                    </w:rPr>
                  </w:pPr>
                </w:p>
              </w:tc>
              <w:tc>
                <w:tcPr>
                  <w:tcW w:w="628" w:type="pct"/>
                  <w:vAlign w:val="center"/>
                </w:tcPr>
                <w:p w14:paraId="3211E8A5">
                  <w:pPr>
                    <w:pStyle w:val="42"/>
                    <w:autoSpaceDE/>
                    <w:autoSpaceDN/>
                    <w:adjustRightInd/>
                    <w:spacing w:line="0" w:lineRule="atLeast"/>
                    <w:jc w:val="center"/>
                    <w:textAlignment w:val="baseline"/>
                    <w:rPr>
                      <w:rFonts w:hint="default" w:ascii="Times New Roman" w:hAnsi="Times New Roman" w:cs="宋体"/>
                      <w:b w:val="0"/>
                      <w:color w:val="auto"/>
                      <w:kern w:val="0"/>
                      <w:sz w:val="21"/>
                    </w:rPr>
                  </w:pPr>
                  <w:r>
                    <w:rPr>
                      <w:rFonts w:ascii="Times New Roman" w:hAnsi="Times New Roman" w:cs="宋体"/>
                      <w:b w:val="0"/>
                      <w:color w:val="auto"/>
                      <w:kern w:val="0"/>
                      <w:sz w:val="21"/>
                    </w:rPr>
                    <w:t>硫化氢</w:t>
                  </w:r>
                </w:p>
              </w:tc>
              <w:tc>
                <w:tcPr>
                  <w:tcW w:w="539" w:type="pct"/>
                  <w:vAlign w:val="center"/>
                </w:tcPr>
                <w:p w14:paraId="7416DB2E">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20</w:t>
                  </w:r>
                </w:p>
              </w:tc>
              <w:tc>
                <w:tcPr>
                  <w:tcW w:w="743" w:type="pct"/>
                  <w:vAlign w:val="center"/>
                </w:tcPr>
                <w:p w14:paraId="2BE35A5D">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0.003</w:t>
                  </w:r>
                </w:p>
              </w:tc>
              <w:tc>
                <w:tcPr>
                  <w:tcW w:w="675" w:type="pct"/>
                  <w:vAlign w:val="center"/>
                </w:tcPr>
                <w:p w14:paraId="4C0E75EE">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0.00008</w:t>
                  </w:r>
                </w:p>
              </w:tc>
              <w:tc>
                <w:tcPr>
                  <w:tcW w:w="505" w:type="pct"/>
                  <w:vAlign w:val="center"/>
                </w:tcPr>
                <w:p w14:paraId="61CF04A0">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w:t>
                  </w:r>
                </w:p>
              </w:tc>
              <w:tc>
                <w:tcPr>
                  <w:tcW w:w="590" w:type="pct"/>
                  <w:vAlign w:val="center"/>
                </w:tcPr>
                <w:p w14:paraId="5DF14DCF">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w:t>
                  </w:r>
                </w:p>
              </w:tc>
              <w:tc>
                <w:tcPr>
                  <w:tcW w:w="768" w:type="pct"/>
                  <w:vMerge w:val="continue"/>
                  <w:vAlign w:val="center"/>
                </w:tcPr>
                <w:p w14:paraId="0D42D651">
                  <w:pPr>
                    <w:pStyle w:val="42"/>
                    <w:autoSpaceDE/>
                    <w:autoSpaceDN/>
                    <w:adjustRightInd/>
                    <w:spacing w:line="0" w:lineRule="atLeast"/>
                    <w:jc w:val="center"/>
                    <w:textAlignment w:val="baseline"/>
                    <w:rPr>
                      <w:rFonts w:hint="default" w:ascii="Times New Roman" w:hAnsi="Times New Roman"/>
                      <w:b w:val="0"/>
                      <w:color w:val="auto"/>
                      <w:sz w:val="21"/>
                    </w:rPr>
                  </w:pPr>
                </w:p>
              </w:tc>
            </w:tr>
            <w:tr w14:paraId="4F97F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52" w:type="pct"/>
                  <w:vMerge w:val="continue"/>
                  <w:vAlign w:val="center"/>
                </w:tcPr>
                <w:p w14:paraId="14BBAF90">
                  <w:pPr>
                    <w:pStyle w:val="42"/>
                    <w:autoSpaceDE/>
                    <w:autoSpaceDN/>
                    <w:adjustRightInd/>
                    <w:spacing w:line="0" w:lineRule="atLeast"/>
                    <w:jc w:val="center"/>
                    <w:textAlignment w:val="baseline"/>
                    <w:rPr>
                      <w:rFonts w:hint="default" w:ascii="Times New Roman" w:hAnsi="Times New Roman" w:cs="宋体"/>
                      <w:b w:val="0"/>
                      <w:color w:val="auto"/>
                      <w:kern w:val="0"/>
                      <w:sz w:val="21"/>
                    </w:rPr>
                  </w:pPr>
                </w:p>
              </w:tc>
              <w:tc>
                <w:tcPr>
                  <w:tcW w:w="628" w:type="pct"/>
                  <w:vAlign w:val="center"/>
                </w:tcPr>
                <w:p w14:paraId="7F4AD697">
                  <w:pPr>
                    <w:pStyle w:val="42"/>
                    <w:autoSpaceDE/>
                    <w:autoSpaceDN/>
                    <w:adjustRightInd/>
                    <w:spacing w:line="0" w:lineRule="atLeast"/>
                    <w:jc w:val="center"/>
                    <w:textAlignment w:val="baseline"/>
                    <w:rPr>
                      <w:rFonts w:hint="default" w:ascii="Times New Roman" w:hAnsi="Times New Roman" w:cs="宋体"/>
                      <w:b w:val="0"/>
                      <w:color w:val="auto"/>
                      <w:kern w:val="0"/>
                      <w:sz w:val="21"/>
                    </w:rPr>
                  </w:pPr>
                  <w:r>
                    <w:rPr>
                      <w:rFonts w:ascii="Times New Roman" w:hAnsi="Times New Roman" w:cs="宋体"/>
                      <w:b w:val="0"/>
                      <w:color w:val="auto"/>
                      <w:kern w:val="0"/>
                      <w:sz w:val="21"/>
                    </w:rPr>
                    <w:t>氨</w:t>
                  </w:r>
                </w:p>
              </w:tc>
              <w:tc>
                <w:tcPr>
                  <w:tcW w:w="539" w:type="pct"/>
                  <w:vAlign w:val="center"/>
                </w:tcPr>
                <w:p w14:paraId="7517504B">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20</w:t>
                  </w:r>
                </w:p>
              </w:tc>
              <w:tc>
                <w:tcPr>
                  <w:tcW w:w="743" w:type="pct"/>
                  <w:vAlign w:val="center"/>
                </w:tcPr>
                <w:p w14:paraId="1A704DC0">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0.032</w:t>
                  </w:r>
                </w:p>
              </w:tc>
              <w:tc>
                <w:tcPr>
                  <w:tcW w:w="675" w:type="pct"/>
                  <w:vAlign w:val="center"/>
                </w:tcPr>
                <w:p w14:paraId="61638601">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0.00088</w:t>
                  </w:r>
                </w:p>
              </w:tc>
              <w:tc>
                <w:tcPr>
                  <w:tcW w:w="505" w:type="pct"/>
                  <w:vAlign w:val="center"/>
                </w:tcPr>
                <w:p w14:paraId="4218CA9A">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w:t>
                  </w:r>
                </w:p>
              </w:tc>
              <w:tc>
                <w:tcPr>
                  <w:tcW w:w="590" w:type="pct"/>
                  <w:vAlign w:val="center"/>
                </w:tcPr>
                <w:p w14:paraId="4C21418C">
                  <w:pPr>
                    <w:pStyle w:val="42"/>
                    <w:autoSpaceDE/>
                    <w:autoSpaceDN/>
                    <w:adjustRightInd/>
                    <w:spacing w:line="0" w:lineRule="atLeast"/>
                    <w:jc w:val="center"/>
                    <w:textAlignment w:val="baseline"/>
                    <w:rPr>
                      <w:rFonts w:hint="default" w:ascii="Times New Roman" w:hAnsi="Times New Roman"/>
                      <w:b w:val="0"/>
                      <w:color w:val="auto"/>
                      <w:sz w:val="21"/>
                    </w:rPr>
                  </w:pPr>
                  <w:r>
                    <w:rPr>
                      <w:rFonts w:ascii="Times New Roman" w:hAnsi="Times New Roman"/>
                      <w:b w:val="0"/>
                      <w:color w:val="auto"/>
                      <w:sz w:val="21"/>
                    </w:rPr>
                    <w:t>1</w:t>
                  </w:r>
                </w:p>
              </w:tc>
              <w:tc>
                <w:tcPr>
                  <w:tcW w:w="768" w:type="pct"/>
                  <w:vMerge w:val="continue"/>
                  <w:vAlign w:val="center"/>
                </w:tcPr>
                <w:p w14:paraId="32DC7C44">
                  <w:pPr>
                    <w:pStyle w:val="42"/>
                    <w:autoSpaceDE/>
                    <w:autoSpaceDN/>
                    <w:adjustRightInd/>
                    <w:spacing w:line="0" w:lineRule="atLeast"/>
                    <w:jc w:val="center"/>
                    <w:textAlignment w:val="baseline"/>
                    <w:rPr>
                      <w:rFonts w:hint="default" w:ascii="Times New Roman" w:hAnsi="Times New Roman"/>
                      <w:b w:val="0"/>
                      <w:color w:val="auto"/>
                      <w:sz w:val="21"/>
                    </w:rPr>
                  </w:pPr>
                </w:p>
              </w:tc>
            </w:tr>
          </w:tbl>
          <w:p w14:paraId="076E71D0">
            <w:pPr>
              <w:adjustRightInd w:val="0"/>
              <w:snapToGrid w:val="0"/>
              <w:spacing w:before="120" w:beforeLines="50" w:line="360" w:lineRule="auto"/>
              <w:ind w:firstLine="482" w:firstLineChars="200"/>
              <w:rPr>
                <w:b/>
                <w:bCs/>
                <w:sz w:val="24"/>
                <w:szCs w:val="24"/>
              </w:rPr>
            </w:pPr>
            <w:r>
              <w:rPr>
                <w:b/>
                <w:bCs/>
                <w:sz w:val="24"/>
                <w:szCs w:val="24"/>
              </w:rPr>
              <w:t>1.</w:t>
            </w:r>
            <w:r>
              <w:rPr>
                <w:rFonts w:hint="eastAsia"/>
                <w:b/>
                <w:bCs/>
                <w:sz w:val="24"/>
                <w:szCs w:val="24"/>
              </w:rPr>
              <w:t>2排放口与监测计划</w:t>
            </w:r>
          </w:p>
          <w:p w14:paraId="0C0EC18E">
            <w:pPr>
              <w:pStyle w:val="13"/>
              <w:spacing w:line="360" w:lineRule="auto"/>
              <w:ind w:firstLine="480" w:firstLineChars="200"/>
              <w:rPr>
                <w:sz w:val="24"/>
                <w:szCs w:val="24"/>
              </w:rPr>
            </w:pPr>
            <w:r>
              <w:rPr>
                <w:rFonts w:hint="eastAsia"/>
                <w:sz w:val="24"/>
                <w:szCs w:val="24"/>
              </w:rPr>
              <w:t>本项目废气排放口基本情况见表4-9。</w:t>
            </w:r>
          </w:p>
          <w:p w14:paraId="0558444A">
            <w:pPr>
              <w:pStyle w:val="13"/>
              <w:spacing w:line="360" w:lineRule="auto"/>
              <w:ind w:firstLine="480" w:firstLineChars="200"/>
              <w:rPr>
                <w:sz w:val="24"/>
                <w:szCs w:val="24"/>
              </w:rPr>
            </w:pPr>
          </w:p>
          <w:p w14:paraId="15A6654B">
            <w:pPr>
              <w:pStyle w:val="13"/>
              <w:spacing w:line="360" w:lineRule="auto"/>
              <w:ind w:firstLine="480" w:firstLineChars="200"/>
              <w:rPr>
                <w:sz w:val="24"/>
                <w:szCs w:val="24"/>
              </w:rPr>
            </w:pPr>
          </w:p>
          <w:p w14:paraId="3312EEFE">
            <w:pPr>
              <w:pStyle w:val="13"/>
              <w:spacing w:line="360" w:lineRule="auto"/>
              <w:ind w:firstLine="480" w:firstLineChars="200"/>
              <w:rPr>
                <w:sz w:val="24"/>
                <w:szCs w:val="24"/>
              </w:rPr>
            </w:pPr>
          </w:p>
          <w:p w14:paraId="3046B110">
            <w:pPr>
              <w:pStyle w:val="13"/>
              <w:spacing w:line="360" w:lineRule="auto"/>
              <w:ind w:firstLine="480" w:firstLineChars="200"/>
              <w:rPr>
                <w:sz w:val="24"/>
                <w:szCs w:val="24"/>
              </w:rPr>
            </w:pPr>
          </w:p>
          <w:p w14:paraId="5DF38B06">
            <w:pPr>
              <w:pStyle w:val="12"/>
              <w:spacing w:line="360" w:lineRule="auto"/>
              <w:ind w:left="0" w:leftChars="0" w:firstLine="0" w:firstLineChars="0"/>
              <w:jc w:val="center"/>
              <w:rPr>
                <w:b/>
              </w:rPr>
            </w:pPr>
            <w:r>
              <w:rPr>
                <w:rFonts w:hint="eastAsia"/>
                <w:b/>
              </w:rPr>
              <w:t>表4-9 废气</w:t>
            </w:r>
            <w:r>
              <w:rPr>
                <w:b/>
              </w:rPr>
              <w:t>排放口基本情况</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6"/>
              <w:gridCol w:w="891"/>
              <w:gridCol w:w="1618"/>
              <w:gridCol w:w="1892"/>
              <w:gridCol w:w="621"/>
              <w:gridCol w:w="793"/>
              <w:gridCol w:w="875"/>
              <w:gridCol w:w="648"/>
              <w:gridCol w:w="539"/>
            </w:tblGrid>
            <w:tr w14:paraId="60642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395" w:type="pct"/>
                  <w:vAlign w:val="center"/>
                </w:tcPr>
                <w:p w14:paraId="750DD7A0">
                  <w:pPr>
                    <w:pStyle w:val="47"/>
                    <w:jc w:val="center"/>
                    <w:rPr>
                      <w:sz w:val="21"/>
                    </w:rPr>
                  </w:pPr>
                  <w:r>
                    <w:rPr>
                      <w:sz w:val="21"/>
                    </w:rPr>
                    <w:t>排放口名称</w:t>
                  </w:r>
                </w:p>
              </w:tc>
              <w:tc>
                <w:tcPr>
                  <w:tcW w:w="521" w:type="pct"/>
                  <w:vAlign w:val="center"/>
                </w:tcPr>
                <w:p w14:paraId="2F15FB41">
                  <w:pPr>
                    <w:pStyle w:val="47"/>
                    <w:jc w:val="center"/>
                    <w:rPr>
                      <w:sz w:val="21"/>
                    </w:rPr>
                  </w:pPr>
                  <w:r>
                    <w:rPr>
                      <w:sz w:val="21"/>
                    </w:rPr>
                    <w:t>排放口编号</w:t>
                  </w:r>
                </w:p>
              </w:tc>
              <w:tc>
                <w:tcPr>
                  <w:tcW w:w="946" w:type="pct"/>
                  <w:vAlign w:val="center"/>
                </w:tcPr>
                <w:p w14:paraId="7954B644">
                  <w:pPr>
                    <w:pStyle w:val="47"/>
                    <w:jc w:val="center"/>
                    <w:rPr>
                      <w:sz w:val="21"/>
                    </w:rPr>
                  </w:pPr>
                  <w:r>
                    <w:rPr>
                      <w:rFonts w:hint="eastAsia"/>
                      <w:sz w:val="21"/>
                    </w:rPr>
                    <w:t>污染物种类</w:t>
                  </w:r>
                </w:p>
              </w:tc>
              <w:tc>
                <w:tcPr>
                  <w:tcW w:w="1106" w:type="pct"/>
                  <w:vAlign w:val="center"/>
                </w:tcPr>
                <w:p w14:paraId="41E13DBF">
                  <w:pPr>
                    <w:pStyle w:val="47"/>
                    <w:jc w:val="center"/>
                    <w:rPr>
                      <w:sz w:val="21"/>
                    </w:rPr>
                  </w:pPr>
                  <w:r>
                    <w:rPr>
                      <w:sz w:val="21"/>
                    </w:rPr>
                    <w:t>排气筒底部中心坐标</w:t>
                  </w:r>
                </w:p>
              </w:tc>
              <w:tc>
                <w:tcPr>
                  <w:tcW w:w="363" w:type="pct"/>
                  <w:vAlign w:val="center"/>
                </w:tcPr>
                <w:p w14:paraId="790AA9B7">
                  <w:pPr>
                    <w:pStyle w:val="47"/>
                    <w:jc w:val="center"/>
                    <w:rPr>
                      <w:sz w:val="21"/>
                    </w:rPr>
                  </w:pPr>
                  <w:r>
                    <w:rPr>
                      <w:sz w:val="21"/>
                    </w:rPr>
                    <w:t>排气筒高度/m</w:t>
                  </w:r>
                </w:p>
              </w:tc>
              <w:tc>
                <w:tcPr>
                  <w:tcW w:w="464" w:type="pct"/>
                  <w:vAlign w:val="center"/>
                </w:tcPr>
                <w:p w14:paraId="291DCFD0">
                  <w:pPr>
                    <w:pStyle w:val="47"/>
                    <w:jc w:val="center"/>
                    <w:rPr>
                      <w:sz w:val="21"/>
                    </w:rPr>
                  </w:pPr>
                  <w:r>
                    <w:rPr>
                      <w:sz w:val="21"/>
                    </w:rPr>
                    <w:t>排气筒出口内径/m</w:t>
                  </w:r>
                </w:p>
              </w:tc>
              <w:tc>
                <w:tcPr>
                  <w:tcW w:w="511" w:type="pct"/>
                  <w:vAlign w:val="center"/>
                </w:tcPr>
                <w:p w14:paraId="77BA1BA0">
                  <w:pPr>
                    <w:pStyle w:val="47"/>
                    <w:jc w:val="center"/>
                    <w:rPr>
                      <w:sz w:val="21"/>
                    </w:rPr>
                  </w:pPr>
                  <w:r>
                    <w:rPr>
                      <w:sz w:val="21"/>
                    </w:rPr>
                    <w:t>烟气</w:t>
                  </w:r>
                </w:p>
                <w:p w14:paraId="39C2CAC0">
                  <w:pPr>
                    <w:pStyle w:val="47"/>
                    <w:jc w:val="center"/>
                    <w:rPr>
                      <w:sz w:val="21"/>
                    </w:rPr>
                  </w:pPr>
                  <w:r>
                    <w:rPr>
                      <w:sz w:val="21"/>
                    </w:rPr>
                    <w:t>流速</w:t>
                  </w:r>
                </w:p>
                <w:p w14:paraId="00E90AE2">
                  <w:pPr>
                    <w:pStyle w:val="47"/>
                    <w:jc w:val="center"/>
                    <w:rPr>
                      <w:sz w:val="21"/>
                    </w:rPr>
                  </w:pPr>
                  <w:r>
                    <w:rPr>
                      <w:sz w:val="21"/>
                    </w:rPr>
                    <w:t>（m/s）</w:t>
                  </w:r>
                </w:p>
              </w:tc>
              <w:tc>
                <w:tcPr>
                  <w:tcW w:w="379" w:type="pct"/>
                  <w:vAlign w:val="center"/>
                </w:tcPr>
                <w:p w14:paraId="07533F7F">
                  <w:pPr>
                    <w:pStyle w:val="47"/>
                    <w:jc w:val="center"/>
                    <w:rPr>
                      <w:sz w:val="21"/>
                    </w:rPr>
                  </w:pPr>
                  <w:r>
                    <w:rPr>
                      <w:sz w:val="21"/>
                    </w:rPr>
                    <w:t>烟气温度/℃</w:t>
                  </w:r>
                </w:p>
              </w:tc>
              <w:tc>
                <w:tcPr>
                  <w:tcW w:w="315" w:type="pct"/>
                  <w:vAlign w:val="center"/>
                </w:tcPr>
                <w:p w14:paraId="1FB791E1">
                  <w:pPr>
                    <w:pStyle w:val="47"/>
                    <w:jc w:val="center"/>
                    <w:rPr>
                      <w:sz w:val="21"/>
                    </w:rPr>
                  </w:pPr>
                  <w:r>
                    <w:rPr>
                      <w:sz w:val="21"/>
                    </w:rPr>
                    <w:t>类型</w:t>
                  </w:r>
                </w:p>
              </w:tc>
            </w:tr>
            <w:tr w14:paraId="59A93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395" w:type="pct"/>
                  <w:vAlign w:val="center"/>
                </w:tcPr>
                <w:p w14:paraId="7C33E9E0">
                  <w:pPr>
                    <w:pStyle w:val="47"/>
                    <w:jc w:val="center"/>
                    <w:rPr>
                      <w:sz w:val="21"/>
                    </w:rPr>
                  </w:pPr>
                  <w:r>
                    <w:rPr>
                      <w:rFonts w:hint="eastAsia"/>
                      <w:sz w:val="21"/>
                    </w:rPr>
                    <w:t>锅炉</w:t>
                  </w:r>
                  <w:r>
                    <w:rPr>
                      <w:sz w:val="21"/>
                    </w:rPr>
                    <w:t>废气排放口</w:t>
                  </w:r>
                </w:p>
              </w:tc>
              <w:tc>
                <w:tcPr>
                  <w:tcW w:w="521" w:type="pct"/>
                  <w:vAlign w:val="center"/>
                </w:tcPr>
                <w:p w14:paraId="6EA03873">
                  <w:pPr>
                    <w:pStyle w:val="47"/>
                    <w:jc w:val="center"/>
                    <w:rPr>
                      <w:sz w:val="21"/>
                    </w:rPr>
                  </w:pPr>
                  <w:r>
                    <w:rPr>
                      <w:sz w:val="21"/>
                    </w:rPr>
                    <w:t>DA001</w:t>
                  </w:r>
                </w:p>
              </w:tc>
              <w:tc>
                <w:tcPr>
                  <w:tcW w:w="946" w:type="pct"/>
                  <w:vAlign w:val="center"/>
                </w:tcPr>
                <w:p w14:paraId="13A27A35">
                  <w:pPr>
                    <w:pStyle w:val="47"/>
                    <w:jc w:val="center"/>
                    <w:rPr>
                      <w:sz w:val="21"/>
                    </w:rPr>
                  </w:pPr>
                  <w:r>
                    <w:rPr>
                      <w:rFonts w:hint="eastAsia"/>
                      <w:sz w:val="21"/>
                    </w:rPr>
                    <w:t>颗粒物、</w:t>
                  </w:r>
                  <w:r>
                    <w:rPr>
                      <w:sz w:val="21"/>
                    </w:rPr>
                    <w:t>NO</w:t>
                  </w:r>
                  <w:r>
                    <w:rPr>
                      <w:sz w:val="21"/>
                      <w:vertAlign w:val="subscript"/>
                    </w:rPr>
                    <w:t>x</w:t>
                  </w:r>
                  <w:r>
                    <w:rPr>
                      <w:rFonts w:hint="eastAsia"/>
                      <w:sz w:val="21"/>
                    </w:rPr>
                    <w:t>、</w:t>
                  </w:r>
                  <w:r>
                    <w:rPr>
                      <w:kern w:val="0"/>
                      <w:sz w:val="21"/>
                    </w:rPr>
                    <w:t>SO</w:t>
                  </w:r>
                  <w:r>
                    <w:rPr>
                      <w:kern w:val="0"/>
                      <w:sz w:val="21"/>
                      <w:vertAlign w:val="subscript"/>
                    </w:rPr>
                    <w:t>2</w:t>
                  </w:r>
                </w:p>
              </w:tc>
              <w:tc>
                <w:tcPr>
                  <w:tcW w:w="1106" w:type="pct"/>
                  <w:vAlign w:val="center"/>
                </w:tcPr>
                <w:p w14:paraId="5B37026B">
                  <w:pPr>
                    <w:pStyle w:val="47"/>
                    <w:jc w:val="center"/>
                    <w:rPr>
                      <w:sz w:val="21"/>
                    </w:rPr>
                  </w:pPr>
                  <w:r>
                    <w:rPr>
                      <w:rFonts w:hint="eastAsia"/>
                      <w:sz w:val="21"/>
                    </w:rPr>
                    <w:t>E</w:t>
                  </w:r>
                  <w:r>
                    <w:rPr>
                      <w:sz w:val="21"/>
                    </w:rPr>
                    <w:t>11</w:t>
                  </w:r>
                  <w:r>
                    <w:rPr>
                      <w:rFonts w:hint="eastAsia"/>
                      <w:sz w:val="21"/>
                    </w:rPr>
                    <w:t>4</w:t>
                  </w:r>
                  <w:r>
                    <w:rPr>
                      <w:sz w:val="21"/>
                    </w:rPr>
                    <w:t>°9'</w:t>
                  </w:r>
                  <w:r>
                    <w:rPr>
                      <w:rFonts w:hint="eastAsia"/>
                      <w:sz w:val="21"/>
                    </w:rPr>
                    <w:t>30.3526</w:t>
                  </w:r>
                  <w:r>
                    <w:rPr>
                      <w:sz w:val="21"/>
                    </w:rPr>
                    <w:t>"</w:t>
                  </w:r>
                </w:p>
                <w:p w14:paraId="6864A16E">
                  <w:pPr>
                    <w:pStyle w:val="47"/>
                    <w:jc w:val="center"/>
                    <w:rPr>
                      <w:sz w:val="21"/>
                    </w:rPr>
                  </w:pPr>
                  <w:r>
                    <w:rPr>
                      <w:rFonts w:hint="eastAsia"/>
                      <w:sz w:val="21"/>
                    </w:rPr>
                    <w:t>N</w:t>
                  </w:r>
                  <w:r>
                    <w:rPr>
                      <w:sz w:val="21"/>
                    </w:rPr>
                    <w:t>23°</w:t>
                  </w:r>
                  <w:r>
                    <w:rPr>
                      <w:rFonts w:hint="eastAsia"/>
                      <w:sz w:val="21"/>
                    </w:rPr>
                    <w:t>13</w:t>
                  </w:r>
                  <w:r>
                    <w:rPr>
                      <w:sz w:val="21"/>
                    </w:rPr>
                    <w:t>'</w:t>
                  </w:r>
                  <w:r>
                    <w:rPr>
                      <w:rFonts w:hint="eastAsia"/>
                      <w:sz w:val="21"/>
                    </w:rPr>
                    <w:t>00.8106</w:t>
                  </w:r>
                  <w:r>
                    <w:rPr>
                      <w:sz w:val="21"/>
                    </w:rPr>
                    <w:t>"</w:t>
                  </w:r>
                </w:p>
              </w:tc>
              <w:tc>
                <w:tcPr>
                  <w:tcW w:w="363" w:type="pct"/>
                  <w:vAlign w:val="center"/>
                </w:tcPr>
                <w:p w14:paraId="7791DBA3">
                  <w:pPr>
                    <w:pStyle w:val="47"/>
                    <w:jc w:val="center"/>
                    <w:rPr>
                      <w:sz w:val="21"/>
                    </w:rPr>
                  </w:pPr>
                  <w:r>
                    <w:rPr>
                      <w:rFonts w:hint="eastAsia"/>
                      <w:sz w:val="21"/>
                    </w:rPr>
                    <w:t>15</w:t>
                  </w:r>
                </w:p>
              </w:tc>
              <w:tc>
                <w:tcPr>
                  <w:tcW w:w="464" w:type="pct"/>
                  <w:vAlign w:val="center"/>
                </w:tcPr>
                <w:p w14:paraId="31A404E3">
                  <w:pPr>
                    <w:pStyle w:val="47"/>
                    <w:jc w:val="center"/>
                    <w:rPr>
                      <w:sz w:val="21"/>
                    </w:rPr>
                  </w:pPr>
                  <w:r>
                    <w:rPr>
                      <w:rFonts w:hint="eastAsia"/>
                      <w:sz w:val="21"/>
                    </w:rPr>
                    <w:t>0.5</w:t>
                  </w:r>
                </w:p>
              </w:tc>
              <w:tc>
                <w:tcPr>
                  <w:tcW w:w="511" w:type="pct"/>
                  <w:vAlign w:val="center"/>
                </w:tcPr>
                <w:p w14:paraId="7C5C37ED">
                  <w:pPr>
                    <w:pStyle w:val="47"/>
                    <w:jc w:val="center"/>
                    <w:rPr>
                      <w:sz w:val="21"/>
                    </w:rPr>
                  </w:pPr>
                  <w:r>
                    <w:rPr>
                      <w:rFonts w:hint="eastAsia"/>
                      <w:sz w:val="21"/>
                    </w:rPr>
                    <w:t>9.68</w:t>
                  </w:r>
                </w:p>
              </w:tc>
              <w:tc>
                <w:tcPr>
                  <w:tcW w:w="379" w:type="pct"/>
                  <w:vAlign w:val="center"/>
                </w:tcPr>
                <w:p w14:paraId="78DA7987">
                  <w:pPr>
                    <w:pStyle w:val="47"/>
                    <w:jc w:val="center"/>
                    <w:rPr>
                      <w:sz w:val="21"/>
                    </w:rPr>
                  </w:pPr>
                  <w:r>
                    <w:rPr>
                      <w:rFonts w:hint="eastAsia"/>
                      <w:sz w:val="21"/>
                    </w:rPr>
                    <w:t>120</w:t>
                  </w:r>
                </w:p>
              </w:tc>
              <w:tc>
                <w:tcPr>
                  <w:tcW w:w="315" w:type="pct"/>
                  <w:vAlign w:val="center"/>
                </w:tcPr>
                <w:p w14:paraId="707528C0">
                  <w:pPr>
                    <w:pStyle w:val="47"/>
                    <w:jc w:val="center"/>
                    <w:rPr>
                      <w:sz w:val="21"/>
                    </w:rPr>
                  </w:pPr>
                  <w:r>
                    <w:rPr>
                      <w:sz w:val="21"/>
                    </w:rPr>
                    <w:t>一般排放口</w:t>
                  </w:r>
                </w:p>
              </w:tc>
            </w:tr>
            <w:tr w14:paraId="153C8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395" w:type="pct"/>
                  <w:vAlign w:val="center"/>
                </w:tcPr>
                <w:p w14:paraId="4CF87438">
                  <w:pPr>
                    <w:pStyle w:val="47"/>
                    <w:jc w:val="center"/>
                    <w:rPr>
                      <w:sz w:val="21"/>
                    </w:rPr>
                  </w:pPr>
                  <w:r>
                    <w:rPr>
                      <w:rFonts w:hint="eastAsia"/>
                      <w:sz w:val="21"/>
                    </w:rPr>
                    <w:t>有机废气排放口</w:t>
                  </w:r>
                </w:p>
              </w:tc>
              <w:tc>
                <w:tcPr>
                  <w:tcW w:w="521" w:type="pct"/>
                  <w:vAlign w:val="center"/>
                </w:tcPr>
                <w:p w14:paraId="728F5A50">
                  <w:pPr>
                    <w:pStyle w:val="47"/>
                    <w:jc w:val="center"/>
                    <w:rPr>
                      <w:sz w:val="21"/>
                    </w:rPr>
                  </w:pPr>
                  <w:r>
                    <w:rPr>
                      <w:sz w:val="21"/>
                    </w:rPr>
                    <w:t>DA00</w:t>
                  </w:r>
                  <w:r>
                    <w:rPr>
                      <w:rFonts w:hint="eastAsia"/>
                      <w:sz w:val="21"/>
                    </w:rPr>
                    <w:t>3</w:t>
                  </w:r>
                </w:p>
              </w:tc>
              <w:tc>
                <w:tcPr>
                  <w:tcW w:w="946" w:type="pct"/>
                  <w:vAlign w:val="center"/>
                </w:tcPr>
                <w:p w14:paraId="0088A454">
                  <w:pPr>
                    <w:pStyle w:val="47"/>
                    <w:jc w:val="center"/>
                    <w:rPr>
                      <w:sz w:val="21"/>
                    </w:rPr>
                  </w:pPr>
                  <w:r>
                    <w:rPr>
                      <w:sz w:val="21"/>
                    </w:rPr>
                    <w:t>非甲烷总烃</w:t>
                  </w:r>
                  <w:r>
                    <w:rPr>
                      <w:rFonts w:hint="eastAsia"/>
                      <w:sz w:val="21"/>
                    </w:rPr>
                    <w:t>、</w:t>
                  </w:r>
                  <w:r>
                    <w:rPr>
                      <w:bCs/>
                      <w:sz w:val="21"/>
                    </w:rPr>
                    <w:t>硫化氢、氨</w:t>
                  </w:r>
                  <w:r>
                    <w:rPr>
                      <w:rFonts w:hint="eastAsia"/>
                      <w:bCs/>
                      <w:sz w:val="21"/>
                    </w:rPr>
                    <w:t>、臭气浓度</w:t>
                  </w:r>
                </w:p>
              </w:tc>
              <w:tc>
                <w:tcPr>
                  <w:tcW w:w="1106" w:type="pct"/>
                  <w:vAlign w:val="center"/>
                </w:tcPr>
                <w:p w14:paraId="1514E856">
                  <w:pPr>
                    <w:pStyle w:val="47"/>
                    <w:jc w:val="center"/>
                    <w:rPr>
                      <w:sz w:val="21"/>
                    </w:rPr>
                  </w:pPr>
                  <w:r>
                    <w:rPr>
                      <w:rFonts w:hint="eastAsia"/>
                      <w:sz w:val="21"/>
                    </w:rPr>
                    <w:t>E</w:t>
                  </w:r>
                  <w:r>
                    <w:rPr>
                      <w:sz w:val="21"/>
                    </w:rPr>
                    <w:t>11</w:t>
                  </w:r>
                  <w:r>
                    <w:rPr>
                      <w:rFonts w:hint="eastAsia"/>
                      <w:sz w:val="21"/>
                    </w:rPr>
                    <w:t>4</w:t>
                  </w:r>
                  <w:r>
                    <w:rPr>
                      <w:sz w:val="21"/>
                    </w:rPr>
                    <w:t>°9'</w:t>
                  </w:r>
                  <w:r>
                    <w:rPr>
                      <w:rFonts w:hint="eastAsia"/>
                      <w:sz w:val="21"/>
                    </w:rPr>
                    <w:t>30.3816</w:t>
                  </w:r>
                  <w:r>
                    <w:rPr>
                      <w:sz w:val="21"/>
                    </w:rPr>
                    <w:t>"</w:t>
                  </w:r>
                </w:p>
                <w:p w14:paraId="5E21D919">
                  <w:pPr>
                    <w:pStyle w:val="47"/>
                    <w:jc w:val="center"/>
                    <w:rPr>
                      <w:sz w:val="21"/>
                    </w:rPr>
                  </w:pPr>
                  <w:r>
                    <w:rPr>
                      <w:rFonts w:hint="eastAsia"/>
                      <w:sz w:val="21"/>
                    </w:rPr>
                    <w:t>N</w:t>
                  </w:r>
                  <w:r>
                    <w:rPr>
                      <w:sz w:val="21"/>
                    </w:rPr>
                    <w:t>23°</w:t>
                  </w:r>
                  <w:r>
                    <w:rPr>
                      <w:rFonts w:hint="eastAsia"/>
                      <w:sz w:val="21"/>
                    </w:rPr>
                    <w:t>13</w:t>
                  </w:r>
                  <w:r>
                    <w:rPr>
                      <w:sz w:val="21"/>
                    </w:rPr>
                    <w:t>'</w:t>
                  </w:r>
                  <w:r>
                    <w:rPr>
                      <w:rFonts w:hint="eastAsia"/>
                      <w:sz w:val="21"/>
                    </w:rPr>
                    <w:t>02.5188</w:t>
                  </w:r>
                  <w:r>
                    <w:rPr>
                      <w:sz w:val="21"/>
                    </w:rPr>
                    <w:t>"</w:t>
                  </w:r>
                </w:p>
              </w:tc>
              <w:tc>
                <w:tcPr>
                  <w:tcW w:w="363" w:type="pct"/>
                  <w:vAlign w:val="center"/>
                </w:tcPr>
                <w:p w14:paraId="53927FB7">
                  <w:pPr>
                    <w:pStyle w:val="47"/>
                    <w:jc w:val="center"/>
                    <w:rPr>
                      <w:sz w:val="21"/>
                    </w:rPr>
                  </w:pPr>
                  <w:r>
                    <w:rPr>
                      <w:rFonts w:hint="eastAsia"/>
                      <w:sz w:val="21"/>
                    </w:rPr>
                    <w:t>15</w:t>
                  </w:r>
                </w:p>
              </w:tc>
              <w:tc>
                <w:tcPr>
                  <w:tcW w:w="464" w:type="pct"/>
                  <w:vAlign w:val="center"/>
                </w:tcPr>
                <w:p w14:paraId="363A79BB">
                  <w:pPr>
                    <w:pStyle w:val="47"/>
                    <w:jc w:val="center"/>
                    <w:rPr>
                      <w:sz w:val="21"/>
                    </w:rPr>
                  </w:pPr>
                  <w:r>
                    <w:rPr>
                      <w:rFonts w:hint="eastAsia"/>
                      <w:sz w:val="21"/>
                    </w:rPr>
                    <w:t>0.8</w:t>
                  </w:r>
                </w:p>
              </w:tc>
              <w:tc>
                <w:tcPr>
                  <w:tcW w:w="511" w:type="pct"/>
                  <w:vAlign w:val="center"/>
                </w:tcPr>
                <w:p w14:paraId="7C5CC423">
                  <w:pPr>
                    <w:pStyle w:val="47"/>
                    <w:jc w:val="center"/>
                    <w:rPr>
                      <w:sz w:val="21"/>
                    </w:rPr>
                  </w:pPr>
                  <w:r>
                    <w:rPr>
                      <w:rFonts w:hint="eastAsia"/>
                      <w:sz w:val="21"/>
                    </w:rPr>
                    <w:t>15.09</w:t>
                  </w:r>
                </w:p>
              </w:tc>
              <w:tc>
                <w:tcPr>
                  <w:tcW w:w="379" w:type="pct"/>
                  <w:vAlign w:val="center"/>
                </w:tcPr>
                <w:p w14:paraId="0DDD5E51">
                  <w:pPr>
                    <w:pStyle w:val="47"/>
                    <w:jc w:val="center"/>
                    <w:rPr>
                      <w:sz w:val="21"/>
                    </w:rPr>
                  </w:pPr>
                  <w:r>
                    <w:rPr>
                      <w:sz w:val="21"/>
                    </w:rPr>
                    <w:t>25</w:t>
                  </w:r>
                </w:p>
              </w:tc>
              <w:tc>
                <w:tcPr>
                  <w:tcW w:w="315" w:type="pct"/>
                  <w:vAlign w:val="center"/>
                </w:tcPr>
                <w:p w14:paraId="0077F69D">
                  <w:pPr>
                    <w:pStyle w:val="47"/>
                    <w:jc w:val="center"/>
                    <w:rPr>
                      <w:sz w:val="21"/>
                    </w:rPr>
                  </w:pPr>
                  <w:r>
                    <w:rPr>
                      <w:sz w:val="21"/>
                    </w:rPr>
                    <w:t>一般排放口</w:t>
                  </w:r>
                </w:p>
              </w:tc>
            </w:tr>
            <w:tr w14:paraId="47745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000" w:type="pct"/>
                  <w:gridSpan w:val="9"/>
                  <w:vAlign w:val="center"/>
                </w:tcPr>
                <w:p w14:paraId="4DFEEA6E">
                  <w:pPr>
                    <w:pStyle w:val="47"/>
                    <w:rPr>
                      <w:sz w:val="21"/>
                    </w:rPr>
                  </w:pPr>
                  <w:r>
                    <w:rPr>
                      <w:rFonts w:hint="eastAsia"/>
                      <w:sz w:val="21"/>
                    </w:rPr>
                    <w:t>排放标准：颗粒物、</w:t>
                  </w:r>
                  <w:r>
                    <w:rPr>
                      <w:sz w:val="21"/>
                    </w:rPr>
                    <w:t>NO</w:t>
                  </w:r>
                  <w:r>
                    <w:rPr>
                      <w:sz w:val="21"/>
                      <w:vertAlign w:val="subscript"/>
                    </w:rPr>
                    <w:t>x</w:t>
                  </w:r>
                  <w:r>
                    <w:rPr>
                      <w:rFonts w:hint="eastAsia"/>
                      <w:sz w:val="21"/>
                    </w:rPr>
                    <w:t>、</w:t>
                  </w:r>
                  <w:r>
                    <w:rPr>
                      <w:kern w:val="0"/>
                      <w:sz w:val="21"/>
                    </w:rPr>
                    <w:t>SO</w:t>
                  </w:r>
                  <w:r>
                    <w:rPr>
                      <w:kern w:val="0"/>
                      <w:sz w:val="21"/>
                      <w:vertAlign w:val="subscript"/>
                    </w:rPr>
                    <w:t>2</w:t>
                  </w:r>
                  <w:r>
                    <w:rPr>
                      <w:sz w:val="21"/>
                    </w:rPr>
                    <w:t>执行</w:t>
                  </w:r>
                  <w:r>
                    <w:rPr>
                      <w:rFonts w:hint="eastAsia"/>
                      <w:bCs/>
                      <w:sz w:val="21"/>
                    </w:rPr>
                    <w:t>广东省《锅炉大气污染物排放标准》（DB44/765-2019）表3大气污染物特别排放限值</w:t>
                  </w:r>
                  <w:r>
                    <w:rPr>
                      <w:rFonts w:hint="eastAsia"/>
                      <w:sz w:val="21"/>
                    </w:rPr>
                    <w:t>；</w:t>
                  </w:r>
                  <w:r>
                    <w:rPr>
                      <w:sz w:val="21"/>
                    </w:rPr>
                    <w:t>非甲烷总烃</w:t>
                  </w:r>
                  <w:r>
                    <w:rPr>
                      <w:rFonts w:hint="eastAsia"/>
                      <w:sz w:val="21"/>
                    </w:rPr>
                    <w:t>执行</w:t>
                  </w:r>
                  <w:r>
                    <w:rPr>
                      <w:rFonts w:hint="eastAsia"/>
                      <w:bCs/>
                      <w:sz w:val="21"/>
                    </w:rPr>
                    <w:t>广东省《固定污染源挥发性有机物综合排放标准》（DB44/2367-2022）表1挥发性有机物排放限值；</w:t>
                  </w:r>
                  <w:r>
                    <w:rPr>
                      <w:bCs/>
                      <w:sz w:val="21"/>
                    </w:rPr>
                    <w:t>硫化氢、氨、</w:t>
                  </w:r>
                  <w:r>
                    <w:rPr>
                      <w:rFonts w:hint="eastAsia"/>
                      <w:sz w:val="21"/>
                    </w:rPr>
                    <w:t>臭气浓度执行《恶臭污染物排放标准》（GB14554-93）表2恶臭污染物排放标准。</w:t>
                  </w:r>
                </w:p>
              </w:tc>
            </w:tr>
          </w:tbl>
          <w:p w14:paraId="23264AFD">
            <w:pPr>
              <w:adjustRightInd w:val="0"/>
              <w:snapToGrid w:val="0"/>
              <w:spacing w:before="120" w:beforeLines="50" w:line="360" w:lineRule="auto"/>
              <w:ind w:firstLine="480" w:firstLineChars="200"/>
              <w:rPr>
                <w:sz w:val="24"/>
                <w:szCs w:val="24"/>
              </w:rPr>
            </w:pPr>
            <w:r>
              <w:rPr>
                <w:rFonts w:hint="eastAsia"/>
                <w:sz w:val="24"/>
                <w:szCs w:val="24"/>
              </w:rPr>
              <w:t>根据《排污单位自行监测技术指南总则》（HJ819-2017）、《排污单位自行监测技术指南 工业固体废物和危险废物治理》（HJ1250-2022）、《排污单位自行监测技术指南 火力发电及锅炉》（HJ820-2017）、《排污许可证申请与核发技术规范 工业固体废物和危险废物治理》（</w:t>
            </w:r>
            <w:r>
              <w:rPr>
                <w:sz w:val="24"/>
                <w:szCs w:val="24"/>
              </w:rPr>
              <w:t>HJ1033-2019</w:t>
            </w:r>
            <w:r>
              <w:rPr>
                <w:rFonts w:hint="eastAsia"/>
                <w:sz w:val="24"/>
                <w:szCs w:val="24"/>
              </w:rPr>
              <w:t>）、《排污许可证申请与核发技术规范 锅炉》（</w:t>
            </w:r>
            <w:r>
              <w:rPr>
                <w:sz w:val="24"/>
                <w:szCs w:val="24"/>
              </w:rPr>
              <w:t>HJ953</w:t>
            </w:r>
            <w:r>
              <w:rPr>
                <w:rFonts w:hint="eastAsia"/>
                <w:sz w:val="24"/>
                <w:szCs w:val="24"/>
              </w:rPr>
              <w:t>—</w:t>
            </w:r>
            <w:r>
              <w:rPr>
                <w:sz w:val="24"/>
                <w:szCs w:val="24"/>
              </w:rPr>
              <w:t>2018</w:t>
            </w:r>
            <w:r>
              <w:rPr>
                <w:rFonts w:hint="eastAsia"/>
                <w:sz w:val="24"/>
                <w:szCs w:val="24"/>
              </w:rPr>
              <w:t>）等相关规定制定本项目大气监测计划，见表4-10。</w:t>
            </w:r>
          </w:p>
          <w:p w14:paraId="285A9D98">
            <w:pPr>
              <w:pStyle w:val="12"/>
              <w:ind w:left="0" w:leftChars="0" w:firstLine="0" w:firstLineChars="0"/>
              <w:jc w:val="center"/>
              <w:rPr>
                <w:b/>
              </w:rPr>
            </w:pPr>
            <w:r>
              <w:rPr>
                <w:rFonts w:hint="eastAsia"/>
                <w:b/>
              </w:rPr>
              <w:t>表4-10 运营期废气监测计划</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934"/>
              <w:gridCol w:w="1153"/>
              <w:gridCol w:w="1153"/>
              <w:gridCol w:w="1761"/>
              <w:gridCol w:w="2874"/>
            </w:tblGrid>
            <w:tr w14:paraId="33010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Align w:val="center"/>
                </w:tcPr>
                <w:p w14:paraId="2354AE78">
                  <w:pPr>
                    <w:jc w:val="center"/>
                    <w:rPr>
                      <w:bCs/>
                    </w:rPr>
                  </w:pPr>
                  <w:r>
                    <w:rPr>
                      <w:bCs/>
                    </w:rPr>
                    <w:t>类型</w:t>
                  </w:r>
                </w:p>
              </w:tc>
              <w:tc>
                <w:tcPr>
                  <w:tcW w:w="546" w:type="pct"/>
                  <w:vAlign w:val="center"/>
                </w:tcPr>
                <w:p w14:paraId="02B5EBE4">
                  <w:pPr>
                    <w:jc w:val="center"/>
                    <w:rPr>
                      <w:bCs/>
                    </w:rPr>
                  </w:pPr>
                  <w:r>
                    <w:rPr>
                      <w:bCs/>
                    </w:rPr>
                    <w:t>监测位置</w:t>
                  </w:r>
                </w:p>
              </w:tc>
              <w:tc>
                <w:tcPr>
                  <w:tcW w:w="674" w:type="pct"/>
                  <w:vAlign w:val="center"/>
                </w:tcPr>
                <w:p w14:paraId="18274972">
                  <w:pPr>
                    <w:jc w:val="center"/>
                    <w:rPr>
                      <w:bCs/>
                    </w:rPr>
                  </w:pPr>
                  <w:r>
                    <w:rPr>
                      <w:bCs/>
                    </w:rPr>
                    <w:t>监测项目</w:t>
                  </w:r>
                </w:p>
              </w:tc>
              <w:tc>
                <w:tcPr>
                  <w:tcW w:w="674" w:type="pct"/>
                  <w:vAlign w:val="center"/>
                </w:tcPr>
                <w:p w14:paraId="3639560F">
                  <w:pPr>
                    <w:jc w:val="center"/>
                    <w:rPr>
                      <w:bCs/>
                    </w:rPr>
                  </w:pPr>
                  <w:r>
                    <w:rPr>
                      <w:bCs/>
                    </w:rPr>
                    <w:t>监测频次</w:t>
                  </w:r>
                </w:p>
              </w:tc>
              <w:tc>
                <w:tcPr>
                  <w:tcW w:w="1029" w:type="pct"/>
                  <w:vAlign w:val="center"/>
                </w:tcPr>
                <w:p w14:paraId="7C31CA40">
                  <w:pPr>
                    <w:jc w:val="center"/>
                    <w:rPr>
                      <w:bCs/>
                    </w:rPr>
                  </w:pPr>
                  <w:r>
                    <w:rPr>
                      <w:rFonts w:hint="eastAsia"/>
                      <w:bCs/>
                    </w:rPr>
                    <w:t>浓度/速率</w:t>
                  </w:r>
                </w:p>
                <w:p w14:paraId="50A75E68">
                  <w:pPr>
                    <w:jc w:val="center"/>
                    <w:rPr>
                      <w:bCs/>
                    </w:rPr>
                  </w:pPr>
                  <w:r>
                    <w:rPr>
                      <w:rFonts w:hint="eastAsia"/>
                      <w:bCs/>
                    </w:rPr>
                    <w:t>限值</w:t>
                  </w:r>
                </w:p>
              </w:tc>
              <w:tc>
                <w:tcPr>
                  <w:tcW w:w="1680" w:type="pct"/>
                  <w:vAlign w:val="center"/>
                </w:tcPr>
                <w:p w14:paraId="3FDD9745">
                  <w:pPr>
                    <w:jc w:val="center"/>
                    <w:rPr>
                      <w:bCs/>
                    </w:rPr>
                  </w:pPr>
                  <w:r>
                    <w:rPr>
                      <w:bCs/>
                    </w:rPr>
                    <w:t>执行标准</w:t>
                  </w:r>
                </w:p>
              </w:tc>
            </w:tr>
            <w:tr w14:paraId="6BE6D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restart"/>
                  <w:vAlign w:val="center"/>
                </w:tcPr>
                <w:p w14:paraId="48F3834F">
                  <w:pPr>
                    <w:jc w:val="center"/>
                  </w:pPr>
                  <w:r>
                    <w:t>废气</w:t>
                  </w:r>
                </w:p>
              </w:tc>
              <w:tc>
                <w:tcPr>
                  <w:tcW w:w="546" w:type="pct"/>
                  <w:vMerge w:val="restart"/>
                  <w:vAlign w:val="center"/>
                </w:tcPr>
                <w:p w14:paraId="4101442B">
                  <w:pPr>
                    <w:jc w:val="center"/>
                  </w:pPr>
                  <w:r>
                    <w:t>DA001排气筒</w:t>
                  </w:r>
                </w:p>
              </w:tc>
              <w:tc>
                <w:tcPr>
                  <w:tcW w:w="674" w:type="pct"/>
                  <w:vAlign w:val="center"/>
                </w:tcPr>
                <w:p w14:paraId="68A0F09F">
                  <w:pPr>
                    <w:snapToGrid w:val="0"/>
                    <w:jc w:val="center"/>
                    <w:rPr>
                      <w:lang w:bidi="ar"/>
                    </w:rPr>
                  </w:pPr>
                  <w:r>
                    <w:rPr>
                      <w:rFonts w:hint="eastAsia"/>
                    </w:rPr>
                    <w:t>颗粒物</w:t>
                  </w:r>
                </w:p>
              </w:tc>
              <w:tc>
                <w:tcPr>
                  <w:tcW w:w="674" w:type="pct"/>
                  <w:vAlign w:val="center"/>
                </w:tcPr>
                <w:p w14:paraId="013BFD26">
                  <w:pPr>
                    <w:jc w:val="center"/>
                  </w:pPr>
                  <w:r>
                    <w:t>1次/</w:t>
                  </w:r>
                  <w:r>
                    <w:rPr>
                      <w:rFonts w:hint="eastAsia"/>
                    </w:rPr>
                    <w:t>月</w:t>
                  </w:r>
                </w:p>
              </w:tc>
              <w:tc>
                <w:tcPr>
                  <w:tcW w:w="1029" w:type="pct"/>
                  <w:vAlign w:val="center"/>
                </w:tcPr>
                <w:p w14:paraId="756B582B">
                  <w:pPr>
                    <w:jc w:val="center"/>
                  </w:pPr>
                  <w:r>
                    <w:rPr>
                      <w:rFonts w:hint="eastAsia"/>
                    </w:rPr>
                    <w:t>10</w:t>
                  </w:r>
                  <w:r>
                    <w:t>mg/m</w:t>
                  </w:r>
                  <w:r>
                    <w:rPr>
                      <w:vertAlign w:val="superscript"/>
                    </w:rPr>
                    <w:t>3</w:t>
                  </w:r>
                </w:p>
              </w:tc>
              <w:tc>
                <w:tcPr>
                  <w:tcW w:w="1680" w:type="pct"/>
                  <w:vMerge w:val="restart"/>
                  <w:vAlign w:val="center"/>
                </w:tcPr>
                <w:p w14:paraId="322260C2">
                  <w:pPr>
                    <w:jc w:val="center"/>
                  </w:pPr>
                  <w:r>
                    <w:rPr>
                      <w:rFonts w:hint="eastAsia"/>
                      <w:bCs/>
                    </w:rPr>
                    <w:t>广东省《锅炉大气污染物排放标准》（DB44/765-2019）表3大气污染物特别排放限值</w:t>
                  </w:r>
                </w:p>
              </w:tc>
            </w:tr>
            <w:tr w14:paraId="0AA6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10DA09DC">
                  <w:pPr>
                    <w:jc w:val="center"/>
                  </w:pPr>
                </w:p>
              </w:tc>
              <w:tc>
                <w:tcPr>
                  <w:tcW w:w="546" w:type="pct"/>
                  <w:vMerge w:val="continue"/>
                  <w:vAlign w:val="center"/>
                </w:tcPr>
                <w:p w14:paraId="17B8EF80">
                  <w:pPr>
                    <w:jc w:val="center"/>
                  </w:pPr>
                </w:p>
              </w:tc>
              <w:tc>
                <w:tcPr>
                  <w:tcW w:w="674" w:type="pct"/>
                  <w:vAlign w:val="center"/>
                </w:tcPr>
                <w:p w14:paraId="2CC8CC48">
                  <w:pPr>
                    <w:snapToGrid w:val="0"/>
                    <w:jc w:val="center"/>
                  </w:pPr>
                  <w:r>
                    <w:t>NO</w:t>
                  </w:r>
                  <w:r>
                    <w:rPr>
                      <w:vertAlign w:val="subscript"/>
                    </w:rPr>
                    <w:t>x</w:t>
                  </w:r>
                </w:p>
              </w:tc>
              <w:tc>
                <w:tcPr>
                  <w:tcW w:w="674" w:type="pct"/>
                  <w:vAlign w:val="center"/>
                </w:tcPr>
                <w:p w14:paraId="2E51A446">
                  <w:pPr>
                    <w:jc w:val="center"/>
                  </w:pPr>
                  <w:r>
                    <w:t>1次/</w:t>
                  </w:r>
                  <w:r>
                    <w:rPr>
                      <w:rFonts w:hint="eastAsia"/>
                    </w:rPr>
                    <w:t>月</w:t>
                  </w:r>
                </w:p>
              </w:tc>
              <w:tc>
                <w:tcPr>
                  <w:tcW w:w="1029" w:type="pct"/>
                  <w:vAlign w:val="center"/>
                </w:tcPr>
                <w:p w14:paraId="0D17DB2A">
                  <w:pPr>
                    <w:jc w:val="center"/>
                  </w:pPr>
                  <w:r>
                    <w:rPr>
                      <w:rFonts w:hint="eastAsia"/>
                    </w:rPr>
                    <w:t>50</w:t>
                  </w:r>
                  <w:r>
                    <w:t xml:space="preserve"> mg/m</w:t>
                  </w:r>
                  <w:r>
                    <w:rPr>
                      <w:vertAlign w:val="superscript"/>
                    </w:rPr>
                    <w:t>3</w:t>
                  </w:r>
                </w:p>
              </w:tc>
              <w:tc>
                <w:tcPr>
                  <w:tcW w:w="1680" w:type="pct"/>
                  <w:vMerge w:val="continue"/>
                  <w:vAlign w:val="center"/>
                </w:tcPr>
                <w:p w14:paraId="673F838B">
                  <w:pPr>
                    <w:jc w:val="center"/>
                  </w:pPr>
                </w:p>
              </w:tc>
            </w:tr>
            <w:tr w14:paraId="159B7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283A605B">
                  <w:pPr>
                    <w:jc w:val="center"/>
                  </w:pPr>
                </w:p>
              </w:tc>
              <w:tc>
                <w:tcPr>
                  <w:tcW w:w="546" w:type="pct"/>
                  <w:vMerge w:val="continue"/>
                  <w:vAlign w:val="center"/>
                </w:tcPr>
                <w:p w14:paraId="628F44B2">
                  <w:pPr>
                    <w:jc w:val="center"/>
                  </w:pPr>
                </w:p>
              </w:tc>
              <w:tc>
                <w:tcPr>
                  <w:tcW w:w="674" w:type="pct"/>
                  <w:vAlign w:val="center"/>
                </w:tcPr>
                <w:p w14:paraId="2D4B3F00">
                  <w:pPr>
                    <w:snapToGrid w:val="0"/>
                    <w:jc w:val="center"/>
                  </w:pPr>
                  <w:r>
                    <w:rPr>
                      <w:kern w:val="0"/>
                    </w:rPr>
                    <w:t>SO</w:t>
                  </w:r>
                  <w:r>
                    <w:rPr>
                      <w:kern w:val="0"/>
                      <w:vertAlign w:val="subscript"/>
                    </w:rPr>
                    <w:t>2</w:t>
                  </w:r>
                </w:p>
              </w:tc>
              <w:tc>
                <w:tcPr>
                  <w:tcW w:w="674" w:type="pct"/>
                  <w:vAlign w:val="center"/>
                </w:tcPr>
                <w:p w14:paraId="3ABCB0C7">
                  <w:pPr>
                    <w:jc w:val="center"/>
                  </w:pPr>
                  <w:r>
                    <w:t>1次/</w:t>
                  </w:r>
                  <w:r>
                    <w:rPr>
                      <w:rFonts w:hint="eastAsia"/>
                    </w:rPr>
                    <w:t>月</w:t>
                  </w:r>
                </w:p>
              </w:tc>
              <w:tc>
                <w:tcPr>
                  <w:tcW w:w="1029" w:type="pct"/>
                  <w:vAlign w:val="center"/>
                </w:tcPr>
                <w:p w14:paraId="73D68A99">
                  <w:pPr>
                    <w:jc w:val="center"/>
                  </w:pPr>
                  <w:r>
                    <w:rPr>
                      <w:rFonts w:hint="eastAsia"/>
                    </w:rPr>
                    <w:t>35</w:t>
                  </w:r>
                  <w:r>
                    <w:t xml:space="preserve"> mg/m</w:t>
                  </w:r>
                  <w:r>
                    <w:rPr>
                      <w:vertAlign w:val="superscript"/>
                    </w:rPr>
                    <w:t>3</w:t>
                  </w:r>
                </w:p>
              </w:tc>
              <w:tc>
                <w:tcPr>
                  <w:tcW w:w="1680" w:type="pct"/>
                  <w:vMerge w:val="continue"/>
                  <w:vAlign w:val="center"/>
                </w:tcPr>
                <w:p w14:paraId="088FF44A">
                  <w:pPr>
                    <w:jc w:val="center"/>
                  </w:pPr>
                </w:p>
              </w:tc>
            </w:tr>
            <w:tr w14:paraId="44A9D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079D88D2">
                  <w:pPr>
                    <w:jc w:val="center"/>
                  </w:pPr>
                </w:p>
              </w:tc>
              <w:tc>
                <w:tcPr>
                  <w:tcW w:w="546" w:type="pct"/>
                  <w:vMerge w:val="continue"/>
                  <w:vAlign w:val="center"/>
                </w:tcPr>
                <w:p w14:paraId="4196981C">
                  <w:pPr>
                    <w:jc w:val="center"/>
                  </w:pPr>
                </w:p>
              </w:tc>
              <w:tc>
                <w:tcPr>
                  <w:tcW w:w="674" w:type="pct"/>
                  <w:vAlign w:val="center"/>
                </w:tcPr>
                <w:p w14:paraId="49565060">
                  <w:pPr>
                    <w:snapToGrid w:val="0"/>
                    <w:jc w:val="center"/>
                  </w:pPr>
                  <w:r>
                    <w:rPr>
                      <w:rFonts w:hint="eastAsia"/>
                    </w:rPr>
                    <w:t>烟气黑度</w:t>
                  </w:r>
                </w:p>
              </w:tc>
              <w:tc>
                <w:tcPr>
                  <w:tcW w:w="674" w:type="pct"/>
                  <w:vAlign w:val="center"/>
                </w:tcPr>
                <w:p w14:paraId="0F56436D">
                  <w:pPr>
                    <w:jc w:val="center"/>
                  </w:pPr>
                  <w:r>
                    <w:t>1次/</w:t>
                  </w:r>
                  <w:r>
                    <w:rPr>
                      <w:rFonts w:hint="eastAsia"/>
                    </w:rPr>
                    <w:t>月</w:t>
                  </w:r>
                </w:p>
              </w:tc>
              <w:tc>
                <w:tcPr>
                  <w:tcW w:w="1029" w:type="pct"/>
                  <w:vAlign w:val="center"/>
                </w:tcPr>
                <w:p w14:paraId="7B656A2F">
                  <w:pPr>
                    <w:jc w:val="center"/>
                  </w:pPr>
                  <w:r>
                    <w:rPr>
                      <w:rFonts w:hint="eastAsia"/>
                    </w:rPr>
                    <w:t>≤</w:t>
                  </w:r>
                  <w:r>
                    <w:t>1</w:t>
                  </w:r>
                </w:p>
              </w:tc>
              <w:tc>
                <w:tcPr>
                  <w:tcW w:w="1680" w:type="pct"/>
                  <w:vMerge w:val="restart"/>
                  <w:vAlign w:val="center"/>
                </w:tcPr>
                <w:p w14:paraId="7CA7991D">
                  <w:pPr>
                    <w:jc w:val="center"/>
                  </w:pPr>
                  <w:r>
                    <w:rPr>
                      <w:rFonts w:hint="eastAsia"/>
                      <w:bCs/>
                    </w:rPr>
                    <w:t>广东省《锅炉大气污染物排放标准》（DB44/765-2019）表2排放限值</w:t>
                  </w:r>
                </w:p>
              </w:tc>
            </w:tr>
            <w:tr w14:paraId="38C7C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43211F4A">
                  <w:pPr>
                    <w:jc w:val="center"/>
                  </w:pPr>
                </w:p>
              </w:tc>
              <w:tc>
                <w:tcPr>
                  <w:tcW w:w="546" w:type="pct"/>
                  <w:vMerge w:val="continue"/>
                  <w:vAlign w:val="center"/>
                </w:tcPr>
                <w:p w14:paraId="68BA3FC8">
                  <w:pPr>
                    <w:jc w:val="center"/>
                  </w:pPr>
                </w:p>
              </w:tc>
              <w:tc>
                <w:tcPr>
                  <w:tcW w:w="674" w:type="pct"/>
                  <w:vAlign w:val="center"/>
                </w:tcPr>
                <w:p w14:paraId="4C2DDD0F">
                  <w:pPr>
                    <w:snapToGrid w:val="0"/>
                    <w:jc w:val="center"/>
                  </w:pPr>
                  <w:r>
                    <w:rPr>
                      <w:rFonts w:hint="eastAsia"/>
                    </w:rPr>
                    <w:t>CO</w:t>
                  </w:r>
                </w:p>
              </w:tc>
              <w:tc>
                <w:tcPr>
                  <w:tcW w:w="674" w:type="pct"/>
                  <w:vAlign w:val="center"/>
                </w:tcPr>
                <w:p w14:paraId="16865687">
                  <w:pPr>
                    <w:jc w:val="center"/>
                  </w:pPr>
                  <w:r>
                    <w:t>1次/</w:t>
                  </w:r>
                  <w:r>
                    <w:rPr>
                      <w:rFonts w:hint="eastAsia"/>
                    </w:rPr>
                    <w:t>月</w:t>
                  </w:r>
                </w:p>
              </w:tc>
              <w:tc>
                <w:tcPr>
                  <w:tcW w:w="1029" w:type="pct"/>
                  <w:vAlign w:val="center"/>
                </w:tcPr>
                <w:p w14:paraId="3AB236DC">
                  <w:pPr>
                    <w:jc w:val="center"/>
                  </w:pPr>
                  <w:r>
                    <w:rPr>
                      <w:rFonts w:hint="eastAsia"/>
                    </w:rPr>
                    <w:t>200</w:t>
                  </w:r>
                  <w:r>
                    <w:t xml:space="preserve"> mg/m</w:t>
                  </w:r>
                  <w:r>
                    <w:rPr>
                      <w:vertAlign w:val="superscript"/>
                    </w:rPr>
                    <w:t>3</w:t>
                  </w:r>
                </w:p>
              </w:tc>
              <w:tc>
                <w:tcPr>
                  <w:tcW w:w="1680" w:type="pct"/>
                  <w:vMerge w:val="continue"/>
                  <w:vAlign w:val="center"/>
                </w:tcPr>
                <w:p w14:paraId="61EF6A24">
                  <w:pPr>
                    <w:jc w:val="center"/>
                  </w:pPr>
                </w:p>
              </w:tc>
            </w:tr>
            <w:tr w14:paraId="1AA0A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1CE6BE7A">
                  <w:pPr>
                    <w:jc w:val="center"/>
                  </w:pPr>
                </w:p>
              </w:tc>
              <w:tc>
                <w:tcPr>
                  <w:tcW w:w="546" w:type="pct"/>
                  <w:vMerge w:val="restart"/>
                  <w:vAlign w:val="center"/>
                </w:tcPr>
                <w:p w14:paraId="5B260EC2">
                  <w:pPr>
                    <w:jc w:val="center"/>
                  </w:pPr>
                  <w:r>
                    <w:t>DA00</w:t>
                  </w:r>
                  <w:r>
                    <w:rPr>
                      <w:rFonts w:hint="eastAsia"/>
                    </w:rPr>
                    <w:t>3</w:t>
                  </w:r>
                  <w:r>
                    <w:t>排气筒</w:t>
                  </w:r>
                </w:p>
              </w:tc>
              <w:tc>
                <w:tcPr>
                  <w:tcW w:w="674" w:type="pct"/>
                  <w:vAlign w:val="center"/>
                </w:tcPr>
                <w:p w14:paraId="5E110A68">
                  <w:pPr>
                    <w:snapToGrid w:val="0"/>
                    <w:jc w:val="center"/>
                  </w:pPr>
                  <w:r>
                    <w:rPr>
                      <w:rFonts w:hint="eastAsia"/>
                    </w:rPr>
                    <w:t>非甲烷总烃</w:t>
                  </w:r>
                </w:p>
              </w:tc>
              <w:tc>
                <w:tcPr>
                  <w:tcW w:w="674" w:type="pct"/>
                  <w:vAlign w:val="center"/>
                </w:tcPr>
                <w:p w14:paraId="4EC92121">
                  <w:pPr>
                    <w:jc w:val="center"/>
                  </w:pPr>
                  <w:r>
                    <w:t>1次/</w:t>
                  </w:r>
                  <w:r>
                    <w:rPr>
                      <w:rFonts w:hint="eastAsia"/>
                    </w:rPr>
                    <w:t>半年</w:t>
                  </w:r>
                </w:p>
              </w:tc>
              <w:tc>
                <w:tcPr>
                  <w:tcW w:w="1029" w:type="pct"/>
                  <w:vAlign w:val="center"/>
                </w:tcPr>
                <w:p w14:paraId="1508D7AB">
                  <w:pPr>
                    <w:jc w:val="center"/>
                  </w:pPr>
                  <w:r>
                    <w:rPr>
                      <w:rFonts w:hint="eastAsia"/>
                    </w:rPr>
                    <w:t>80</w:t>
                  </w:r>
                  <w:r>
                    <w:t xml:space="preserve"> mg/m</w:t>
                  </w:r>
                  <w:r>
                    <w:rPr>
                      <w:vertAlign w:val="superscript"/>
                    </w:rPr>
                    <w:t>3</w:t>
                  </w:r>
                </w:p>
              </w:tc>
              <w:tc>
                <w:tcPr>
                  <w:tcW w:w="1680" w:type="pct"/>
                  <w:vAlign w:val="center"/>
                </w:tcPr>
                <w:p w14:paraId="0F466516">
                  <w:pPr>
                    <w:jc w:val="center"/>
                  </w:pPr>
                  <w:r>
                    <w:rPr>
                      <w:rFonts w:hint="eastAsia"/>
                      <w:bCs/>
                    </w:rPr>
                    <w:t>广东省《固定污染源挥发性有机物综合排放标准》（DB44/2367-2022）表1挥发性有机物排放限值</w:t>
                  </w:r>
                </w:p>
              </w:tc>
            </w:tr>
            <w:tr w14:paraId="2A90B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5AC26A52">
                  <w:pPr>
                    <w:jc w:val="center"/>
                  </w:pPr>
                </w:p>
              </w:tc>
              <w:tc>
                <w:tcPr>
                  <w:tcW w:w="546" w:type="pct"/>
                  <w:vMerge w:val="continue"/>
                  <w:vAlign w:val="center"/>
                </w:tcPr>
                <w:p w14:paraId="6F75BD01">
                  <w:pPr>
                    <w:jc w:val="center"/>
                  </w:pPr>
                </w:p>
              </w:tc>
              <w:tc>
                <w:tcPr>
                  <w:tcW w:w="674" w:type="pct"/>
                  <w:vAlign w:val="center"/>
                </w:tcPr>
                <w:p w14:paraId="12E0BAD0">
                  <w:pPr>
                    <w:snapToGrid w:val="0"/>
                    <w:jc w:val="center"/>
                  </w:pPr>
                  <w:r>
                    <w:rPr>
                      <w:bCs/>
                    </w:rPr>
                    <w:t>硫化氢</w:t>
                  </w:r>
                </w:p>
              </w:tc>
              <w:tc>
                <w:tcPr>
                  <w:tcW w:w="674" w:type="pct"/>
                  <w:vAlign w:val="center"/>
                </w:tcPr>
                <w:p w14:paraId="526B8352">
                  <w:pPr>
                    <w:jc w:val="center"/>
                  </w:pPr>
                  <w:r>
                    <w:t>1次/</w:t>
                  </w:r>
                  <w:r>
                    <w:rPr>
                      <w:rFonts w:hint="eastAsia"/>
                    </w:rPr>
                    <w:t>半年</w:t>
                  </w:r>
                </w:p>
              </w:tc>
              <w:tc>
                <w:tcPr>
                  <w:tcW w:w="1029" w:type="pct"/>
                  <w:vAlign w:val="center"/>
                </w:tcPr>
                <w:p w14:paraId="0199BEC1">
                  <w:pPr>
                    <w:jc w:val="center"/>
                  </w:pPr>
                  <w:r>
                    <w:rPr>
                      <w:rFonts w:hint="eastAsia"/>
                    </w:rPr>
                    <w:t>0.33kg</w:t>
                  </w:r>
                  <w:r>
                    <w:t>/</w:t>
                  </w:r>
                  <w:r>
                    <w:rPr>
                      <w:rFonts w:hint="eastAsia"/>
                    </w:rPr>
                    <w:t>h</w:t>
                  </w:r>
                </w:p>
              </w:tc>
              <w:tc>
                <w:tcPr>
                  <w:tcW w:w="1680" w:type="pct"/>
                  <w:vMerge w:val="restart"/>
                  <w:vAlign w:val="center"/>
                </w:tcPr>
                <w:p w14:paraId="02379D0D">
                  <w:pPr>
                    <w:jc w:val="center"/>
                  </w:pPr>
                  <w:r>
                    <w:rPr>
                      <w:rFonts w:hint="eastAsia"/>
                    </w:rPr>
                    <w:t>《恶臭污染物排放标准》（GB14554-93）表2恶臭污染物排放标准</w:t>
                  </w:r>
                </w:p>
              </w:tc>
            </w:tr>
            <w:tr w14:paraId="62B16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03D71EF9">
                  <w:pPr>
                    <w:jc w:val="center"/>
                  </w:pPr>
                </w:p>
              </w:tc>
              <w:tc>
                <w:tcPr>
                  <w:tcW w:w="546" w:type="pct"/>
                  <w:vMerge w:val="continue"/>
                  <w:vAlign w:val="center"/>
                </w:tcPr>
                <w:p w14:paraId="6ECBF552">
                  <w:pPr>
                    <w:jc w:val="center"/>
                  </w:pPr>
                </w:p>
              </w:tc>
              <w:tc>
                <w:tcPr>
                  <w:tcW w:w="674" w:type="pct"/>
                  <w:vAlign w:val="center"/>
                </w:tcPr>
                <w:p w14:paraId="218F33D7">
                  <w:pPr>
                    <w:snapToGrid w:val="0"/>
                    <w:jc w:val="center"/>
                  </w:pPr>
                  <w:r>
                    <w:rPr>
                      <w:bCs/>
                    </w:rPr>
                    <w:t>氨</w:t>
                  </w:r>
                </w:p>
              </w:tc>
              <w:tc>
                <w:tcPr>
                  <w:tcW w:w="674" w:type="pct"/>
                  <w:vAlign w:val="center"/>
                </w:tcPr>
                <w:p w14:paraId="0DC48C0F">
                  <w:pPr>
                    <w:jc w:val="center"/>
                  </w:pPr>
                  <w:r>
                    <w:t>1次/</w:t>
                  </w:r>
                  <w:r>
                    <w:rPr>
                      <w:rFonts w:hint="eastAsia"/>
                    </w:rPr>
                    <w:t>半年</w:t>
                  </w:r>
                </w:p>
              </w:tc>
              <w:tc>
                <w:tcPr>
                  <w:tcW w:w="1029" w:type="pct"/>
                  <w:vAlign w:val="center"/>
                </w:tcPr>
                <w:p w14:paraId="483DE3D4">
                  <w:pPr>
                    <w:jc w:val="center"/>
                  </w:pPr>
                  <w:r>
                    <w:rPr>
                      <w:rFonts w:hint="eastAsia"/>
                    </w:rPr>
                    <w:t>4.9kg</w:t>
                  </w:r>
                  <w:r>
                    <w:t>/</w:t>
                  </w:r>
                  <w:r>
                    <w:rPr>
                      <w:rFonts w:hint="eastAsia"/>
                    </w:rPr>
                    <w:t>h</w:t>
                  </w:r>
                </w:p>
              </w:tc>
              <w:tc>
                <w:tcPr>
                  <w:tcW w:w="1680" w:type="pct"/>
                  <w:vMerge w:val="continue"/>
                  <w:vAlign w:val="center"/>
                </w:tcPr>
                <w:p w14:paraId="095A27B1">
                  <w:pPr>
                    <w:jc w:val="center"/>
                  </w:pPr>
                </w:p>
              </w:tc>
            </w:tr>
            <w:tr w14:paraId="3C950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377AD00F">
                  <w:pPr>
                    <w:jc w:val="center"/>
                  </w:pPr>
                </w:p>
              </w:tc>
              <w:tc>
                <w:tcPr>
                  <w:tcW w:w="546" w:type="pct"/>
                  <w:vMerge w:val="continue"/>
                  <w:vAlign w:val="center"/>
                </w:tcPr>
                <w:p w14:paraId="7D8CA0AB">
                  <w:pPr>
                    <w:jc w:val="center"/>
                  </w:pPr>
                </w:p>
              </w:tc>
              <w:tc>
                <w:tcPr>
                  <w:tcW w:w="674" w:type="pct"/>
                  <w:vAlign w:val="center"/>
                </w:tcPr>
                <w:p w14:paraId="16FCBC6E">
                  <w:pPr>
                    <w:snapToGrid w:val="0"/>
                    <w:jc w:val="center"/>
                  </w:pPr>
                  <w:r>
                    <w:rPr>
                      <w:rFonts w:hint="eastAsia"/>
                      <w:bCs/>
                    </w:rPr>
                    <w:t>臭气浓度</w:t>
                  </w:r>
                </w:p>
              </w:tc>
              <w:tc>
                <w:tcPr>
                  <w:tcW w:w="674" w:type="pct"/>
                  <w:vAlign w:val="center"/>
                </w:tcPr>
                <w:p w14:paraId="78D5889F">
                  <w:pPr>
                    <w:jc w:val="center"/>
                  </w:pPr>
                  <w:r>
                    <w:t>1次/</w:t>
                  </w:r>
                  <w:r>
                    <w:rPr>
                      <w:rFonts w:hint="eastAsia"/>
                    </w:rPr>
                    <w:t>半年</w:t>
                  </w:r>
                </w:p>
              </w:tc>
              <w:tc>
                <w:tcPr>
                  <w:tcW w:w="1029" w:type="pct"/>
                  <w:vAlign w:val="center"/>
                </w:tcPr>
                <w:p w14:paraId="3592AAD4">
                  <w:pPr>
                    <w:jc w:val="center"/>
                  </w:pPr>
                  <w:r>
                    <w:rPr>
                      <w:rFonts w:hint="eastAsia"/>
                    </w:rPr>
                    <w:t>2000</w:t>
                  </w:r>
                </w:p>
                <w:p w14:paraId="32E73299">
                  <w:pPr>
                    <w:jc w:val="center"/>
                  </w:pPr>
                  <w:r>
                    <w:rPr>
                      <w:rFonts w:hint="eastAsia"/>
                    </w:rPr>
                    <w:t>（无量纲）</w:t>
                  </w:r>
                </w:p>
              </w:tc>
              <w:tc>
                <w:tcPr>
                  <w:tcW w:w="1680" w:type="pct"/>
                  <w:vMerge w:val="continue"/>
                  <w:vAlign w:val="center"/>
                </w:tcPr>
                <w:p w14:paraId="6A8CF4B7">
                  <w:pPr>
                    <w:jc w:val="center"/>
                  </w:pPr>
                </w:p>
              </w:tc>
            </w:tr>
            <w:tr w14:paraId="7F2F3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339FC73C">
                  <w:pPr>
                    <w:jc w:val="center"/>
                  </w:pPr>
                </w:p>
              </w:tc>
              <w:tc>
                <w:tcPr>
                  <w:tcW w:w="546" w:type="pct"/>
                  <w:vMerge w:val="restart"/>
                  <w:vAlign w:val="center"/>
                </w:tcPr>
                <w:p w14:paraId="13AB275C">
                  <w:pPr>
                    <w:jc w:val="center"/>
                  </w:pPr>
                  <w:r>
                    <w:t>厂界无组织</w:t>
                  </w:r>
                </w:p>
              </w:tc>
              <w:tc>
                <w:tcPr>
                  <w:tcW w:w="674" w:type="pct"/>
                  <w:vAlign w:val="center"/>
                </w:tcPr>
                <w:p w14:paraId="2811B0BE">
                  <w:pPr>
                    <w:snapToGrid w:val="0"/>
                    <w:jc w:val="center"/>
                  </w:pPr>
                  <w:r>
                    <w:rPr>
                      <w:bCs/>
                    </w:rPr>
                    <w:t>硫化氢</w:t>
                  </w:r>
                </w:p>
              </w:tc>
              <w:tc>
                <w:tcPr>
                  <w:tcW w:w="674" w:type="pct"/>
                  <w:vAlign w:val="center"/>
                </w:tcPr>
                <w:p w14:paraId="49B624F7">
                  <w:pPr>
                    <w:jc w:val="center"/>
                  </w:pPr>
                  <w:r>
                    <w:t>1次/</w:t>
                  </w:r>
                  <w:r>
                    <w:rPr>
                      <w:rFonts w:hint="eastAsia"/>
                    </w:rPr>
                    <w:t>半年</w:t>
                  </w:r>
                </w:p>
              </w:tc>
              <w:tc>
                <w:tcPr>
                  <w:tcW w:w="1029" w:type="pct"/>
                  <w:vAlign w:val="center"/>
                </w:tcPr>
                <w:p w14:paraId="6BB4FD8E">
                  <w:pPr>
                    <w:widowControl/>
                    <w:jc w:val="center"/>
                  </w:pPr>
                  <w:r>
                    <w:rPr>
                      <w:rFonts w:hint="eastAsia"/>
                    </w:rPr>
                    <w:t>0.06</w:t>
                  </w:r>
                  <w:r>
                    <w:t>mg/m</w:t>
                  </w:r>
                  <w:r>
                    <w:rPr>
                      <w:vertAlign w:val="superscript"/>
                    </w:rPr>
                    <w:t>3</w:t>
                  </w:r>
                </w:p>
              </w:tc>
              <w:tc>
                <w:tcPr>
                  <w:tcW w:w="1680" w:type="pct"/>
                  <w:vMerge w:val="restart"/>
                  <w:vAlign w:val="center"/>
                </w:tcPr>
                <w:p w14:paraId="19702B05">
                  <w:pPr>
                    <w:widowControl/>
                    <w:jc w:val="center"/>
                  </w:pPr>
                  <w:r>
                    <w:rPr>
                      <w:rFonts w:hint="eastAsia"/>
                      <w:bCs/>
                    </w:rPr>
                    <w:t>《恶臭污染物排放标准》（GB14554-93）表1恶臭污染物厂界标准值二级新改扩建标准</w:t>
                  </w:r>
                </w:p>
              </w:tc>
            </w:tr>
            <w:tr w14:paraId="443F0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507DE3A3">
                  <w:pPr>
                    <w:jc w:val="center"/>
                  </w:pPr>
                </w:p>
              </w:tc>
              <w:tc>
                <w:tcPr>
                  <w:tcW w:w="546" w:type="pct"/>
                  <w:vMerge w:val="continue"/>
                  <w:vAlign w:val="center"/>
                </w:tcPr>
                <w:p w14:paraId="0892B3DE">
                  <w:pPr>
                    <w:jc w:val="center"/>
                  </w:pPr>
                </w:p>
              </w:tc>
              <w:tc>
                <w:tcPr>
                  <w:tcW w:w="674" w:type="pct"/>
                  <w:vAlign w:val="center"/>
                </w:tcPr>
                <w:p w14:paraId="7F0B0258">
                  <w:pPr>
                    <w:snapToGrid w:val="0"/>
                    <w:jc w:val="center"/>
                  </w:pPr>
                  <w:r>
                    <w:rPr>
                      <w:bCs/>
                    </w:rPr>
                    <w:t>氨</w:t>
                  </w:r>
                </w:p>
              </w:tc>
              <w:tc>
                <w:tcPr>
                  <w:tcW w:w="674" w:type="pct"/>
                  <w:vAlign w:val="center"/>
                </w:tcPr>
                <w:p w14:paraId="6465DABC">
                  <w:pPr>
                    <w:jc w:val="center"/>
                  </w:pPr>
                  <w:r>
                    <w:t>1次/</w:t>
                  </w:r>
                  <w:r>
                    <w:rPr>
                      <w:rFonts w:hint="eastAsia"/>
                    </w:rPr>
                    <w:t>半年</w:t>
                  </w:r>
                </w:p>
              </w:tc>
              <w:tc>
                <w:tcPr>
                  <w:tcW w:w="1029" w:type="pct"/>
                  <w:vAlign w:val="center"/>
                </w:tcPr>
                <w:p w14:paraId="32854660">
                  <w:pPr>
                    <w:widowControl/>
                    <w:jc w:val="center"/>
                  </w:pPr>
                  <w:r>
                    <w:rPr>
                      <w:rFonts w:hint="eastAsia"/>
                    </w:rPr>
                    <w:t>1.5</w:t>
                  </w:r>
                  <w:r>
                    <w:t>mg/m</w:t>
                  </w:r>
                  <w:r>
                    <w:rPr>
                      <w:vertAlign w:val="superscript"/>
                    </w:rPr>
                    <w:t>3</w:t>
                  </w:r>
                </w:p>
              </w:tc>
              <w:tc>
                <w:tcPr>
                  <w:tcW w:w="1680" w:type="pct"/>
                  <w:vMerge w:val="continue"/>
                  <w:vAlign w:val="center"/>
                </w:tcPr>
                <w:p w14:paraId="3DE98FD1">
                  <w:pPr>
                    <w:widowControl/>
                    <w:jc w:val="center"/>
                  </w:pPr>
                </w:p>
              </w:tc>
            </w:tr>
            <w:tr w14:paraId="5E624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421F32CF">
                  <w:pPr>
                    <w:jc w:val="center"/>
                  </w:pPr>
                </w:p>
              </w:tc>
              <w:tc>
                <w:tcPr>
                  <w:tcW w:w="546" w:type="pct"/>
                  <w:vMerge w:val="continue"/>
                  <w:vAlign w:val="center"/>
                </w:tcPr>
                <w:p w14:paraId="41ED1062">
                  <w:pPr>
                    <w:jc w:val="center"/>
                  </w:pPr>
                </w:p>
              </w:tc>
              <w:tc>
                <w:tcPr>
                  <w:tcW w:w="674" w:type="pct"/>
                  <w:vAlign w:val="center"/>
                </w:tcPr>
                <w:p w14:paraId="3E9A49A2">
                  <w:pPr>
                    <w:snapToGrid w:val="0"/>
                    <w:jc w:val="center"/>
                  </w:pPr>
                  <w:r>
                    <w:rPr>
                      <w:rFonts w:hint="eastAsia"/>
                      <w:bCs/>
                    </w:rPr>
                    <w:t>臭气浓度</w:t>
                  </w:r>
                </w:p>
              </w:tc>
              <w:tc>
                <w:tcPr>
                  <w:tcW w:w="674" w:type="pct"/>
                  <w:vAlign w:val="center"/>
                </w:tcPr>
                <w:p w14:paraId="40079103">
                  <w:pPr>
                    <w:jc w:val="center"/>
                  </w:pPr>
                  <w:r>
                    <w:t>1次/</w:t>
                  </w:r>
                  <w:r>
                    <w:rPr>
                      <w:rFonts w:hint="eastAsia"/>
                    </w:rPr>
                    <w:t>半年</w:t>
                  </w:r>
                </w:p>
              </w:tc>
              <w:tc>
                <w:tcPr>
                  <w:tcW w:w="1029" w:type="pct"/>
                  <w:vAlign w:val="center"/>
                </w:tcPr>
                <w:p w14:paraId="4D289384">
                  <w:pPr>
                    <w:pStyle w:val="47"/>
                    <w:jc w:val="center"/>
                    <w:rPr>
                      <w:sz w:val="21"/>
                    </w:rPr>
                  </w:pPr>
                  <w:r>
                    <w:rPr>
                      <w:rFonts w:hint="eastAsia"/>
                      <w:sz w:val="21"/>
                    </w:rPr>
                    <w:t>20</w:t>
                  </w:r>
                </w:p>
                <w:p w14:paraId="7D52ECAA">
                  <w:pPr>
                    <w:widowControl/>
                    <w:jc w:val="center"/>
                  </w:pPr>
                  <w:r>
                    <w:rPr>
                      <w:rFonts w:hint="eastAsia"/>
                    </w:rPr>
                    <w:t>（无量纲）</w:t>
                  </w:r>
                </w:p>
              </w:tc>
              <w:tc>
                <w:tcPr>
                  <w:tcW w:w="1680" w:type="pct"/>
                  <w:vMerge w:val="continue"/>
                  <w:vAlign w:val="center"/>
                </w:tcPr>
                <w:p w14:paraId="714E2805">
                  <w:pPr>
                    <w:widowControl/>
                    <w:jc w:val="center"/>
                  </w:pPr>
                </w:p>
              </w:tc>
            </w:tr>
            <w:tr w14:paraId="36F0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5724C016">
                  <w:pPr>
                    <w:jc w:val="center"/>
                  </w:pPr>
                </w:p>
              </w:tc>
              <w:tc>
                <w:tcPr>
                  <w:tcW w:w="546" w:type="pct"/>
                  <w:vMerge w:val="restart"/>
                  <w:vAlign w:val="center"/>
                </w:tcPr>
                <w:p w14:paraId="37E9F5DE">
                  <w:pPr>
                    <w:jc w:val="center"/>
                  </w:pPr>
                  <w:r>
                    <w:t>厂区无组织</w:t>
                  </w:r>
                </w:p>
              </w:tc>
              <w:tc>
                <w:tcPr>
                  <w:tcW w:w="674" w:type="pct"/>
                  <w:vMerge w:val="restart"/>
                  <w:vAlign w:val="center"/>
                </w:tcPr>
                <w:p w14:paraId="258A1260">
                  <w:pPr>
                    <w:snapToGrid w:val="0"/>
                    <w:jc w:val="center"/>
                  </w:pPr>
                  <w:r>
                    <w:rPr>
                      <w:rFonts w:hint="eastAsia"/>
                    </w:rPr>
                    <w:t>非甲烷总烃</w:t>
                  </w:r>
                </w:p>
              </w:tc>
              <w:tc>
                <w:tcPr>
                  <w:tcW w:w="674" w:type="pct"/>
                  <w:vMerge w:val="restart"/>
                  <w:vAlign w:val="center"/>
                </w:tcPr>
                <w:p w14:paraId="3CEFC6B7">
                  <w:pPr>
                    <w:jc w:val="center"/>
                  </w:pPr>
                  <w:r>
                    <w:t>1次/</w:t>
                  </w:r>
                  <w:r>
                    <w:rPr>
                      <w:rFonts w:hint="eastAsia"/>
                    </w:rPr>
                    <w:t>半年</w:t>
                  </w:r>
                </w:p>
              </w:tc>
              <w:tc>
                <w:tcPr>
                  <w:tcW w:w="1029" w:type="pct"/>
                  <w:vAlign w:val="center"/>
                </w:tcPr>
                <w:p w14:paraId="55A72C27">
                  <w:pPr>
                    <w:jc w:val="center"/>
                  </w:pPr>
                  <w:r>
                    <w:rPr>
                      <w:rFonts w:hint="eastAsia"/>
                    </w:rPr>
                    <w:t>6</w:t>
                  </w:r>
                  <w:r>
                    <w:t>mg/m</w:t>
                  </w:r>
                  <w:r>
                    <w:rPr>
                      <w:vertAlign w:val="superscript"/>
                    </w:rPr>
                    <w:t>3</w:t>
                  </w:r>
                  <w:r>
                    <w:rPr>
                      <w:rFonts w:hint="eastAsia"/>
                    </w:rPr>
                    <w:t>（监控点处1小时平均浓度值）</w:t>
                  </w:r>
                </w:p>
              </w:tc>
              <w:tc>
                <w:tcPr>
                  <w:tcW w:w="1680" w:type="pct"/>
                  <w:vMerge w:val="restart"/>
                  <w:vAlign w:val="center"/>
                </w:tcPr>
                <w:p w14:paraId="0955AD90">
                  <w:pPr>
                    <w:jc w:val="center"/>
                  </w:pPr>
                  <w:r>
                    <w:rPr>
                      <w:rFonts w:hint="eastAsia"/>
                      <w:bCs/>
                    </w:rPr>
                    <w:t>广东省《固定污染源挥发性有机物综合排放标准》（DB44/2367-2022）中表3中厂区内VOCs无组织排放限值要求。</w:t>
                  </w:r>
                </w:p>
              </w:tc>
            </w:tr>
            <w:tr w14:paraId="45B5C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7" w:type="pct"/>
                  <w:vMerge w:val="continue"/>
                  <w:vAlign w:val="center"/>
                </w:tcPr>
                <w:p w14:paraId="33692B1A">
                  <w:pPr>
                    <w:jc w:val="center"/>
                  </w:pPr>
                </w:p>
              </w:tc>
              <w:tc>
                <w:tcPr>
                  <w:tcW w:w="546" w:type="pct"/>
                  <w:vMerge w:val="continue"/>
                  <w:vAlign w:val="center"/>
                </w:tcPr>
                <w:p w14:paraId="64A7506C">
                  <w:pPr>
                    <w:jc w:val="center"/>
                  </w:pPr>
                </w:p>
              </w:tc>
              <w:tc>
                <w:tcPr>
                  <w:tcW w:w="674" w:type="pct"/>
                  <w:vMerge w:val="continue"/>
                  <w:vAlign w:val="center"/>
                </w:tcPr>
                <w:p w14:paraId="01C5201F">
                  <w:pPr>
                    <w:snapToGrid w:val="0"/>
                    <w:jc w:val="center"/>
                  </w:pPr>
                </w:p>
              </w:tc>
              <w:tc>
                <w:tcPr>
                  <w:tcW w:w="674" w:type="pct"/>
                  <w:vMerge w:val="continue"/>
                  <w:vAlign w:val="center"/>
                </w:tcPr>
                <w:p w14:paraId="026DF36C">
                  <w:pPr>
                    <w:jc w:val="center"/>
                  </w:pPr>
                </w:p>
              </w:tc>
              <w:tc>
                <w:tcPr>
                  <w:tcW w:w="1029" w:type="pct"/>
                  <w:vAlign w:val="center"/>
                </w:tcPr>
                <w:p w14:paraId="4F202584">
                  <w:pPr>
                    <w:jc w:val="center"/>
                  </w:pPr>
                  <w:r>
                    <w:rPr>
                      <w:rFonts w:hint="eastAsia"/>
                    </w:rPr>
                    <w:t>20</w:t>
                  </w:r>
                  <w:r>
                    <w:t>mg/m</w:t>
                  </w:r>
                  <w:r>
                    <w:rPr>
                      <w:vertAlign w:val="superscript"/>
                    </w:rPr>
                    <w:t>3</w:t>
                  </w:r>
                  <w:r>
                    <w:rPr>
                      <w:rFonts w:hint="eastAsia"/>
                    </w:rPr>
                    <w:t>（监控点处任意一次浓度值）</w:t>
                  </w:r>
                </w:p>
              </w:tc>
              <w:tc>
                <w:tcPr>
                  <w:tcW w:w="1680" w:type="pct"/>
                  <w:vMerge w:val="continue"/>
                  <w:vAlign w:val="center"/>
                </w:tcPr>
                <w:p w14:paraId="1F4C1B08">
                  <w:pPr>
                    <w:jc w:val="center"/>
                    <w:rPr>
                      <w:bCs/>
                    </w:rPr>
                  </w:pPr>
                </w:p>
              </w:tc>
            </w:tr>
          </w:tbl>
          <w:p w14:paraId="1B31964F">
            <w:pPr>
              <w:pStyle w:val="45"/>
              <w:spacing w:before="120" w:beforeLines="50" w:line="360" w:lineRule="auto"/>
              <w:ind w:firstLine="482"/>
              <w:rPr>
                <w:rFonts w:cs="Times New Roman"/>
                <w:b/>
                <w:bCs/>
                <w:sz w:val="24"/>
                <w:szCs w:val="24"/>
                <w:lang w:eastAsia="zh-CN"/>
              </w:rPr>
            </w:pPr>
            <w:r>
              <w:rPr>
                <w:rFonts w:cs="Times New Roman"/>
                <w:b/>
                <w:bCs/>
                <w:sz w:val="24"/>
                <w:szCs w:val="24"/>
                <w:lang w:eastAsia="zh-CN"/>
              </w:rPr>
              <w:t>1.</w:t>
            </w:r>
            <w:r>
              <w:rPr>
                <w:rFonts w:hint="eastAsia" w:cs="Times New Roman"/>
                <w:b/>
                <w:bCs/>
                <w:sz w:val="24"/>
                <w:szCs w:val="24"/>
                <w:lang w:eastAsia="zh-CN"/>
              </w:rPr>
              <w:t>3废气处理达标可行性分析</w:t>
            </w:r>
          </w:p>
          <w:p w14:paraId="787DE49D">
            <w:pPr>
              <w:spacing w:line="360" w:lineRule="auto"/>
              <w:ind w:firstLine="436" w:firstLineChars="182"/>
              <w:rPr>
                <w:sz w:val="24"/>
              </w:rPr>
            </w:pPr>
            <w:r>
              <w:rPr>
                <w:rFonts w:hint="eastAsia"/>
                <w:sz w:val="24"/>
              </w:rPr>
              <w:t>根据</w:t>
            </w:r>
            <w:r>
              <w:rPr>
                <w:rFonts w:hint="eastAsia"/>
                <w:sz w:val="24"/>
                <w:szCs w:val="24"/>
              </w:rPr>
              <w:t>《排污许可证申请与核发技术规范 工业固体废物和危险废物治理》（</w:t>
            </w:r>
            <w:r>
              <w:rPr>
                <w:sz w:val="24"/>
                <w:szCs w:val="24"/>
              </w:rPr>
              <w:t>HJ1033-2019</w:t>
            </w:r>
            <w:r>
              <w:rPr>
                <w:rFonts w:hint="eastAsia"/>
                <w:sz w:val="24"/>
                <w:szCs w:val="24"/>
              </w:rPr>
              <w:t>）</w:t>
            </w:r>
            <w:r>
              <w:rPr>
                <w:rFonts w:hint="eastAsia"/>
                <w:sz w:val="24"/>
              </w:rPr>
              <w:t>附录C表C.1，非甲烷总烃、氨、硫化氢、臭气浓度治理可行技术包括生物过滤、化学洗涤、活性炭吸附等，本项目治理工艺为“二级活性炭吸附”，属于可行技术。</w:t>
            </w:r>
          </w:p>
          <w:p w14:paraId="1C1C349A">
            <w:pPr>
              <w:spacing w:line="360" w:lineRule="auto"/>
              <w:ind w:firstLine="436" w:firstLineChars="182"/>
              <w:rPr>
                <w:sz w:val="24"/>
              </w:rPr>
            </w:pPr>
            <w:r>
              <w:rPr>
                <w:rFonts w:hint="eastAsia"/>
                <w:sz w:val="24"/>
              </w:rPr>
              <w:t>根据</w:t>
            </w:r>
            <w:r>
              <w:rPr>
                <w:rFonts w:hint="eastAsia"/>
                <w:sz w:val="24"/>
                <w:szCs w:val="24"/>
              </w:rPr>
              <w:t>《排污许可证申请与核发技术规范 锅炉》（</w:t>
            </w:r>
            <w:r>
              <w:rPr>
                <w:sz w:val="24"/>
                <w:szCs w:val="24"/>
              </w:rPr>
              <w:t>HJ953</w:t>
            </w:r>
            <w:r>
              <w:rPr>
                <w:rFonts w:hint="eastAsia"/>
                <w:sz w:val="24"/>
                <w:szCs w:val="24"/>
              </w:rPr>
              <w:t>—</w:t>
            </w:r>
            <w:r>
              <w:rPr>
                <w:sz w:val="24"/>
                <w:szCs w:val="24"/>
              </w:rPr>
              <w:t>2018</w:t>
            </w:r>
            <w:r>
              <w:rPr>
                <w:rFonts w:hint="eastAsia"/>
                <w:sz w:val="24"/>
                <w:szCs w:val="24"/>
              </w:rPr>
              <w:t>）表</w:t>
            </w:r>
            <w:r>
              <w:rPr>
                <w:sz w:val="24"/>
                <w:szCs w:val="24"/>
              </w:rPr>
              <w:t>7</w:t>
            </w:r>
            <w:r>
              <w:rPr>
                <w:b/>
                <w:bCs/>
                <w:sz w:val="24"/>
                <w:szCs w:val="24"/>
              </w:rPr>
              <w:t xml:space="preserve"> </w:t>
            </w:r>
            <w:r>
              <w:rPr>
                <w:rFonts w:hint="eastAsia"/>
                <w:sz w:val="24"/>
                <w:szCs w:val="24"/>
              </w:rPr>
              <w:t>锅炉烟气污染防治可行技术</w:t>
            </w:r>
            <w:r>
              <w:rPr>
                <w:rFonts w:hint="eastAsia"/>
                <w:sz w:val="24"/>
              </w:rPr>
              <w:t>，生物质锅炉烟气氮氧化物治理可行技术包括低氮燃烧</w:t>
            </w:r>
            <w:r>
              <w:rPr>
                <w:sz w:val="24"/>
              </w:rPr>
              <w:t>+SNCR</w:t>
            </w:r>
            <w:r>
              <w:rPr>
                <w:rFonts w:hint="eastAsia"/>
                <w:sz w:val="24"/>
              </w:rPr>
              <w:t>脱硝技术、低氮燃烧</w:t>
            </w:r>
            <w:r>
              <w:rPr>
                <w:sz w:val="24"/>
              </w:rPr>
              <w:t>+SCR</w:t>
            </w:r>
            <w:r>
              <w:rPr>
                <w:rFonts w:hint="eastAsia"/>
                <w:sz w:val="24"/>
              </w:rPr>
              <w:t>脱硝技术、低氮燃烧</w:t>
            </w:r>
            <w:r>
              <w:rPr>
                <w:sz w:val="24"/>
              </w:rPr>
              <w:t>+</w:t>
            </w:r>
            <w:r>
              <w:rPr>
                <w:rFonts w:hint="eastAsia"/>
                <w:sz w:val="24"/>
              </w:rPr>
              <w:t>（</w:t>
            </w:r>
            <w:r>
              <w:rPr>
                <w:sz w:val="24"/>
              </w:rPr>
              <w:t>SNCR-SCR</w:t>
            </w:r>
            <w:r>
              <w:rPr>
                <w:rFonts w:hint="eastAsia"/>
                <w:sz w:val="24"/>
              </w:rPr>
              <w:t>联合）脱硝技术、</w:t>
            </w:r>
            <w:r>
              <w:rPr>
                <w:sz w:val="24"/>
              </w:rPr>
              <w:t>SNCR</w:t>
            </w:r>
            <w:r>
              <w:rPr>
                <w:rFonts w:hint="eastAsia"/>
                <w:sz w:val="24"/>
              </w:rPr>
              <w:t>脱硝技术、</w:t>
            </w:r>
            <w:r>
              <w:rPr>
                <w:sz w:val="24"/>
              </w:rPr>
              <w:t>SCR</w:t>
            </w:r>
            <w:r>
              <w:rPr>
                <w:rFonts w:hint="eastAsia"/>
                <w:sz w:val="24"/>
              </w:rPr>
              <w:t>脱硝技术、</w:t>
            </w:r>
            <w:r>
              <w:rPr>
                <w:sz w:val="24"/>
              </w:rPr>
              <w:t>SNCR-SCR</w:t>
            </w:r>
            <w:r>
              <w:rPr>
                <w:rFonts w:hint="eastAsia"/>
                <w:sz w:val="24"/>
              </w:rPr>
              <w:t>联合脱硝技术等，本项目氮氧化物治理工艺为“低氮燃烧</w:t>
            </w:r>
            <w:r>
              <w:rPr>
                <w:sz w:val="24"/>
              </w:rPr>
              <w:t>+SCR</w:t>
            </w:r>
            <w:r>
              <w:rPr>
                <w:rFonts w:hint="eastAsia"/>
                <w:sz w:val="24"/>
              </w:rPr>
              <w:t>脱硝”，属于可行技术。颗粒物治理可行技术为旋风除尘和袋式除尘组合技术，本项目颗粒物治理工艺为袋式除尘，不属于推荐的可行技术。</w:t>
            </w:r>
          </w:p>
          <w:p w14:paraId="0E163381">
            <w:pPr>
              <w:spacing w:line="360" w:lineRule="auto"/>
              <w:ind w:firstLine="436" w:firstLineChars="182"/>
              <w:rPr>
                <w:sz w:val="24"/>
              </w:rPr>
            </w:pPr>
            <w:r>
              <w:rPr>
                <w:rFonts w:hint="eastAsia"/>
                <w:sz w:val="24"/>
              </w:rPr>
              <w:t>布袋除尘器主要是利用滤料，对于含有灰尘的气体进行过滤达到除尘的目的。过滤过程主要分为了两个阶段，第</w:t>
            </w:r>
            <w:r>
              <w:rPr>
                <w:sz w:val="24"/>
              </w:rPr>
              <w:t>1</w:t>
            </w:r>
            <w:r>
              <w:rPr>
                <w:rFonts w:hint="eastAsia"/>
                <w:sz w:val="24"/>
              </w:rPr>
              <w:t>个阶段是含有灰尘的气体通过清洁的滤料，在这一个阶段，主要起到过滤作用的是滤料纤维的阻留。第</w:t>
            </w:r>
            <w:r>
              <w:rPr>
                <w:sz w:val="24"/>
              </w:rPr>
              <w:t>2</w:t>
            </w:r>
            <w:r>
              <w:rPr>
                <w:rFonts w:hint="eastAsia"/>
                <w:sz w:val="24"/>
              </w:rPr>
              <w:t>个阶段为当灰尘不断的增加，一部分的灰尘进入到滤料内部，另外一部分覆盖在表面形成粉尘层，在这个时候主要是通过粉尘生成过滤层过滤含有灰尘的气体。</w:t>
            </w:r>
          </w:p>
          <w:p w14:paraId="3A220A1F">
            <w:pPr>
              <w:spacing w:line="360" w:lineRule="auto"/>
              <w:ind w:firstLine="436" w:firstLineChars="182"/>
              <w:rPr>
                <w:sz w:val="24"/>
              </w:rPr>
            </w:pPr>
            <w:r>
              <w:rPr>
                <w:rFonts w:hint="eastAsia"/>
                <w:sz w:val="24"/>
              </w:rPr>
              <w:t>含有灰尘的气体在进入除尘器之后，空气的流通速度会逐渐的下降，烟尘中较大的颗粒会直接沉淀到灰斗里。其余的灰尘会穿过过滤袋进行过滤，清洁的空气会从滤袋的内侧排放出去，灰尘被阻留在了滤袋外侧，随着灰尘的不断累积，除尘滤袋内侧和外侧的压差会逐渐的增加。当压差达到设定值的时候，脉冲阀膜片会自动的打开脉冲空气，通过喷嘴喷进滤袋，滤袋膨胀，从而使附着在滤袋上的粉尘脱落达到除尘的效果。为确保除尘效率，当布袋除尘器发出清灰指令时，建设单位即刻对布袋除尘器进行清灰。</w:t>
            </w:r>
          </w:p>
          <w:p w14:paraId="7AE0D55B">
            <w:pPr>
              <w:spacing w:line="360" w:lineRule="auto"/>
              <w:ind w:firstLine="436" w:firstLineChars="182"/>
              <w:rPr>
                <w:sz w:val="24"/>
              </w:rPr>
            </w:pPr>
            <w:r>
              <w:rPr>
                <w:rFonts w:hint="eastAsia"/>
                <w:sz w:val="24"/>
              </w:rPr>
              <w:t>根据《袋式除尘器技术要求（</w:t>
            </w:r>
            <w:r>
              <w:rPr>
                <w:sz w:val="24"/>
              </w:rPr>
              <w:t>GB/T6719-2009</w:t>
            </w:r>
            <w:r>
              <w:rPr>
                <w:rFonts w:hint="eastAsia"/>
                <w:sz w:val="24"/>
              </w:rPr>
              <w:t>）》，袋式除尘器动态除尘效率可达</w:t>
            </w:r>
            <w:r>
              <w:rPr>
                <w:sz w:val="24"/>
              </w:rPr>
              <w:t>99.9%</w:t>
            </w:r>
            <w:r>
              <w:rPr>
                <w:rFonts w:hint="eastAsia"/>
                <w:sz w:val="24"/>
              </w:rPr>
              <w:t>以上。根据《工业源产排污核算方法和系数手册——锅炉产排污量核算系数手册》中</w:t>
            </w:r>
            <w:r>
              <w:rPr>
                <w:sz w:val="24"/>
              </w:rPr>
              <w:t xml:space="preserve">430 </w:t>
            </w:r>
            <w:r>
              <w:rPr>
                <w:rFonts w:hint="eastAsia"/>
                <w:sz w:val="24"/>
              </w:rPr>
              <w:t>工业锅炉（热力生产和供应行业），布袋除尘器对颗粒物的处理效率为</w:t>
            </w:r>
            <w:r>
              <w:rPr>
                <w:sz w:val="24"/>
              </w:rPr>
              <w:t>99</w:t>
            </w:r>
            <w:r>
              <w:rPr>
                <w:rFonts w:hint="eastAsia"/>
                <w:sz w:val="24"/>
              </w:rPr>
              <w:t>.7</w:t>
            </w:r>
            <w:r>
              <w:rPr>
                <w:sz w:val="24"/>
              </w:rPr>
              <w:t>%</w:t>
            </w:r>
            <w:r>
              <w:rPr>
                <w:rFonts w:hint="eastAsia"/>
                <w:sz w:val="24"/>
              </w:rPr>
              <w:t>。结合工程分析，本项目生物质燃烧废气中的颗粒物经布袋除尘器处理后可满足广东省地方环境标准《锅炉大气污染物排放标准》（</w:t>
            </w:r>
            <w:r>
              <w:rPr>
                <w:sz w:val="24"/>
              </w:rPr>
              <w:t>DB 44/765-2019</w:t>
            </w:r>
            <w:r>
              <w:rPr>
                <w:rFonts w:hint="eastAsia"/>
                <w:sz w:val="24"/>
              </w:rPr>
              <w:t>）表3大气污染物特别排放限值。因此本项目采用布袋除尘器对生物质燃烧废气进行除尘是可行的。</w:t>
            </w:r>
          </w:p>
          <w:p w14:paraId="79E95770">
            <w:pPr>
              <w:pStyle w:val="45"/>
              <w:spacing w:line="360" w:lineRule="auto"/>
              <w:ind w:firstLine="482"/>
              <w:rPr>
                <w:rFonts w:cs="Times New Roman"/>
                <w:b/>
                <w:bCs/>
                <w:sz w:val="24"/>
                <w:szCs w:val="24"/>
                <w:lang w:eastAsia="zh-CN"/>
              </w:rPr>
            </w:pPr>
            <w:r>
              <w:rPr>
                <w:rFonts w:hint="eastAsia" w:cs="Times New Roman"/>
                <w:b/>
                <w:bCs/>
                <w:sz w:val="24"/>
                <w:szCs w:val="24"/>
                <w:lang w:eastAsia="zh-CN"/>
              </w:rPr>
              <w:t>1.4大气环境影响分析</w:t>
            </w:r>
          </w:p>
          <w:p w14:paraId="4A490E63">
            <w:pPr>
              <w:pStyle w:val="12"/>
              <w:spacing w:line="336" w:lineRule="auto"/>
              <w:ind w:left="0" w:leftChars="0" w:firstLine="480" w:firstLineChars="200"/>
              <w:rPr>
                <w:rFonts w:cs="宋体"/>
                <w:sz w:val="24"/>
              </w:rPr>
            </w:pPr>
            <w:r>
              <w:rPr>
                <w:rFonts w:hint="eastAsia" w:cs="宋体"/>
                <w:sz w:val="24"/>
              </w:rPr>
              <w:t>项目所在区域属二类环境空气质量功能区，2024年度惠州市的环境空气质量总体良好，各常规因子均可达到《环境空气质量标准》（GB3095-2012）及2018年修改单中的二级标准。根据空气现状监测结果，非甲烷总烃、硫化氢、氨和臭气浓度均满足相当标准限值的要求。</w:t>
            </w:r>
          </w:p>
          <w:p w14:paraId="36C53051">
            <w:pPr>
              <w:adjustRightInd w:val="0"/>
              <w:snapToGrid w:val="0"/>
              <w:spacing w:line="336" w:lineRule="auto"/>
              <w:ind w:firstLine="480" w:firstLineChars="200"/>
              <w:rPr>
                <w:rFonts w:cs="宋体"/>
                <w:sz w:val="24"/>
              </w:rPr>
            </w:pPr>
            <w:r>
              <w:rPr>
                <w:rFonts w:hint="eastAsia" w:cs="宋体"/>
                <w:sz w:val="24"/>
              </w:rPr>
              <w:t>根据工程分析可知，项目生物质锅炉燃烧产生的</w:t>
            </w:r>
            <w:r>
              <w:rPr>
                <w:rFonts w:hint="eastAsia"/>
                <w:kern w:val="18"/>
                <w:sz w:val="24"/>
              </w:rPr>
              <w:t>颗粒物、</w:t>
            </w:r>
            <w:r>
              <w:rPr>
                <w:kern w:val="18"/>
                <w:sz w:val="24"/>
              </w:rPr>
              <w:t>SO</w:t>
            </w:r>
            <w:r>
              <w:rPr>
                <w:kern w:val="18"/>
                <w:sz w:val="24"/>
                <w:vertAlign w:val="subscript"/>
              </w:rPr>
              <w:t>2</w:t>
            </w:r>
            <w:r>
              <w:rPr>
                <w:rFonts w:hint="eastAsia"/>
                <w:kern w:val="18"/>
                <w:sz w:val="24"/>
              </w:rPr>
              <w:t>、</w:t>
            </w:r>
            <w:r>
              <w:rPr>
                <w:kern w:val="18"/>
                <w:sz w:val="24"/>
              </w:rPr>
              <w:t>NO</w:t>
            </w:r>
            <w:r>
              <w:rPr>
                <w:kern w:val="18"/>
                <w:sz w:val="24"/>
                <w:vertAlign w:val="subscript"/>
              </w:rPr>
              <w:t>X</w:t>
            </w:r>
            <w:r>
              <w:rPr>
                <w:rFonts w:hint="eastAsia"/>
                <w:bCs/>
                <w:sz w:val="24"/>
              </w:rPr>
              <w:t>经</w:t>
            </w:r>
            <w:r>
              <w:rPr>
                <w:bCs/>
                <w:sz w:val="24"/>
              </w:rPr>
              <w:t>低氮燃烧</w:t>
            </w:r>
            <w:r>
              <w:rPr>
                <w:rFonts w:hint="eastAsia"/>
                <w:bCs/>
                <w:sz w:val="24"/>
              </w:rPr>
              <w:t>+袋式除尘器+</w:t>
            </w:r>
            <w:r>
              <w:rPr>
                <w:bCs/>
                <w:sz w:val="24"/>
              </w:rPr>
              <w:t>SCR</w:t>
            </w:r>
            <w:r>
              <w:rPr>
                <w:rFonts w:hint="eastAsia"/>
                <w:bCs/>
                <w:sz w:val="24"/>
              </w:rPr>
              <w:t>装置处理达标后通过1根15m米高排气筒DA001排放，</w:t>
            </w:r>
            <w:r>
              <w:rPr>
                <w:rFonts w:hint="eastAsia"/>
                <w:kern w:val="18"/>
                <w:sz w:val="24"/>
              </w:rPr>
              <w:t>颗粒物、</w:t>
            </w:r>
            <w:r>
              <w:rPr>
                <w:kern w:val="18"/>
                <w:sz w:val="24"/>
              </w:rPr>
              <w:t>SO</w:t>
            </w:r>
            <w:r>
              <w:rPr>
                <w:kern w:val="18"/>
                <w:sz w:val="24"/>
                <w:vertAlign w:val="subscript"/>
              </w:rPr>
              <w:t>2</w:t>
            </w:r>
            <w:r>
              <w:rPr>
                <w:rFonts w:hint="eastAsia"/>
                <w:kern w:val="18"/>
                <w:sz w:val="24"/>
              </w:rPr>
              <w:t>、</w:t>
            </w:r>
            <w:r>
              <w:rPr>
                <w:kern w:val="18"/>
                <w:sz w:val="24"/>
              </w:rPr>
              <w:t>NO</w:t>
            </w:r>
            <w:r>
              <w:rPr>
                <w:kern w:val="18"/>
                <w:sz w:val="24"/>
                <w:vertAlign w:val="subscript"/>
              </w:rPr>
              <w:t>X</w:t>
            </w:r>
            <w:r>
              <w:rPr>
                <w:rFonts w:hint="eastAsia"/>
                <w:kern w:val="18"/>
                <w:sz w:val="24"/>
              </w:rPr>
              <w:t>排放满足</w:t>
            </w:r>
            <w:r>
              <w:rPr>
                <w:rFonts w:hint="eastAsia"/>
                <w:bCs/>
                <w:sz w:val="24"/>
              </w:rPr>
              <w:t>广东省《锅炉大气污染物排放标准》（DB44/765-2019）表3大气污染物特别排放限值。</w:t>
            </w:r>
            <w:r>
              <w:rPr>
                <w:rFonts w:hint="eastAsia"/>
                <w:sz w:val="24"/>
              </w:rPr>
              <w:t>废白土暂存、造粒废气、冷凝不凝气经</w:t>
            </w:r>
            <w:r>
              <w:rPr>
                <w:rFonts w:hint="eastAsia" w:cs="宋体"/>
                <w:sz w:val="24"/>
              </w:rPr>
              <w:t>“二级活性炭”吸附处理达标后</w:t>
            </w:r>
            <w:r>
              <w:rPr>
                <w:rFonts w:hint="eastAsia"/>
                <w:bCs/>
                <w:sz w:val="24"/>
              </w:rPr>
              <w:t>通过1根15m米高排气筒DA001排放，</w:t>
            </w:r>
            <w:r>
              <w:rPr>
                <w:rFonts w:hint="eastAsia" w:cs="宋体"/>
                <w:sz w:val="24"/>
              </w:rPr>
              <w:t>非甲烷总烃</w:t>
            </w:r>
            <w:r>
              <w:rPr>
                <w:rFonts w:hint="eastAsia"/>
                <w:bCs/>
                <w:sz w:val="24"/>
              </w:rPr>
              <w:t>有组织排放满足广东省《固定污染源挥发性有机物综合排放标准》（DB44/2367-2022）表1挥发性有机物排放限值，厂内无组织排放执行表3厂区内</w:t>
            </w:r>
            <w:r>
              <w:rPr>
                <w:rFonts w:hint="eastAsia"/>
                <w:sz w:val="24"/>
              </w:rPr>
              <w:t>有机废气</w:t>
            </w:r>
            <w:r>
              <w:rPr>
                <w:rFonts w:hint="eastAsia"/>
                <w:bCs/>
                <w:sz w:val="24"/>
              </w:rPr>
              <w:t>无组织排放限值；</w:t>
            </w:r>
            <w:r>
              <w:rPr>
                <w:rFonts w:hint="eastAsia" w:cs="宋体"/>
                <w:sz w:val="24"/>
              </w:rPr>
              <w:t>硫化氢、氨和臭气浓度有组排放满足《恶臭污染物排放标准》（GB14554-93）</w:t>
            </w:r>
            <w:r>
              <w:rPr>
                <w:rFonts w:hint="eastAsia" w:cs="宋体"/>
                <w:bCs/>
                <w:sz w:val="24"/>
              </w:rPr>
              <w:t>表2恶臭污染物排放标准</w:t>
            </w:r>
            <w:r>
              <w:rPr>
                <w:rFonts w:hint="eastAsia" w:cs="宋体"/>
                <w:sz w:val="24"/>
              </w:rPr>
              <w:t>，无组织排放满足</w:t>
            </w:r>
            <w:r>
              <w:rPr>
                <w:rFonts w:hint="eastAsia" w:cs="宋体"/>
                <w:bCs/>
                <w:sz w:val="24"/>
              </w:rPr>
              <w:t>表1恶臭污染物厂界标准值二级新改扩建标准</w:t>
            </w:r>
            <w:r>
              <w:rPr>
                <w:rFonts w:hint="eastAsia" w:cs="宋体"/>
                <w:sz w:val="24"/>
              </w:rPr>
              <w:t>。本项目建设对周边环境影响不大。</w:t>
            </w:r>
          </w:p>
          <w:p w14:paraId="749DB4E7">
            <w:pPr>
              <w:pStyle w:val="45"/>
              <w:spacing w:line="360" w:lineRule="auto"/>
              <w:ind w:firstLine="482"/>
              <w:rPr>
                <w:rFonts w:cs="Times New Roman"/>
                <w:b/>
                <w:bCs/>
                <w:sz w:val="24"/>
                <w:szCs w:val="24"/>
                <w:lang w:eastAsia="zh-CN"/>
              </w:rPr>
            </w:pPr>
            <w:r>
              <w:rPr>
                <w:rFonts w:hint="eastAsia" w:cs="Times New Roman"/>
                <w:b/>
                <w:bCs/>
                <w:sz w:val="24"/>
                <w:szCs w:val="24"/>
                <w:lang w:eastAsia="zh-CN"/>
              </w:rPr>
              <w:t>1.5</w:t>
            </w:r>
            <w:r>
              <w:rPr>
                <w:rFonts w:cs="Times New Roman"/>
                <w:b/>
                <w:bCs/>
                <w:sz w:val="24"/>
                <w:szCs w:val="24"/>
                <w:lang w:eastAsia="zh-CN"/>
              </w:rPr>
              <w:t>卫生防护距离</w:t>
            </w:r>
          </w:p>
          <w:p w14:paraId="2A8C5AEF">
            <w:pPr>
              <w:spacing w:line="336" w:lineRule="auto"/>
              <w:ind w:firstLine="480" w:firstLineChars="200"/>
              <w:rPr>
                <w:kern w:val="1"/>
                <w:sz w:val="24"/>
                <w:szCs w:val="24"/>
              </w:rPr>
            </w:pPr>
            <w:r>
              <w:rPr>
                <w:rFonts w:hint="eastAsia"/>
                <w:kern w:val="1"/>
                <w:sz w:val="24"/>
                <w:szCs w:val="24"/>
              </w:rPr>
              <w:t>（1）等标排放量计算</w:t>
            </w:r>
          </w:p>
          <w:p w14:paraId="60BAA2AE">
            <w:pPr>
              <w:spacing w:line="336" w:lineRule="auto"/>
              <w:ind w:firstLine="480" w:firstLineChars="200"/>
              <w:rPr>
                <w:kern w:val="1"/>
                <w:sz w:val="24"/>
                <w:szCs w:val="24"/>
              </w:rPr>
            </w:pPr>
            <w:r>
              <w:rPr>
                <w:rFonts w:hint="eastAsia"/>
                <w:kern w:val="1"/>
                <w:sz w:val="24"/>
                <w:szCs w:val="24"/>
              </w:rPr>
              <w:t>本项目源等标排放量计算结果见表4-11。</w:t>
            </w:r>
          </w:p>
          <w:p w14:paraId="1B0C4D56">
            <w:pPr>
              <w:pStyle w:val="12"/>
              <w:ind w:left="0" w:leftChars="0" w:firstLine="0" w:firstLineChars="0"/>
              <w:jc w:val="center"/>
              <w:rPr>
                <w:b/>
              </w:rPr>
            </w:pPr>
            <w:r>
              <w:rPr>
                <w:rFonts w:hint="eastAsia"/>
                <w:b/>
              </w:rPr>
              <w:t>表4-11 等标排放量计算结果</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9"/>
              <w:gridCol w:w="765"/>
              <w:gridCol w:w="1526"/>
              <w:gridCol w:w="1267"/>
              <w:gridCol w:w="1162"/>
              <w:gridCol w:w="1843"/>
              <w:gridCol w:w="1343"/>
            </w:tblGrid>
            <w:tr w14:paraId="470CB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379" w:type="pct"/>
                  <w:vAlign w:val="center"/>
                </w:tcPr>
                <w:p w14:paraId="5EE91E38">
                  <w:pPr>
                    <w:widowControl/>
                    <w:jc w:val="center"/>
                    <w:rPr>
                      <w:rFonts w:cs="Calibri"/>
                      <w:kern w:val="0"/>
                      <w:szCs w:val="22"/>
                    </w:rPr>
                  </w:pPr>
                  <w:r>
                    <w:rPr>
                      <w:rFonts w:cs="Calibri"/>
                      <w:kern w:val="0"/>
                      <w:szCs w:val="22"/>
                    </w:rPr>
                    <w:t>面源</w:t>
                  </w:r>
                </w:p>
              </w:tc>
              <w:tc>
                <w:tcPr>
                  <w:tcW w:w="447" w:type="pct"/>
                  <w:vAlign w:val="center"/>
                </w:tcPr>
                <w:p w14:paraId="30394288">
                  <w:pPr>
                    <w:widowControl/>
                    <w:jc w:val="center"/>
                    <w:rPr>
                      <w:rFonts w:cs="Calibri"/>
                      <w:kern w:val="0"/>
                      <w:szCs w:val="22"/>
                    </w:rPr>
                  </w:pPr>
                  <w:r>
                    <w:rPr>
                      <w:rFonts w:cs="Calibri"/>
                      <w:kern w:val="0"/>
                      <w:szCs w:val="22"/>
                    </w:rPr>
                    <w:t>污染物</w:t>
                  </w:r>
                </w:p>
              </w:tc>
              <w:tc>
                <w:tcPr>
                  <w:tcW w:w="892" w:type="pct"/>
                  <w:vAlign w:val="center"/>
                </w:tcPr>
                <w:p w14:paraId="1FBA1C5F">
                  <w:pPr>
                    <w:widowControl/>
                    <w:jc w:val="center"/>
                    <w:rPr>
                      <w:rFonts w:cs="Calibri"/>
                      <w:kern w:val="0"/>
                      <w:szCs w:val="22"/>
                    </w:rPr>
                  </w:pPr>
                  <w:r>
                    <w:rPr>
                      <w:rFonts w:cs="Calibri"/>
                      <w:kern w:val="0"/>
                      <w:szCs w:val="22"/>
                    </w:rPr>
                    <w:t>无组织排放速率kg/h</w:t>
                  </w:r>
                </w:p>
              </w:tc>
              <w:tc>
                <w:tcPr>
                  <w:tcW w:w="741" w:type="pct"/>
                  <w:vAlign w:val="center"/>
                </w:tcPr>
                <w:p w14:paraId="41DF2E7F">
                  <w:pPr>
                    <w:widowControl/>
                    <w:jc w:val="center"/>
                    <w:rPr>
                      <w:rFonts w:cs="Calibri"/>
                      <w:kern w:val="0"/>
                      <w:szCs w:val="22"/>
                    </w:rPr>
                  </w:pPr>
                  <w:r>
                    <w:rPr>
                      <w:rFonts w:cs="Calibri"/>
                      <w:kern w:val="0"/>
                      <w:szCs w:val="22"/>
                    </w:rPr>
                    <w:t>质量标准mg/m</w:t>
                  </w:r>
                  <w:r>
                    <w:rPr>
                      <w:rFonts w:cs="Calibri"/>
                      <w:kern w:val="0"/>
                      <w:szCs w:val="22"/>
                      <w:vertAlign w:val="superscript"/>
                    </w:rPr>
                    <w:t>3</w:t>
                  </w:r>
                </w:p>
              </w:tc>
              <w:tc>
                <w:tcPr>
                  <w:tcW w:w="679" w:type="pct"/>
                  <w:vAlign w:val="center"/>
                </w:tcPr>
                <w:p w14:paraId="2A078AA4">
                  <w:pPr>
                    <w:widowControl/>
                    <w:jc w:val="center"/>
                    <w:rPr>
                      <w:rFonts w:cs="Calibri"/>
                      <w:kern w:val="0"/>
                      <w:szCs w:val="22"/>
                    </w:rPr>
                  </w:pPr>
                  <w:r>
                    <w:rPr>
                      <w:rFonts w:cs="Calibri"/>
                      <w:kern w:val="0"/>
                      <w:szCs w:val="22"/>
                    </w:rPr>
                    <w:t>等标排放量m</w:t>
                  </w:r>
                  <w:r>
                    <w:rPr>
                      <w:rFonts w:hint="eastAsia" w:cs="Calibri"/>
                      <w:kern w:val="0"/>
                      <w:szCs w:val="22"/>
                      <w:vertAlign w:val="superscript"/>
                    </w:rPr>
                    <w:t>3</w:t>
                  </w:r>
                  <w:r>
                    <w:rPr>
                      <w:rFonts w:cs="Calibri"/>
                      <w:kern w:val="0"/>
                      <w:szCs w:val="22"/>
                    </w:rPr>
                    <w:t>/h</w:t>
                  </w:r>
                </w:p>
              </w:tc>
              <w:tc>
                <w:tcPr>
                  <w:tcW w:w="1077" w:type="pct"/>
                  <w:vAlign w:val="center"/>
                </w:tcPr>
                <w:p w14:paraId="7E5E7A82">
                  <w:pPr>
                    <w:widowControl/>
                    <w:jc w:val="center"/>
                    <w:rPr>
                      <w:rFonts w:cs="Calibri"/>
                      <w:kern w:val="0"/>
                      <w:szCs w:val="22"/>
                    </w:rPr>
                  </w:pPr>
                  <w:r>
                    <w:rPr>
                      <w:rFonts w:cs="Calibri"/>
                      <w:kern w:val="0"/>
                      <w:szCs w:val="22"/>
                    </w:rPr>
                    <w:t>等标排放量是否相差10%以内</w:t>
                  </w:r>
                </w:p>
              </w:tc>
              <w:tc>
                <w:tcPr>
                  <w:tcW w:w="785" w:type="pct"/>
                  <w:vAlign w:val="center"/>
                </w:tcPr>
                <w:p w14:paraId="098ED1A1">
                  <w:pPr>
                    <w:widowControl/>
                    <w:jc w:val="center"/>
                    <w:rPr>
                      <w:rFonts w:cs="Calibri"/>
                      <w:kern w:val="0"/>
                      <w:szCs w:val="22"/>
                    </w:rPr>
                  </w:pPr>
                  <w:r>
                    <w:rPr>
                      <w:rFonts w:cs="Calibri"/>
                      <w:kern w:val="0"/>
                      <w:szCs w:val="22"/>
                    </w:rPr>
                    <w:t>最大等标排放量污染物</w:t>
                  </w:r>
                </w:p>
              </w:tc>
            </w:tr>
            <w:tr w14:paraId="0FB46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379" w:type="pct"/>
                  <w:vMerge w:val="restart"/>
                  <w:vAlign w:val="center"/>
                </w:tcPr>
                <w:p w14:paraId="4F1A17FD">
                  <w:pPr>
                    <w:widowControl/>
                    <w:jc w:val="center"/>
                    <w:rPr>
                      <w:rFonts w:cs="宋体"/>
                      <w:kern w:val="0"/>
                      <w:szCs w:val="22"/>
                    </w:rPr>
                  </w:pPr>
                  <w:r>
                    <w:rPr>
                      <w:rFonts w:hint="eastAsia" w:cs="宋体"/>
                      <w:kern w:val="0"/>
                      <w:szCs w:val="22"/>
                    </w:rPr>
                    <w:t>生产</w:t>
                  </w:r>
                </w:p>
                <w:p w14:paraId="371723FF">
                  <w:pPr>
                    <w:widowControl/>
                    <w:jc w:val="center"/>
                    <w:rPr>
                      <w:rFonts w:cs="宋体"/>
                      <w:kern w:val="0"/>
                      <w:szCs w:val="22"/>
                    </w:rPr>
                  </w:pPr>
                  <w:r>
                    <w:rPr>
                      <w:rFonts w:hint="eastAsia" w:cs="宋体"/>
                      <w:kern w:val="0"/>
                      <w:szCs w:val="22"/>
                    </w:rPr>
                    <w:t>车间</w:t>
                  </w:r>
                </w:p>
              </w:tc>
              <w:tc>
                <w:tcPr>
                  <w:tcW w:w="447" w:type="pct"/>
                  <w:vAlign w:val="center"/>
                </w:tcPr>
                <w:p w14:paraId="0DCCB45F">
                  <w:pPr>
                    <w:widowControl/>
                    <w:jc w:val="center"/>
                    <w:rPr>
                      <w:rFonts w:cs="Calibri"/>
                      <w:kern w:val="0"/>
                      <w:szCs w:val="22"/>
                    </w:rPr>
                  </w:pPr>
                  <w:r>
                    <w:rPr>
                      <w:rFonts w:cs="Calibri"/>
                      <w:kern w:val="0"/>
                      <w:szCs w:val="22"/>
                    </w:rPr>
                    <w:t>非甲烷总烃</w:t>
                  </w:r>
                </w:p>
              </w:tc>
              <w:tc>
                <w:tcPr>
                  <w:tcW w:w="892" w:type="pct"/>
                  <w:vAlign w:val="center"/>
                </w:tcPr>
                <w:p w14:paraId="013065F9">
                  <w:pPr>
                    <w:widowControl/>
                    <w:jc w:val="center"/>
                    <w:rPr>
                      <w:kern w:val="0"/>
                    </w:rPr>
                  </w:pPr>
                  <w:r>
                    <w:rPr>
                      <w:kern w:val="0"/>
                    </w:rPr>
                    <w:t>0.046</w:t>
                  </w:r>
                </w:p>
              </w:tc>
              <w:tc>
                <w:tcPr>
                  <w:tcW w:w="741" w:type="pct"/>
                  <w:vAlign w:val="center"/>
                </w:tcPr>
                <w:p w14:paraId="38C4C38B">
                  <w:pPr>
                    <w:widowControl/>
                    <w:jc w:val="center"/>
                    <w:rPr>
                      <w:rFonts w:cs="Calibri"/>
                      <w:kern w:val="0"/>
                      <w:szCs w:val="22"/>
                    </w:rPr>
                  </w:pPr>
                  <w:r>
                    <w:rPr>
                      <w:rFonts w:cs="Calibri"/>
                      <w:kern w:val="0"/>
                      <w:szCs w:val="22"/>
                    </w:rPr>
                    <w:t>2</w:t>
                  </w:r>
                </w:p>
              </w:tc>
              <w:tc>
                <w:tcPr>
                  <w:tcW w:w="679" w:type="pct"/>
                  <w:vAlign w:val="center"/>
                </w:tcPr>
                <w:p w14:paraId="6F8E8D47">
                  <w:pPr>
                    <w:widowControl/>
                    <w:jc w:val="center"/>
                    <w:rPr>
                      <w:kern w:val="0"/>
                    </w:rPr>
                  </w:pPr>
                  <w:r>
                    <w:rPr>
                      <w:kern w:val="0"/>
                    </w:rPr>
                    <w:t>230</w:t>
                  </w:r>
                </w:p>
              </w:tc>
              <w:tc>
                <w:tcPr>
                  <w:tcW w:w="1077" w:type="pct"/>
                  <w:vMerge w:val="restart"/>
                  <w:vAlign w:val="center"/>
                </w:tcPr>
                <w:p w14:paraId="4ACEC3AB">
                  <w:pPr>
                    <w:widowControl/>
                    <w:jc w:val="center"/>
                    <w:rPr>
                      <w:rFonts w:cs="Calibri"/>
                      <w:kern w:val="0"/>
                      <w:szCs w:val="22"/>
                    </w:rPr>
                  </w:pPr>
                  <w:r>
                    <w:rPr>
                      <w:rFonts w:cs="Calibri"/>
                      <w:kern w:val="0"/>
                      <w:szCs w:val="22"/>
                    </w:rPr>
                    <w:t>否</w:t>
                  </w:r>
                </w:p>
              </w:tc>
              <w:tc>
                <w:tcPr>
                  <w:tcW w:w="785" w:type="pct"/>
                  <w:vMerge w:val="restart"/>
                  <w:vAlign w:val="center"/>
                </w:tcPr>
                <w:p w14:paraId="79356018">
                  <w:pPr>
                    <w:widowControl/>
                    <w:jc w:val="center"/>
                    <w:rPr>
                      <w:rFonts w:cs="Calibri"/>
                      <w:kern w:val="0"/>
                      <w:szCs w:val="22"/>
                    </w:rPr>
                  </w:pPr>
                  <w:r>
                    <w:rPr>
                      <w:rFonts w:cs="Calibri"/>
                      <w:kern w:val="0"/>
                      <w:szCs w:val="22"/>
                    </w:rPr>
                    <w:t>非甲烷总烃</w:t>
                  </w:r>
                </w:p>
              </w:tc>
            </w:tr>
            <w:tr w14:paraId="49BA4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379" w:type="pct"/>
                  <w:vMerge w:val="continue"/>
                  <w:vAlign w:val="center"/>
                </w:tcPr>
                <w:p w14:paraId="169049F0">
                  <w:pPr>
                    <w:jc w:val="center"/>
                    <w:rPr>
                      <w:rFonts w:cs="宋体"/>
                      <w:kern w:val="0"/>
                      <w:szCs w:val="22"/>
                    </w:rPr>
                  </w:pPr>
                </w:p>
              </w:tc>
              <w:tc>
                <w:tcPr>
                  <w:tcW w:w="447" w:type="pct"/>
                  <w:vAlign w:val="center"/>
                </w:tcPr>
                <w:p w14:paraId="3871495D">
                  <w:pPr>
                    <w:widowControl/>
                    <w:jc w:val="center"/>
                    <w:rPr>
                      <w:rFonts w:cs="宋体"/>
                      <w:kern w:val="0"/>
                    </w:rPr>
                  </w:pPr>
                  <w:r>
                    <w:rPr>
                      <w:rFonts w:hint="eastAsia" w:cs="宋体"/>
                      <w:kern w:val="0"/>
                    </w:rPr>
                    <w:t>硫化氢</w:t>
                  </w:r>
                </w:p>
              </w:tc>
              <w:tc>
                <w:tcPr>
                  <w:tcW w:w="892" w:type="pct"/>
                  <w:vAlign w:val="center"/>
                </w:tcPr>
                <w:p w14:paraId="6D185212">
                  <w:pPr>
                    <w:widowControl/>
                    <w:jc w:val="center"/>
                    <w:rPr>
                      <w:kern w:val="0"/>
                    </w:rPr>
                  </w:pPr>
                  <w:r>
                    <w:rPr>
                      <w:kern w:val="0"/>
                    </w:rPr>
                    <w:t>0.0003</w:t>
                  </w:r>
                </w:p>
              </w:tc>
              <w:tc>
                <w:tcPr>
                  <w:tcW w:w="741" w:type="pct"/>
                  <w:vAlign w:val="center"/>
                </w:tcPr>
                <w:p w14:paraId="59115BD9">
                  <w:pPr>
                    <w:widowControl/>
                    <w:jc w:val="center"/>
                    <w:rPr>
                      <w:rFonts w:cs="Calibri"/>
                      <w:kern w:val="0"/>
                      <w:szCs w:val="22"/>
                    </w:rPr>
                  </w:pPr>
                  <w:r>
                    <w:rPr>
                      <w:rFonts w:cs="Calibri"/>
                      <w:kern w:val="0"/>
                      <w:szCs w:val="22"/>
                    </w:rPr>
                    <w:t>10</w:t>
                  </w:r>
                </w:p>
              </w:tc>
              <w:tc>
                <w:tcPr>
                  <w:tcW w:w="679" w:type="pct"/>
                  <w:vAlign w:val="center"/>
                </w:tcPr>
                <w:p w14:paraId="09FD6F79">
                  <w:pPr>
                    <w:widowControl/>
                    <w:jc w:val="center"/>
                    <w:rPr>
                      <w:kern w:val="0"/>
                    </w:rPr>
                  </w:pPr>
                  <w:r>
                    <w:rPr>
                      <w:kern w:val="0"/>
                    </w:rPr>
                    <w:t>0.3</w:t>
                  </w:r>
                </w:p>
              </w:tc>
              <w:tc>
                <w:tcPr>
                  <w:tcW w:w="1077" w:type="pct"/>
                  <w:vMerge w:val="continue"/>
                  <w:vAlign w:val="center"/>
                </w:tcPr>
                <w:p w14:paraId="5AAA2E0D">
                  <w:pPr>
                    <w:widowControl/>
                    <w:jc w:val="center"/>
                    <w:rPr>
                      <w:rFonts w:cs="Calibri"/>
                      <w:kern w:val="0"/>
                      <w:szCs w:val="22"/>
                    </w:rPr>
                  </w:pPr>
                </w:p>
              </w:tc>
              <w:tc>
                <w:tcPr>
                  <w:tcW w:w="785" w:type="pct"/>
                  <w:vMerge w:val="continue"/>
                  <w:vAlign w:val="center"/>
                </w:tcPr>
                <w:p w14:paraId="4DB5924C">
                  <w:pPr>
                    <w:widowControl/>
                    <w:jc w:val="center"/>
                    <w:rPr>
                      <w:rFonts w:cs="Calibri"/>
                      <w:kern w:val="0"/>
                      <w:szCs w:val="22"/>
                    </w:rPr>
                  </w:pPr>
                </w:p>
              </w:tc>
            </w:tr>
            <w:tr w14:paraId="67C25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379" w:type="pct"/>
                  <w:vMerge w:val="continue"/>
                  <w:vAlign w:val="center"/>
                </w:tcPr>
                <w:p w14:paraId="09EF3CFB">
                  <w:pPr>
                    <w:widowControl/>
                    <w:jc w:val="center"/>
                    <w:rPr>
                      <w:rFonts w:cs="Calibri"/>
                      <w:kern w:val="0"/>
                      <w:szCs w:val="22"/>
                    </w:rPr>
                  </w:pPr>
                </w:p>
              </w:tc>
              <w:tc>
                <w:tcPr>
                  <w:tcW w:w="447" w:type="pct"/>
                  <w:vAlign w:val="center"/>
                </w:tcPr>
                <w:p w14:paraId="3A0312FF">
                  <w:pPr>
                    <w:widowControl/>
                    <w:jc w:val="center"/>
                    <w:rPr>
                      <w:rFonts w:cs="宋体"/>
                      <w:kern w:val="0"/>
                    </w:rPr>
                  </w:pPr>
                  <w:r>
                    <w:rPr>
                      <w:rFonts w:hint="eastAsia" w:cs="宋体"/>
                      <w:kern w:val="0"/>
                    </w:rPr>
                    <w:t>氨</w:t>
                  </w:r>
                </w:p>
              </w:tc>
              <w:tc>
                <w:tcPr>
                  <w:tcW w:w="892" w:type="pct"/>
                  <w:vAlign w:val="center"/>
                </w:tcPr>
                <w:p w14:paraId="22FC81C0">
                  <w:pPr>
                    <w:widowControl/>
                    <w:jc w:val="center"/>
                    <w:rPr>
                      <w:kern w:val="0"/>
                    </w:rPr>
                  </w:pPr>
                  <w:r>
                    <w:rPr>
                      <w:kern w:val="0"/>
                    </w:rPr>
                    <w:t>0.0028</w:t>
                  </w:r>
                </w:p>
              </w:tc>
              <w:tc>
                <w:tcPr>
                  <w:tcW w:w="741" w:type="pct"/>
                  <w:vAlign w:val="center"/>
                </w:tcPr>
                <w:p w14:paraId="4C0A76AB">
                  <w:pPr>
                    <w:widowControl/>
                    <w:jc w:val="center"/>
                    <w:rPr>
                      <w:rFonts w:cs="Calibri"/>
                      <w:kern w:val="0"/>
                      <w:szCs w:val="22"/>
                    </w:rPr>
                  </w:pPr>
                  <w:r>
                    <w:rPr>
                      <w:rFonts w:cs="Calibri"/>
                      <w:kern w:val="0"/>
                      <w:szCs w:val="22"/>
                    </w:rPr>
                    <w:t>200</w:t>
                  </w:r>
                </w:p>
              </w:tc>
              <w:tc>
                <w:tcPr>
                  <w:tcW w:w="679" w:type="pct"/>
                  <w:vAlign w:val="center"/>
                </w:tcPr>
                <w:p w14:paraId="487768BE">
                  <w:pPr>
                    <w:widowControl/>
                    <w:jc w:val="center"/>
                    <w:rPr>
                      <w:kern w:val="0"/>
                    </w:rPr>
                  </w:pPr>
                  <w:r>
                    <w:rPr>
                      <w:kern w:val="0"/>
                    </w:rPr>
                    <w:t>0.14</w:t>
                  </w:r>
                </w:p>
              </w:tc>
              <w:tc>
                <w:tcPr>
                  <w:tcW w:w="1077" w:type="pct"/>
                  <w:vMerge w:val="continue"/>
                  <w:vAlign w:val="center"/>
                </w:tcPr>
                <w:p w14:paraId="27FA2D12">
                  <w:pPr>
                    <w:widowControl/>
                    <w:jc w:val="center"/>
                    <w:rPr>
                      <w:rFonts w:cs="Calibri"/>
                      <w:kern w:val="0"/>
                      <w:szCs w:val="22"/>
                    </w:rPr>
                  </w:pPr>
                </w:p>
              </w:tc>
              <w:tc>
                <w:tcPr>
                  <w:tcW w:w="785" w:type="pct"/>
                  <w:vMerge w:val="continue"/>
                  <w:vAlign w:val="center"/>
                </w:tcPr>
                <w:p w14:paraId="439FE288">
                  <w:pPr>
                    <w:widowControl/>
                    <w:jc w:val="center"/>
                    <w:rPr>
                      <w:rFonts w:cs="Calibri"/>
                      <w:kern w:val="0"/>
                      <w:szCs w:val="22"/>
                    </w:rPr>
                  </w:pPr>
                </w:p>
              </w:tc>
            </w:tr>
            <w:tr w14:paraId="4DAD9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379" w:type="pct"/>
                  <w:vAlign w:val="center"/>
                </w:tcPr>
                <w:p w14:paraId="24A38B31">
                  <w:pPr>
                    <w:widowControl/>
                    <w:jc w:val="center"/>
                    <w:rPr>
                      <w:rFonts w:cs="宋体"/>
                      <w:kern w:val="0"/>
                      <w:szCs w:val="22"/>
                    </w:rPr>
                  </w:pPr>
                  <w:r>
                    <w:rPr>
                      <w:rFonts w:hint="eastAsia" w:cs="宋体"/>
                      <w:kern w:val="0"/>
                      <w:szCs w:val="22"/>
                    </w:rPr>
                    <w:t>溶剂油罐</w:t>
                  </w:r>
                </w:p>
              </w:tc>
              <w:tc>
                <w:tcPr>
                  <w:tcW w:w="447" w:type="pct"/>
                  <w:vAlign w:val="center"/>
                </w:tcPr>
                <w:p w14:paraId="311F96CA">
                  <w:pPr>
                    <w:widowControl/>
                    <w:jc w:val="center"/>
                    <w:rPr>
                      <w:rFonts w:cs="Calibri"/>
                      <w:kern w:val="0"/>
                      <w:szCs w:val="22"/>
                    </w:rPr>
                  </w:pPr>
                  <w:r>
                    <w:rPr>
                      <w:rFonts w:cs="Calibri"/>
                      <w:kern w:val="0"/>
                      <w:szCs w:val="22"/>
                    </w:rPr>
                    <w:t>非甲烷总烃</w:t>
                  </w:r>
                </w:p>
              </w:tc>
              <w:tc>
                <w:tcPr>
                  <w:tcW w:w="892" w:type="pct"/>
                  <w:vAlign w:val="center"/>
                </w:tcPr>
                <w:p w14:paraId="23E8A1DF">
                  <w:pPr>
                    <w:widowControl/>
                    <w:jc w:val="center"/>
                    <w:rPr>
                      <w:rFonts w:cs="Calibri"/>
                      <w:kern w:val="0"/>
                      <w:szCs w:val="22"/>
                    </w:rPr>
                  </w:pPr>
                  <w:r>
                    <w:rPr>
                      <w:rFonts w:cs="Calibri"/>
                      <w:kern w:val="0"/>
                      <w:szCs w:val="22"/>
                    </w:rPr>
                    <w:t>0.00</w:t>
                  </w:r>
                  <w:r>
                    <w:rPr>
                      <w:rFonts w:hint="eastAsia" w:cs="Calibri"/>
                      <w:kern w:val="0"/>
                      <w:szCs w:val="22"/>
                    </w:rPr>
                    <w:t>2</w:t>
                  </w:r>
                </w:p>
              </w:tc>
              <w:tc>
                <w:tcPr>
                  <w:tcW w:w="741" w:type="pct"/>
                  <w:vAlign w:val="center"/>
                </w:tcPr>
                <w:p w14:paraId="2E969D5D">
                  <w:pPr>
                    <w:widowControl/>
                    <w:jc w:val="center"/>
                    <w:rPr>
                      <w:rFonts w:cs="Calibri"/>
                      <w:kern w:val="0"/>
                      <w:szCs w:val="22"/>
                    </w:rPr>
                  </w:pPr>
                  <w:r>
                    <w:rPr>
                      <w:rFonts w:cs="Calibri"/>
                      <w:kern w:val="0"/>
                      <w:szCs w:val="22"/>
                    </w:rPr>
                    <w:t>2</w:t>
                  </w:r>
                </w:p>
              </w:tc>
              <w:tc>
                <w:tcPr>
                  <w:tcW w:w="679" w:type="pct"/>
                  <w:vAlign w:val="center"/>
                </w:tcPr>
                <w:p w14:paraId="631FB8D9">
                  <w:pPr>
                    <w:widowControl/>
                    <w:jc w:val="center"/>
                    <w:rPr>
                      <w:kern w:val="0"/>
                    </w:rPr>
                  </w:pPr>
                  <w:r>
                    <w:rPr>
                      <w:rFonts w:hint="eastAsia"/>
                      <w:kern w:val="0"/>
                    </w:rPr>
                    <w:t>10</w:t>
                  </w:r>
                </w:p>
              </w:tc>
              <w:tc>
                <w:tcPr>
                  <w:tcW w:w="1077" w:type="pct"/>
                  <w:vAlign w:val="center"/>
                </w:tcPr>
                <w:p w14:paraId="53034249">
                  <w:pPr>
                    <w:widowControl/>
                    <w:jc w:val="center"/>
                    <w:rPr>
                      <w:rFonts w:cs="Calibri"/>
                      <w:kern w:val="0"/>
                      <w:szCs w:val="22"/>
                    </w:rPr>
                  </w:pPr>
                  <w:r>
                    <w:rPr>
                      <w:rFonts w:cs="Calibri"/>
                      <w:kern w:val="0"/>
                      <w:szCs w:val="22"/>
                    </w:rPr>
                    <w:t>否</w:t>
                  </w:r>
                </w:p>
              </w:tc>
              <w:tc>
                <w:tcPr>
                  <w:tcW w:w="785" w:type="pct"/>
                  <w:vAlign w:val="center"/>
                </w:tcPr>
                <w:p w14:paraId="3F12C21C">
                  <w:pPr>
                    <w:widowControl/>
                    <w:jc w:val="center"/>
                    <w:rPr>
                      <w:rFonts w:cs="Calibri"/>
                      <w:kern w:val="0"/>
                      <w:szCs w:val="22"/>
                    </w:rPr>
                  </w:pPr>
                  <w:r>
                    <w:rPr>
                      <w:rFonts w:cs="Calibri"/>
                      <w:kern w:val="0"/>
                      <w:szCs w:val="22"/>
                    </w:rPr>
                    <w:t>非甲烷总烃</w:t>
                  </w:r>
                </w:p>
              </w:tc>
            </w:tr>
            <w:tr w14:paraId="7FD58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000" w:type="pct"/>
                  <w:gridSpan w:val="7"/>
                  <w:vAlign w:val="center"/>
                </w:tcPr>
                <w:p w14:paraId="16EC3C64">
                  <w:pPr>
                    <w:widowControl/>
                    <w:rPr>
                      <w:rFonts w:cs="Calibri"/>
                      <w:kern w:val="0"/>
                      <w:szCs w:val="22"/>
                    </w:rPr>
                  </w:pPr>
                  <w:r>
                    <w:rPr>
                      <w:rFonts w:hint="eastAsia" w:cs="Calibri"/>
                      <w:kern w:val="0"/>
                      <w:szCs w:val="22"/>
                    </w:rPr>
                    <w:t>备注：根据《大气有害物质无组织排放卫生防护距离推导技术导则》</w:t>
                  </w:r>
                  <w:r>
                    <w:rPr>
                      <w:rFonts w:cs="Calibri"/>
                      <w:kern w:val="0"/>
                      <w:szCs w:val="22"/>
                    </w:rPr>
                    <w:t>(GB-T39499-2020)</w:t>
                  </w:r>
                  <w:r>
                    <w:rPr>
                      <w:rFonts w:hint="eastAsia" w:cs="Calibri"/>
                      <w:kern w:val="0"/>
                      <w:szCs w:val="22"/>
                    </w:rPr>
                    <w:t>中“</w:t>
                  </w:r>
                  <w:r>
                    <w:rPr>
                      <w:rFonts w:cs="Calibri"/>
                      <w:kern w:val="0"/>
                      <w:szCs w:val="22"/>
                    </w:rPr>
                    <w:t>5.2.2</w:t>
                  </w:r>
                  <w:r>
                    <w:rPr>
                      <w:rFonts w:hint="eastAsia" w:cs="Calibri"/>
                      <w:kern w:val="0"/>
                      <w:szCs w:val="22"/>
                    </w:rPr>
                    <w:t xml:space="preserve"> 标准限值</w:t>
                  </w:r>
                  <w:r>
                    <w:rPr>
                      <w:rFonts w:cs="Calibri"/>
                      <w:kern w:val="0"/>
                      <w:szCs w:val="22"/>
                    </w:rPr>
                    <w:t>C</w:t>
                  </w:r>
                  <w:r>
                    <w:rPr>
                      <w:rFonts w:cs="Calibri"/>
                      <w:kern w:val="0"/>
                      <w:szCs w:val="22"/>
                      <w:vertAlign w:val="subscript"/>
                    </w:rPr>
                    <w:t>m</w:t>
                  </w:r>
                  <w:r>
                    <w:rPr>
                      <w:rFonts w:hint="eastAsia" w:cs="Calibri"/>
                      <w:kern w:val="0"/>
                      <w:szCs w:val="22"/>
                    </w:rPr>
                    <w:t>”：当特征大气有害物质在</w:t>
                  </w:r>
                  <w:r>
                    <w:rPr>
                      <w:rFonts w:cs="Calibri"/>
                      <w:kern w:val="0"/>
                      <w:szCs w:val="22"/>
                    </w:rPr>
                    <w:t>GB 3095</w:t>
                  </w:r>
                  <w:r>
                    <w:rPr>
                      <w:rFonts w:hint="eastAsia" w:cs="Calibri"/>
                      <w:kern w:val="0"/>
                      <w:szCs w:val="22"/>
                    </w:rPr>
                    <w:t>中无规定时，可按照</w:t>
                  </w:r>
                  <w:r>
                    <w:rPr>
                      <w:rFonts w:cs="Calibri"/>
                      <w:kern w:val="0"/>
                      <w:szCs w:val="22"/>
                    </w:rPr>
                    <w:t xml:space="preserve">HJ2.2 </w:t>
                  </w:r>
                  <w:r>
                    <w:rPr>
                      <w:rFonts w:hint="eastAsia" w:cs="Calibri"/>
                      <w:kern w:val="0"/>
                      <w:szCs w:val="22"/>
                    </w:rPr>
                    <w:t>中规定的</w:t>
                  </w:r>
                  <w:r>
                    <w:rPr>
                      <w:rFonts w:cs="Calibri"/>
                      <w:kern w:val="0"/>
                      <w:szCs w:val="22"/>
                    </w:rPr>
                    <w:t>1h</w:t>
                  </w:r>
                  <w:r>
                    <w:rPr>
                      <w:rFonts w:hint="eastAsia" w:cs="Calibri"/>
                      <w:kern w:val="0"/>
                      <w:szCs w:val="22"/>
                    </w:rPr>
                    <w:t>平均标准值；当特征大气有害物质在</w:t>
                  </w:r>
                  <w:r>
                    <w:rPr>
                      <w:rFonts w:cs="Calibri"/>
                      <w:kern w:val="0"/>
                      <w:szCs w:val="22"/>
                    </w:rPr>
                    <w:t>GB3095</w:t>
                  </w:r>
                  <w:r>
                    <w:rPr>
                      <w:rFonts w:hint="eastAsia" w:cs="Calibri"/>
                      <w:kern w:val="0"/>
                      <w:szCs w:val="22"/>
                    </w:rPr>
                    <w:t>中有规定的二级标准日均值时，一般可取其二级标准日均值的三倍。非甲烷总烃的大气有害物质环境空气质量的标准浓度限值参考《大气污染物综合排放标准详解》取</w:t>
                  </w:r>
                  <w:r>
                    <w:rPr>
                      <w:rFonts w:cs="Calibri"/>
                      <w:kern w:val="0"/>
                      <w:szCs w:val="22"/>
                    </w:rPr>
                    <w:t>2 mg/m</w:t>
                  </w:r>
                  <w:r>
                    <w:rPr>
                      <w:rFonts w:cs="Calibri"/>
                      <w:kern w:val="0"/>
                      <w:szCs w:val="22"/>
                      <w:vertAlign w:val="superscript"/>
                    </w:rPr>
                    <w:t>3</w:t>
                  </w:r>
                  <w:r>
                    <w:rPr>
                      <w:rFonts w:hint="eastAsia" w:cs="Calibri"/>
                      <w:kern w:val="0"/>
                      <w:szCs w:val="22"/>
                    </w:rPr>
                    <w:t>。</w:t>
                  </w:r>
                </w:p>
              </w:tc>
            </w:tr>
          </w:tbl>
          <w:p w14:paraId="5EAD9CF5">
            <w:pPr>
              <w:spacing w:before="120" w:beforeLines="50" w:line="360" w:lineRule="auto"/>
              <w:ind w:firstLine="480" w:firstLineChars="200"/>
              <w:rPr>
                <w:kern w:val="1"/>
                <w:sz w:val="24"/>
                <w:szCs w:val="24"/>
              </w:rPr>
            </w:pPr>
            <w:r>
              <w:rPr>
                <w:rFonts w:hint="eastAsia"/>
                <w:kern w:val="1"/>
                <w:sz w:val="24"/>
                <w:szCs w:val="24"/>
              </w:rPr>
              <w:t>（2）</w:t>
            </w:r>
            <w:r>
              <w:rPr>
                <w:rFonts w:hint="eastAsia"/>
                <w:sz w:val="24"/>
              </w:rPr>
              <w:t>等效半径计算</w:t>
            </w:r>
          </w:p>
          <w:p w14:paraId="69EDCAC0">
            <w:pPr>
              <w:spacing w:line="360" w:lineRule="auto"/>
              <w:ind w:firstLine="480" w:firstLineChars="200"/>
              <w:rPr>
                <w:sz w:val="24"/>
              </w:rPr>
            </w:pPr>
            <w:r>
              <w:rPr>
                <w:rFonts w:hint="eastAsia"/>
                <w:sz w:val="24"/>
              </w:rPr>
              <w:t>根据公式</w:t>
            </w:r>
          </w:p>
          <w:p w14:paraId="628826D4">
            <w:pPr>
              <w:spacing w:line="360" w:lineRule="auto"/>
              <w:ind w:firstLine="420" w:firstLineChars="200"/>
              <w:jc w:val="center"/>
              <w:rPr>
                <w:sz w:val="24"/>
              </w:rPr>
            </w:pPr>
            <w:r>
              <w:drawing>
                <wp:inline distT="0" distB="0" distL="0" distR="0">
                  <wp:extent cx="584200" cy="207645"/>
                  <wp:effectExtent l="0" t="0" r="6350" b="190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a:stretch>
                            <a:fillRect/>
                          </a:stretch>
                        </pic:blipFill>
                        <pic:spPr>
                          <a:xfrm>
                            <a:off x="0" y="0"/>
                            <a:ext cx="584200" cy="210235"/>
                          </a:xfrm>
                          <a:prstGeom prst="rect">
                            <a:avLst/>
                          </a:prstGeom>
                        </pic:spPr>
                      </pic:pic>
                    </a:graphicData>
                  </a:graphic>
                </wp:inline>
              </w:drawing>
            </w:r>
          </w:p>
          <w:p w14:paraId="3F4BEDA8">
            <w:pPr>
              <w:spacing w:line="360" w:lineRule="auto"/>
              <w:ind w:firstLine="480" w:firstLineChars="200"/>
              <w:rPr>
                <w:kern w:val="1"/>
                <w:sz w:val="24"/>
                <w:szCs w:val="24"/>
              </w:rPr>
            </w:pPr>
            <w:r>
              <w:rPr>
                <w:bCs/>
                <w:sz w:val="24"/>
              </w:rPr>
              <w:t>本</w:t>
            </w:r>
            <w:r>
              <w:rPr>
                <w:sz w:val="24"/>
              </w:rPr>
              <w:t>项目</w:t>
            </w:r>
            <w:r>
              <w:rPr>
                <w:rFonts w:hint="eastAsia"/>
                <w:bCs/>
                <w:sz w:val="24"/>
                <w:szCs w:val="24"/>
                <w:lang w:bidi="ar"/>
              </w:rPr>
              <w:t>生产</w:t>
            </w:r>
            <w:r>
              <w:rPr>
                <w:sz w:val="24"/>
              </w:rPr>
              <w:t>车间的占地面积约为</w:t>
            </w:r>
            <w:r>
              <w:rPr>
                <w:rFonts w:hint="eastAsia"/>
                <w:sz w:val="24"/>
              </w:rPr>
              <w:t>1800</w:t>
            </w:r>
            <w:r>
              <w:rPr>
                <w:sz w:val="24"/>
              </w:rPr>
              <w:t>m</w:t>
            </w:r>
            <w:r>
              <w:rPr>
                <w:sz w:val="24"/>
                <w:vertAlign w:val="superscript"/>
              </w:rPr>
              <w:t>2</w:t>
            </w:r>
            <w:r>
              <w:rPr>
                <w:sz w:val="24"/>
              </w:rPr>
              <w:t>，计算得出等效半径</w:t>
            </w:r>
            <w:r>
              <w:rPr>
                <w:rFonts w:hint="eastAsia"/>
                <w:sz w:val="24"/>
              </w:rPr>
              <w:t>约</w:t>
            </w:r>
            <w:r>
              <w:rPr>
                <w:sz w:val="24"/>
              </w:rPr>
              <w:t>为</w:t>
            </w:r>
            <w:r>
              <w:rPr>
                <w:rFonts w:hint="eastAsia"/>
                <w:sz w:val="24"/>
              </w:rPr>
              <w:t>23.94</w:t>
            </w:r>
            <w:r>
              <w:rPr>
                <w:sz w:val="24"/>
              </w:rPr>
              <w:t>m</w:t>
            </w:r>
            <w:r>
              <w:rPr>
                <w:rFonts w:hint="eastAsia"/>
                <w:sz w:val="24"/>
              </w:rPr>
              <w:t>；溶剂油罐占地面积约为40</w:t>
            </w:r>
            <w:r>
              <w:rPr>
                <w:sz w:val="24"/>
              </w:rPr>
              <w:t>m</w:t>
            </w:r>
            <w:r>
              <w:rPr>
                <w:sz w:val="24"/>
                <w:vertAlign w:val="superscript"/>
              </w:rPr>
              <w:t>2</w:t>
            </w:r>
            <w:r>
              <w:rPr>
                <w:sz w:val="24"/>
              </w:rPr>
              <w:t>，计算得出等效半径</w:t>
            </w:r>
            <w:r>
              <w:rPr>
                <w:rFonts w:hint="eastAsia"/>
                <w:sz w:val="24"/>
              </w:rPr>
              <w:t>约</w:t>
            </w:r>
            <w:r>
              <w:rPr>
                <w:sz w:val="24"/>
              </w:rPr>
              <w:t>为</w:t>
            </w:r>
            <w:r>
              <w:rPr>
                <w:rFonts w:hint="eastAsia"/>
                <w:sz w:val="24"/>
              </w:rPr>
              <w:t>3.57</w:t>
            </w:r>
            <w:r>
              <w:rPr>
                <w:sz w:val="24"/>
              </w:rPr>
              <w:t>m</w:t>
            </w:r>
            <w:r>
              <w:rPr>
                <w:rFonts w:hint="eastAsia"/>
                <w:sz w:val="24"/>
              </w:rPr>
              <w:t>。</w:t>
            </w:r>
          </w:p>
          <w:p w14:paraId="41CC44A7">
            <w:pPr>
              <w:spacing w:line="360" w:lineRule="auto"/>
              <w:ind w:firstLine="480" w:firstLineChars="200"/>
              <w:rPr>
                <w:kern w:val="1"/>
                <w:sz w:val="24"/>
                <w:szCs w:val="24"/>
              </w:rPr>
            </w:pPr>
            <w:r>
              <w:rPr>
                <w:rFonts w:hint="eastAsia"/>
                <w:kern w:val="1"/>
                <w:sz w:val="24"/>
                <w:szCs w:val="24"/>
              </w:rPr>
              <w:t>（3）卫生防护距离计算</w:t>
            </w:r>
          </w:p>
          <w:p w14:paraId="61320245">
            <w:pPr>
              <w:spacing w:line="360" w:lineRule="auto"/>
              <w:ind w:firstLine="480" w:firstLineChars="200"/>
              <w:rPr>
                <w:kern w:val="1"/>
                <w:sz w:val="24"/>
                <w:szCs w:val="24"/>
                <w:lang w:eastAsia="ar-SA"/>
              </w:rPr>
            </w:pPr>
            <w:r>
              <w:rPr>
                <w:kern w:val="1"/>
                <w:sz w:val="24"/>
                <w:szCs w:val="24"/>
                <w:lang w:eastAsia="ar-SA"/>
              </w:rPr>
              <w:t>大气有害物质无组织排放卫生防护距离按照《大气有害物质无组织排放卫生防护距离推导技术导则》（GB/T39499-2020）中卫生防护距离推导的方法确定。根据《大气有害物质无组织排放卫生防护距离推导技术导则》（GB/T39499-2020），计算本项目的卫生防护距离。</w:t>
            </w:r>
          </w:p>
          <w:p w14:paraId="2F9B9E1F">
            <w:pPr>
              <w:pStyle w:val="12"/>
              <w:ind w:left="0" w:leftChars="0" w:firstLine="0" w:firstLineChars="0"/>
              <w:jc w:val="center"/>
            </w:pPr>
            <w:r>
              <w:drawing>
                <wp:inline distT="0" distB="0" distL="0" distR="0">
                  <wp:extent cx="1750695" cy="386715"/>
                  <wp:effectExtent l="0" t="0" r="1905" b="0"/>
                  <wp:docPr id="11957872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787206" name="图片 1"/>
                          <pic:cNvPicPr>
                            <a:picLocks noChangeAspect="1"/>
                          </pic:cNvPicPr>
                        </pic:nvPicPr>
                        <pic:blipFill>
                          <a:blip r:embed="rId24"/>
                          <a:srcRect t="10911" b="15151"/>
                          <a:stretch>
                            <a:fillRect/>
                          </a:stretch>
                        </pic:blipFill>
                        <pic:spPr>
                          <a:xfrm>
                            <a:off x="0" y="0"/>
                            <a:ext cx="1820978" cy="402828"/>
                          </a:xfrm>
                          <a:prstGeom prst="rect">
                            <a:avLst/>
                          </a:prstGeom>
                          <a:ln>
                            <a:noFill/>
                          </a:ln>
                        </pic:spPr>
                      </pic:pic>
                    </a:graphicData>
                  </a:graphic>
                </wp:inline>
              </w:drawing>
            </w:r>
          </w:p>
          <w:p w14:paraId="1E59CDDE">
            <w:pPr>
              <w:pStyle w:val="12"/>
              <w:spacing w:line="360" w:lineRule="auto"/>
              <w:ind w:left="0" w:leftChars="0" w:firstLine="480" w:firstLineChars="200"/>
              <w:rPr>
                <w:sz w:val="24"/>
              </w:rPr>
            </w:pPr>
            <w:r>
              <w:rPr>
                <w:sz w:val="24"/>
              </w:rPr>
              <w:t>式中：</w:t>
            </w:r>
          </w:p>
          <w:p w14:paraId="763B8880">
            <w:pPr>
              <w:pStyle w:val="12"/>
              <w:spacing w:line="360" w:lineRule="auto"/>
              <w:ind w:left="0" w:leftChars="0" w:firstLine="480" w:firstLineChars="200"/>
              <w:rPr>
                <w:sz w:val="24"/>
              </w:rPr>
            </w:pPr>
            <w:r>
              <w:rPr>
                <w:sz w:val="24"/>
              </w:rPr>
              <w:t>L—大气有害物质卫生防护距离初值，单位为米（m）；</w:t>
            </w:r>
          </w:p>
          <w:p w14:paraId="64F081F2">
            <w:pPr>
              <w:pStyle w:val="12"/>
              <w:spacing w:line="360" w:lineRule="auto"/>
              <w:ind w:left="0" w:leftChars="0" w:firstLine="480" w:firstLineChars="200"/>
              <w:rPr>
                <w:sz w:val="24"/>
              </w:rPr>
            </w:pPr>
            <w:r>
              <w:rPr>
                <w:sz w:val="24"/>
              </w:rPr>
              <w:t>Q</w:t>
            </w:r>
            <w:r>
              <w:rPr>
                <w:sz w:val="24"/>
                <w:vertAlign w:val="subscript"/>
              </w:rPr>
              <w:t>c</w:t>
            </w:r>
            <w:r>
              <w:rPr>
                <w:sz w:val="24"/>
              </w:rPr>
              <w:t>—大气有害物质无组织排放量可达到的控制水平，单位为千克每小时（kg/h）；</w:t>
            </w:r>
          </w:p>
          <w:p w14:paraId="79B60D08">
            <w:pPr>
              <w:pStyle w:val="12"/>
              <w:spacing w:line="360" w:lineRule="auto"/>
              <w:ind w:left="0" w:leftChars="0" w:firstLine="480" w:firstLineChars="200"/>
              <w:rPr>
                <w:sz w:val="24"/>
              </w:rPr>
            </w:pPr>
            <w:r>
              <w:rPr>
                <w:sz w:val="24"/>
              </w:rPr>
              <w:t>C</w:t>
            </w:r>
            <w:r>
              <w:rPr>
                <w:sz w:val="24"/>
                <w:vertAlign w:val="subscript"/>
              </w:rPr>
              <w:t>m</w:t>
            </w:r>
            <w:r>
              <w:rPr>
                <w:sz w:val="24"/>
              </w:rPr>
              <w:t>—大气有害物质环境空气质量标准值，单位为毫克/立方米（mg/m</w:t>
            </w:r>
            <w:r>
              <w:rPr>
                <w:sz w:val="24"/>
                <w:vertAlign w:val="superscript"/>
              </w:rPr>
              <w:t>3</w:t>
            </w:r>
            <w:r>
              <w:rPr>
                <w:sz w:val="24"/>
              </w:rPr>
              <w:t>）；</w:t>
            </w:r>
          </w:p>
          <w:p w14:paraId="581EF03A">
            <w:pPr>
              <w:pStyle w:val="12"/>
              <w:spacing w:line="360" w:lineRule="auto"/>
              <w:ind w:left="0" w:leftChars="0" w:firstLine="480" w:firstLineChars="200"/>
              <w:rPr>
                <w:sz w:val="24"/>
              </w:rPr>
            </w:pPr>
            <w:r>
              <w:rPr>
                <w:sz w:val="24"/>
              </w:rPr>
              <w:t>r—大气有害物质无组织排放源所在生产单元的等效半径，单位为米（m）。</w:t>
            </w:r>
          </w:p>
          <w:p w14:paraId="35F2D8E2">
            <w:pPr>
              <w:pStyle w:val="12"/>
              <w:spacing w:line="360" w:lineRule="auto"/>
              <w:ind w:left="0" w:leftChars="0" w:firstLine="480" w:firstLineChars="200"/>
              <w:rPr>
                <w:sz w:val="24"/>
              </w:rPr>
            </w:pPr>
            <w:r>
              <w:rPr>
                <w:sz w:val="24"/>
              </w:rPr>
              <w:t>A、B、C、D—卫生防护距离计算系数，无因次，根据工业企业所在地区近5年平均风速及工业企业大气污染源构成类别选取</w:t>
            </w:r>
            <w:r>
              <w:rPr>
                <w:rFonts w:hint="eastAsia"/>
                <w:sz w:val="24"/>
              </w:rPr>
              <w:t>，具体见表4-12。</w:t>
            </w:r>
          </w:p>
          <w:p w14:paraId="40771A96">
            <w:pPr>
              <w:pStyle w:val="12"/>
              <w:spacing w:line="360" w:lineRule="auto"/>
              <w:ind w:left="0" w:leftChars="0" w:firstLine="0" w:firstLineChars="0"/>
              <w:jc w:val="center"/>
              <w:rPr>
                <w:b/>
              </w:rPr>
            </w:pPr>
            <w:r>
              <w:rPr>
                <w:b/>
              </w:rPr>
              <w:t>表</w:t>
            </w:r>
            <w:r>
              <w:rPr>
                <w:rFonts w:hint="eastAsia"/>
                <w:b/>
              </w:rPr>
              <w:t xml:space="preserve">4-12 </w:t>
            </w:r>
            <w:r>
              <w:rPr>
                <w:b/>
              </w:rPr>
              <w:t>卫生防护距离计算参数</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67"/>
              <w:gridCol w:w="1309"/>
              <w:gridCol w:w="707"/>
              <w:gridCol w:w="637"/>
              <w:gridCol w:w="777"/>
              <w:gridCol w:w="680"/>
              <w:gridCol w:w="739"/>
              <w:gridCol w:w="589"/>
              <w:gridCol w:w="727"/>
              <w:gridCol w:w="740"/>
              <w:gridCol w:w="680"/>
            </w:tblGrid>
            <w:tr w14:paraId="637CA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1" w:hRule="atLeast"/>
                <w:jc w:val="center"/>
              </w:trPr>
              <w:tc>
                <w:tcPr>
                  <w:tcW w:w="566" w:type="pct"/>
                  <w:vMerge w:val="restart"/>
                  <w:vAlign w:val="center"/>
                </w:tcPr>
                <w:p w14:paraId="3443C715">
                  <w:pPr>
                    <w:pStyle w:val="50"/>
                    <w:widowControl/>
                    <w:spacing w:before="24" w:after="24" w:line="240" w:lineRule="auto"/>
                    <w:rPr>
                      <w:b/>
                      <w:bCs/>
                      <w:szCs w:val="21"/>
                    </w:rPr>
                  </w:pPr>
                  <w:r>
                    <w:rPr>
                      <w:b/>
                      <w:bCs/>
                      <w:szCs w:val="21"/>
                    </w:rPr>
                    <w:t>卫生防护距离初值计算系数</w:t>
                  </w:r>
                </w:p>
              </w:tc>
              <w:tc>
                <w:tcPr>
                  <w:tcW w:w="765" w:type="pct"/>
                  <w:vMerge w:val="restart"/>
                  <w:vAlign w:val="center"/>
                </w:tcPr>
                <w:p w14:paraId="27393B42">
                  <w:pPr>
                    <w:pStyle w:val="50"/>
                    <w:widowControl/>
                    <w:spacing w:before="24" w:after="24" w:line="240" w:lineRule="auto"/>
                    <w:rPr>
                      <w:b/>
                      <w:bCs/>
                      <w:szCs w:val="21"/>
                    </w:rPr>
                  </w:pPr>
                  <w:r>
                    <w:rPr>
                      <w:b/>
                      <w:bCs/>
                      <w:szCs w:val="21"/>
                    </w:rPr>
                    <w:t>工业企业所在地区近五年平均风速m/s</w:t>
                  </w:r>
                </w:p>
              </w:tc>
              <w:tc>
                <w:tcPr>
                  <w:tcW w:w="3669" w:type="pct"/>
                  <w:gridSpan w:val="9"/>
                  <w:vAlign w:val="center"/>
                </w:tcPr>
                <w:p w14:paraId="59A32984">
                  <w:pPr>
                    <w:pStyle w:val="50"/>
                    <w:widowControl/>
                    <w:spacing w:before="24" w:after="24" w:line="240" w:lineRule="auto"/>
                    <w:rPr>
                      <w:b/>
                      <w:bCs/>
                      <w:szCs w:val="21"/>
                    </w:rPr>
                  </w:pPr>
                  <w:r>
                    <w:rPr>
                      <w:b/>
                      <w:bCs/>
                      <w:szCs w:val="21"/>
                    </w:rPr>
                    <w:t>卫生防护距离L/m</w:t>
                  </w:r>
                </w:p>
              </w:tc>
            </w:tr>
            <w:tr w14:paraId="09FB6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6" w:hRule="atLeast"/>
                <w:jc w:val="center"/>
              </w:trPr>
              <w:tc>
                <w:tcPr>
                  <w:tcW w:w="566" w:type="pct"/>
                  <w:vMerge w:val="continue"/>
                  <w:vAlign w:val="center"/>
                </w:tcPr>
                <w:p w14:paraId="3FDDD6C8">
                  <w:pPr>
                    <w:pStyle w:val="50"/>
                    <w:widowControl/>
                    <w:spacing w:before="24" w:after="24" w:line="240" w:lineRule="auto"/>
                    <w:rPr>
                      <w:b/>
                      <w:bCs/>
                      <w:szCs w:val="21"/>
                    </w:rPr>
                  </w:pPr>
                </w:p>
              </w:tc>
              <w:tc>
                <w:tcPr>
                  <w:tcW w:w="765" w:type="pct"/>
                  <w:vMerge w:val="continue"/>
                  <w:vAlign w:val="center"/>
                </w:tcPr>
                <w:p w14:paraId="3C859AC3">
                  <w:pPr>
                    <w:pStyle w:val="50"/>
                    <w:widowControl/>
                    <w:spacing w:before="24" w:after="24" w:line="240" w:lineRule="auto"/>
                    <w:rPr>
                      <w:b/>
                      <w:bCs/>
                      <w:szCs w:val="21"/>
                    </w:rPr>
                  </w:pPr>
                </w:p>
              </w:tc>
              <w:tc>
                <w:tcPr>
                  <w:tcW w:w="1239" w:type="pct"/>
                  <w:gridSpan w:val="3"/>
                  <w:vAlign w:val="center"/>
                </w:tcPr>
                <w:p w14:paraId="6C8EF817">
                  <w:pPr>
                    <w:pStyle w:val="50"/>
                    <w:widowControl/>
                    <w:spacing w:before="24" w:after="24" w:line="240" w:lineRule="auto"/>
                    <w:rPr>
                      <w:b/>
                      <w:bCs/>
                      <w:szCs w:val="21"/>
                    </w:rPr>
                  </w:pPr>
                  <w:r>
                    <w:rPr>
                      <w:b/>
                      <w:bCs/>
                      <w:szCs w:val="21"/>
                    </w:rPr>
                    <w:t>L≤1000</w:t>
                  </w:r>
                </w:p>
              </w:tc>
              <w:tc>
                <w:tcPr>
                  <w:tcW w:w="1174" w:type="pct"/>
                  <w:gridSpan w:val="3"/>
                  <w:vAlign w:val="center"/>
                </w:tcPr>
                <w:p w14:paraId="43D06E9C">
                  <w:pPr>
                    <w:pStyle w:val="50"/>
                    <w:widowControl/>
                    <w:spacing w:before="24" w:after="24" w:line="240" w:lineRule="auto"/>
                    <w:rPr>
                      <w:b/>
                      <w:bCs/>
                      <w:szCs w:val="21"/>
                    </w:rPr>
                  </w:pPr>
                  <w:r>
                    <w:rPr>
                      <w:b/>
                      <w:bCs/>
                      <w:szCs w:val="21"/>
                    </w:rPr>
                    <w:t>1000＜L≤2000</w:t>
                  </w:r>
                </w:p>
              </w:tc>
              <w:tc>
                <w:tcPr>
                  <w:tcW w:w="1256" w:type="pct"/>
                  <w:gridSpan w:val="3"/>
                  <w:vAlign w:val="center"/>
                </w:tcPr>
                <w:p w14:paraId="2E303203">
                  <w:pPr>
                    <w:pStyle w:val="50"/>
                    <w:widowControl/>
                    <w:spacing w:before="24" w:after="24" w:line="240" w:lineRule="auto"/>
                    <w:rPr>
                      <w:b/>
                      <w:bCs/>
                      <w:szCs w:val="21"/>
                    </w:rPr>
                  </w:pPr>
                  <w:r>
                    <w:rPr>
                      <w:b/>
                      <w:bCs/>
                      <w:szCs w:val="21"/>
                    </w:rPr>
                    <w:t>L＞2000</w:t>
                  </w:r>
                </w:p>
              </w:tc>
            </w:tr>
            <w:tr w14:paraId="67A04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6" w:hRule="atLeast"/>
                <w:jc w:val="center"/>
              </w:trPr>
              <w:tc>
                <w:tcPr>
                  <w:tcW w:w="566" w:type="pct"/>
                  <w:vMerge w:val="continue"/>
                  <w:vAlign w:val="center"/>
                </w:tcPr>
                <w:p w14:paraId="0BB8A08C">
                  <w:pPr>
                    <w:pStyle w:val="50"/>
                    <w:widowControl/>
                    <w:spacing w:before="24" w:after="24" w:line="240" w:lineRule="auto"/>
                    <w:rPr>
                      <w:b/>
                      <w:bCs/>
                      <w:szCs w:val="21"/>
                    </w:rPr>
                  </w:pPr>
                </w:p>
              </w:tc>
              <w:tc>
                <w:tcPr>
                  <w:tcW w:w="765" w:type="pct"/>
                  <w:vMerge w:val="continue"/>
                  <w:vAlign w:val="center"/>
                </w:tcPr>
                <w:p w14:paraId="44F3CA37">
                  <w:pPr>
                    <w:pStyle w:val="50"/>
                    <w:widowControl/>
                    <w:spacing w:before="24" w:after="24" w:line="240" w:lineRule="auto"/>
                    <w:rPr>
                      <w:b/>
                      <w:bCs/>
                      <w:szCs w:val="21"/>
                    </w:rPr>
                  </w:pPr>
                </w:p>
              </w:tc>
              <w:tc>
                <w:tcPr>
                  <w:tcW w:w="3669" w:type="pct"/>
                  <w:gridSpan w:val="9"/>
                  <w:vAlign w:val="center"/>
                </w:tcPr>
                <w:p w14:paraId="57A17207">
                  <w:pPr>
                    <w:pStyle w:val="50"/>
                    <w:widowControl/>
                    <w:spacing w:before="24" w:after="24" w:line="240" w:lineRule="auto"/>
                    <w:rPr>
                      <w:b/>
                      <w:bCs/>
                      <w:szCs w:val="21"/>
                    </w:rPr>
                  </w:pPr>
                  <w:r>
                    <w:rPr>
                      <w:b/>
                      <w:bCs/>
                      <w:szCs w:val="21"/>
                    </w:rPr>
                    <w:t>工业企业大气污染源构成类别</w:t>
                  </w:r>
                </w:p>
              </w:tc>
            </w:tr>
            <w:tr w14:paraId="7D096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6" w:hRule="atLeast"/>
                <w:jc w:val="center"/>
              </w:trPr>
              <w:tc>
                <w:tcPr>
                  <w:tcW w:w="566" w:type="pct"/>
                  <w:vMerge w:val="continue"/>
                  <w:vAlign w:val="center"/>
                </w:tcPr>
                <w:p w14:paraId="0BA03822">
                  <w:pPr>
                    <w:pStyle w:val="50"/>
                    <w:widowControl/>
                    <w:spacing w:before="24" w:after="24" w:line="240" w:lineRule="auto"/>
                    <w:rPr>
                      <w:b/>
                      <w:bCs/>
                      <w:szCs w:val="21"/>
                    </w:rPr>
                  </w:pPr>
                </w:p>
              </w:tc>
              <w:tc>
                <w:tcPr>
                  <w:tcW w:w="765" w:type="pct"/>
                  <w:vMerge w:val="continue"/>
                  <w:vAlign w:val="center"/>
                </w:tcPr>
                <w:p w14:paraId="1C96179E">
                  <w:pPr>
                    <w:pStyle w:val="50"/>
                    <w:widowControl/>
                    <w:spacing w:before="24" w:after="24" w:line="240" w:lineRule="auto"/>
                    <w:rPr>
                      <w:b/>
                      <w:bCs/>
                      <w:szCs w:val="21"/>
                    </w:rPr>
                  </w:pPr>
                </w:p>
              </w:tc>
              <w:tc>
                <w:tcPr>
                  <w:tcW w:w="413" w:type="pct"/>
                  <w:vAlign w:val="center"/>
                </w:tcPr>
                <w:p w14:paraId="4514C2C5">
                  <w:pPr>
                    <w:pStyle w:val="50"/>
                    <w:widowControl/>
                    <w:spacing w:before="24" w:after="24" w:line="240" w:lineRule="auto"/>
                    <w:rPr>
                      <w:b/>
                      <w:bCs/>
                      <w:szCs w:val="21"/>
                    </w:rPr>
                  </w:pPr>
                  <w:r>
                    <w:rPr>
                      <w:b/>
                      <w:bCs/>
                      <w:szCs w:val="21"/>
                    </w:rPr>
                    <w:t>Ⅰ</w:t>
                  </w:r>
                </w:p>
              </w:tc>
              <w:tc>
                <w:tcPr>
                  <w:tcW w:w="372" w:type="pct"/>
                  <w:vAlign w:val="center"/>
                </w:tcPr>
                <w:p w14:paraId="4880C626">
                  <w:pPr>
                    <w:pStyle w:val="50"/>
                    <w:widowControl/>
                    <w:spacing w:before="24" w:after="24" w:line="240" w:lineRule="auto"/>
                    <w:rPr>
                      <w:b/>
                      <w:bCs/>
                      <w:szCs w:val="21"/>
                    </w:rPr>
                  </w:pPr>
                  <w:r>
                    <w:rPr>
                      <w:b/>
                      <w:bCs/>
                      <w:szCs w:val="21"/>
                    </w:rPr>
                    <w:t>Ⅱ</w:t>
                  </w:r>
                </w:p>
              </w:tc>
              <w:tc>
                <w:tcPr>
                  <w:tcW w:w="454" w:type="pct"/>
                  <w:vAlign w:val="center"/>
                </w:tcPr>
                <w:p w14:paraId="0F3E7DB1">
                  <w:pPr>
                    <w:pStyle w:val="50"/>
                    <w:widowControl/>
                    <w:spacing w:before="24" w:after="24" w:line="240" w:lineRule="auto"/>
                    <w:rPr>
                      <w:b/>
                      <w:bCs/>
                      <w:szCs w:val="21"/>
                    </w:rPr>
                  </w:pPr>
                  <w:r>
                    <w:rPr>
                      <w:b/>
                      <w:bCs/>
                      <w:szCs w:val="21"/>
                    </w:rPr>
                    <w:t>Ⅲ</w:t>
                  </w:r>
                </w:p>
              </w:tc>
              <w:tc>
                <w:tcPr>
                  <w:tcW w:w="398" w:type="pct"/>
                  <w:vAlign w:val="center"/>
                </w:tcPr>
                <w:p w14:paraId="6B68B9A1">
                  <w:pPr>
                    <w:pStyle w:val="50"/>
                    <w:widowControl/>
                    <w:spacing w:before="24" w:after="24" w:line="240" w:lineRule="auto"/>
                    <w:rPr>
                      <w:b/>
                      <w:bCs/>
                      <w:szCs w:val="21"/>
                    </w:rPr>
                  </w:pPr>
                  <w:r>
                    <w:rPr>
                      <w:b/>
                      <w:bCs/>
                      <w:szCs w:val="21"/>
                    </w:rPr>
                    <w:t>Ⅰ</w:t>
                  </w:r>
                </w:p>
              </w:tc>
              <w:tc>
                <w:tcPr>
                  <w:tcW w:w="432" w:type="pct"/>
                  <w:vAlign w:val="center"/>
                </w:tcPr>
                <w:p w14:paraId="2BA63686">
                  <w:pPr>
                    <w:pStyle w:val="50"/>
                    <w:widowControl/>
                    <w:spacing w:before="24" w:after="24" w:line="240" w:lineRule="auto"/>
                    <w:rPr>
                      <w:b/>
                      <w:bCs/>
                      <w:szCs w:val="21"/>
                    </w:rPr>
                  </w:pPr>
                  <w:r>
                    <w:rPr>
                      <w:b/>
                      <w:bCs/>
                      <w:szCs w:val="21"/>
                    </w:rPr>
                    <w:t>Ⅱ</w:t>
                  </w:r>
                </w:p>
              </w:tc>
              <w:tc>
                <w:tcPr>
                  <w:tcW w:w="344" w:type="pct"/>
                  <w:vAlign w:val="center"/>
                </w:tcPr>
                <w:p w14:paraId="22866ED9">
                  <w:pPr>
                    <w:pStyle w:val="50"/>
                    <w:widowControl/>
                    <w:spacing w:before="24" w:after="24" w:line="240" w:lineRule="auto"/>
                    <w:rPr>
                      <w:b/>
                      <w:bCs/>
                      <w:szCs w:val="21"/>
                    </w:rPr>
                  </w:pPr>
                  <w:r>
                    <w:rPr>
                      <w:b/>
                      <w:bCs/>
                      <w:szCs w:val="21"/>
                    </w:rPr>
                    <w:t>Ⅲ</w:t>
                  </w:r>
                </w:p>
              </w:tc>
              <w:tc>
                <w:tcPr>
                  <w:tcW w:w="425" w:type="pct"/>
                  <w:vAlign w:val="center"/>
                </w:tcPr>
                <w:p w14:paraId="1A574F34">
                  <w:pPr>
                    <w:pStyle w:val="50"/>
                    <w:widowControl/>
                    <w:spacing w:before="24" w:after="24" w:line="240" w:lineRule="auto"/>
                    <w:rPr>
                      <w:b/>
                      <w:bCs/>
                      <w:szCs w:val="21"/>
                    </w:rPr>
                  </w:pPr>
                  <w:r>
                    <w:rPr>
                      <w:b/>
                      <w:bCs/>
                      <w:szCs w:val="21"/>
                    </w:rPr>
                    <w:t>Ⅰ</w:t>
                  </w:r>
                </w:p>
              </w:tc>
              <w:tc>
                <w:tcPr>
                  <w:tcW w:w="433" w:type="pct"/>
                  <w:vAlign w:val="center"/>
                </w:tcPr>
                <w:p w14:paraId="22864599">
                  <w:pPr>
                    <w:pStyle w:val="50"/>
                    <w:widowControl/>
                    <w:spacing w:before="24" w:after="24" w:line="240" w:lineRule="auto"/>
                    <w:rPr>
                      <w:b/>
                      <w:bCs/>
                      <w:szCs w:val="21"/>
                    </w:rPr>
                  </w:pPr>
                  <w:r>
                    <w:rPr>
                      <w:b/>
                      <w:bCs/>
                      <w:szCs w:val="21"/>
                    </w:rPr>
                    <w:t>Ⅱ</w:t>
                  </w:r>
                </w:p>
              </w:tc>
              <w:tc>
                <w:tcPr>
                  <w:tcW w:w="398" w:type="pct"/>
                  <w:vAlign w:val="center"/>
                </w:tcPr>
                <w:p w14:paraId="1428D1E8">
                  <w:pPr>
                    <w:pStyle w:val="50"/>
                    <w:widowControl/>
                    <w:spacing w:before="24" w:after="24" w:line="240" w:lineRule="auto"/>
                    <w:rPr>
                      <w:b/>
                      <w:bCs/>
                      <w:szCs w:val="21"/>
                    </w:rPr>
                  </w:pPr>
                  <w:r>
                    <w:rPr>
                      <w:b/>
                      <w:bCs/>
                      <w:szCs w:val="21"/>
                    </w:rPr>
                    <w:t>Ⅲ</w:t>
                  </w:r>
                </w:p>
              </w:tc>
            </w:tr>
            <w:tr w14:paraId="0A945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9" w:hRule="atLeast"/>
                <w:jc w:val="center"/>
              </w:trPr>
              <w:tc>
                <w:tcPr>
                  <w:tcW w:w="566" w:type="pct"/>
                  <w:vAlign w:val="center"/>
                </w:tcPr>
                <w:p w14:paraId="6C54392E">
                  <w:pPr>
                    <w:pStyle w:val="50"/>
                    <w:widowControl/>
                    <w:spacing w:before="24" w:after="24" w:line="240" w:lineRule="auto"/>
                    <w:rPr>
                      <w:szCs w:val="21"/>
                    </w:rPr>
                  </w:pPr>
                  <w:r>
                    <w:rPr>
                      <w:szCs w:val="21"/>
                    </w:rPr>
                    <w:t>A</w:t>
                  </w:r>
                </w:p>
              </w:tc>
              <w:tc>
                <w:tcPr>
                  <w:tcW w:w="765" w:type="pct"/>
                  <w:vAlign w:val="center"/>
                </w:tcPr>
                <w:p w14:paraId="76229437">
                  <w:pPr>
                    <w:pStyle w:val="50"/>
                    <w:widowControl/>
                    <w:spacing w:before="24" w:after="24" w:line="240" w:lineRule="auto"/>
                    <w:rPr>
                      <w:szCs w:val="21"/>
                    </w:rPr>
                  </w:pPr>
                  <w:r>
                    <w:rPr>
                      <w:szCs w:val="21"/>
                    </w:rPr>
                    <w:t>&lt;2</w:t>
                  </w:r>
                </w:p>
                <w:p w14:paraId="279D0196">
                  <w:pPr>
                    <w:pStyle w:val="50"/>
                    <w:widowControl/>
                    <w:spacing w:before="24" w:after="24" w:line="240" w:lineRule="auto"/>
                    <w:rPr>
                      <w:szCs w:val="21"/>
                    </w:rPr>
                  </w:pPr>
                  <w:r>
                    <w:rPr>
                      <w:szCs w:val="21"/>
                    </w:rPr>
                    <w:t>2～4</w:t>
                  </w:r>
                </w:p>
                <w:p w14:paraId="4D5297DB">
                  <w:pPr>
                    <w:pStyle w:val="50"/>
                    <w:widowControl/>
                    <w:spacing w:before="24" w:after="24" w:line="240" w:lineRule="auto"/>
                    <w:rPr>
                      <w:szCs w:val="21"/>
                    </w:rPr>
                  </w:pPr>
                  <w:r>
                    <w:rPr>
                      <w:szCs w:val="21"/>
                    </w:rPr>
                    <w:t>&gt;4</w:t>
                  </w:r>
                </w:p>
              </w:tc>
              <w:tc>
                <w:tcPr>
                  <w:tcW w:w="413" w:type="pct"/>
                  <w:vAlign w:val="center"/>
                </w:tcPr>
                <w:p w14:paraId="74988785">
                  <w:pPr>
                    <w:pStyle w:val="50"/>
                    <w:widowControl/>
                    <w:spacing w:before="24" w:after="24" w:line="240" w:lineRule="auto"/>
                    <w:rPr>
                      <w:szCs w:val="21"/>
                    </w:rPr>
                  </w:pPr>
                  <w:r>
                    <w:rPr>
                      <w:szCs w:val="21"/>
                    </w:rPr>
                    <w:t>400</w:t>
                  </w:r>
                </w:p>
                <w:p w14:paraId="1A93E6CA">
                  <w:pPr>
                    <w:pStyle w:val="50"/>
                    <w:widowControl/>
                    <w:spacing w:before="24" w:after="24" w:line="240" w:lineRule="auto"/>
                    <w:rPr>
                      <w:szCs w:val="21"/>
                    </w:rPr>
                  </w:pPr>
                  <w:r>
                    <w:rPr>
                      <w:szCs w:val="21"/>
                    </w:rPr>
                    <w:t>700</w:t>
                  </w:r>
                </w:p>
                <w:p w14:paraId="37099565">
                  <w:pPr>
                    <w:pStyle w:val="50"/>
                    <w:widowControl/>
                    <w:spacing w:before="24" w:after="24" w:line="240" w:lineRule="auto"/>
                    <w:rPr>
                      <w:szCs w:val="21"/>
                    </w:rPr>
                  </w:pPr>
                  <w:r>
                    <w:rPr>
                      <w:szCs w:val="21"/>
                    </w:rPr>
                    <w:t>530</w:t>
                  </w:r>
                </w:p>
              </w:tc>
              <w:tc>
                <w:tcPr>
                  <w:tcW w:w="372" w:type="pct"/>
                  <w:vAlign w:val="center"/>
                </w:tcPr>
                <w:p w14:paraId="05B51E82">
                  <w:pPr>
                    <w:pStyle w:val="50"/>
                    <w:widowControl/>
                    <w:spacing w:before="24" w:after="24" w:line="240" w:lineRule="auto"/>
                    <w:rPr>
                      <w:szCs w:val="21"/>
                    </w:rPr>
                  </w:pPr>
                  <w:r>
                    <w:rPr>
                      <w:szCs w:val="21"/>
                    </w:rPr>
                    <w:t>400</w:t>
                  </w:r>
                </w:p>
                <w:p w14:paraId="10601A66">
                  <w:pPr>
                    <w:pStyle w:val="50"/>
                    <w:widowControl/>
                    <w:spacing w:before="24" w:after="24" w:line="240" w:lineRule="auto"/>
                    <w:rPr>
                      <w:szCs w:val="21"/>
                    </w:rPr>
                  </w:pPr>
                  <w:r>
                    <w:rPr>
                      <w:szCs w:val="21"/>
                    </w:rPr>
                    <w:t>470</w:t>
                  </w:r>
                </w:p>
                <w:p w14:paraId="51E1853C">
                  <w:pPr>
                    <w:pStyle w:val="50"/>
                    <w:widowControl/>
                    <w:spacing w:before="24" w:after="24" w:line="240" w:lineRule="auto"/>
                    <w:rPr>
                      <w:szCs w:val="21"/>
                    </w:rPr>
                  </w:pPr>
                  <w:r>
                    <w:rPr>
                      <w:szCs w:val="21"/>
                    </w:rPr>
                    <w:t>350</w:t>
                  </w:r>
                </w:p>
              </w:tc>
              <w:tc>
                <w:tcPr>
                  <w:tcW w:w="454" w:type="pct"/>
                  <w:vAlign w:val="center"/>
                </w:tcPr>
                <w:p w14:paraId="53C121E4">
                  <w:pPr>
                    <w:pStyle w:val="50"/>
                    <w:widowControl/>
                    <w:spacing w:before="24" w:after="24" w:line="240" w:lineRule="auto"/>
                    <w:rPr>
                      <w:szCs w:val="21"/>
                    </w:rPr>
                  </w:pPr>
                  <w:r>
                    <w:rPr>
                      <w:szCs w:val="21"/>
                    </w:rPr>
                    <w:t>400</w:t>
                  </w:r>
                </w:p>
                <w:p w14:paraId="333E1287">
                  <w:pPr>
                    <w:pStyle w:val="50"/>
                    <w:widowControl/>
                    <w:spacing w:before="24" w:after="24" w:line="240" w:lineRule="auto"/>
                    <w:rPr>
                      <w:szCs w:val="21"/>
                    </w:rPr>
                  </w:pPr>
                  <w:r>
                    <w:rPr>
                      <w:szCs w:val="21"/>
                    </w:rPr>
                    <w:t>350</w:t>
                  </w:r>
                </w:p>
                <w:p w14:paraId="6F5991B1">
                  <w:pPr>
                    <w:pStyle w:val="50"/>
                    <w:widowControl/>
                    <w:spacing w:before="24" w:after="24" w:line="240" w:lineRule="auto"/>
                    <w:rPr>
                      <w:szCs w:val="21"/>
                    </w:rPr>
                  </w:pPr>
                  <w:r>
                    <w:rPr>
                      <w:szCs w:val="21"/>
                    </w:rPr>
                    <w:t>260</w:t>
                  </w:r>
                </w:p>
              </w:tc>
              <w:tc>
                <w:tcPr>
                  <w:tcW w:w="398" w:type="pct"/>
                  <w:vAlign w:val="center"/>
                </w:tcPr>
                <w:p w14:paraId="5A372C89">
                  <w:pPr>
                    <w:pStyle w:val="50"/>
                    <w:widowControl/>
                    <w:spacing w:before="24" w:after="24" w:line="240" w:lineRule="auto"/>
                    <w:rPr>
                      <w:szCs w:val="21"/>
                    </w:rPr>
                  </w:pPr>
                  <w:r>
                    <w:rPr>
                      <w:szCs w:val="21"/>
                    </w:rPr>
                    <w:t>400</w:t>
                  </w:r>
                </w:p>
                <w:p w14:paraId="11B459B7">
                  <w:pPr>
                    <w:pStyle w:val="50"/>
                    <w:widowControl/>
                    <w:spacing w:before="24" w:after="24" w:line="240" w:lineRule="auto"/>
                    <w:rPr>
                      <w:szCs w:val="21"/>
                    </w:rPr>
                  </w:pPr>
                  <w:r>
                    <w:rPr>
                      <w:szCs w:val="21"/>
                    </w:rPr>
                    <w:t>700</w:t>
                  </w:r>
                </w:p>
                <w:p w14:paraId="4EE28211">
                  <w:pPr>
                    <w:pStyle w:val="50"/>
                    <w:widowControl/>
                    <w:spacing w:before="24" w:after="24" w:line="240" w:lineRule="auto"/>
                    <w:rPr>
                      <w:szCs w:val="21"/>
                    </w:rPr>
                  </w:pPr>
                  <w:r>
                    <w:rPr>
                      <w:szCs w:val="21"/>
                    </w:rPr>
                    <w:t>530</w:t>
                  </w:r>
                </w:p>
              </w:tc>
              <w:tc>
                <w:tcPr>
                  <w:tcW w:w="432" w:type="pct"/>
                  <w:vAlign w:val="center"/>
                </w:tcPr>
                <w:p w14:paraId="62A4B60B">
                  <w:pPr>
                    <w:pStyle w:val="50"/>
                    <w:widowControl/>
                    <w:spacing w:before="24" w:after="24" w:line="240" w:lineRule="auto"/>
                    <w:rPr>
                      <w:szCs w:val="21"/>
                    </w:rPr>
                  </w:pPr>
                  <w:r>
                    <w:rPr>
                      <w:szCs w:val="21"/>
                    </w:rPr>
                    <w:t>400</w:t>
                  </w:r>
                </w:p>
                <w:p w14:paraId="63E8A51A">
                  <w:pPr>
                    <w:pStyle w:val="50"/>
                    <w:widowControl/>
                    <w:spacing w:before="24" w:after="24" w:line="240" w:lineRule="auto"/>
                    <w:rPr>
                      <w:szCs w:val="21"/>
                    </w:rPr>
                  </w:pPr>
                  <w:r>
                    <w:rPr>
                      <w:szCs w:val="21"/>
                    </w:rPr>
                    <w:t>470</w:t>
                  </w:r>
                </w:p>
                <w:p w14:paraId="6F12BFDE">
                  <w:pPr>
                    <w:pStyle w:val="50"/>
                    <w:widowControl/>
                    <w:spacing w:before="24" w:after="24" w:line="240" w:lineRule="auto"/>
                    <w:rPr>
                      <w:szCs w:val="21"/>
                    </w:rPr>
                  </w:pPr>
                  <w:r>
                    <w:rPr>
                      <w:szCs w:val="21"/>
                    </w:rPr>
                    <w:t>350</w:t>
                  </w:r>
                </w:p>
              </w:tc>
              <w:tc>
                <w:tcPr>
                  <w:tcW w:w="344" w:type="pct"/>
                  <w:vAlign w:val="center"/>
                </w:tcPr>
                <w:p w14:paraId="3D57974B">
                  <w:pPr>
                    <w:pStyle w:val="50"/>
                    <w:widowControl/>
                    <w:spacing w:before="24" w:after="24" w:line="240" w:lineRule="auto"/>
                    <w:rPr>
                      <w:szCs w:val="21"/>
                    </w:rPr>
                  </w:pPr>
                  <w:r>
                    <w:rPr>
                      <w:szCs w:val="21"/>
                    </w:rPr>
                    <w:t>400</w:t>
                  </w:r>
                </w:p>
                <w:p w14:paraId="6453E499">
                  <w:pPr>
                    <w:pStyle w:val="50"/>
                    <w:widowControl/>
                    <w:spacing w:before="24" w:after="24" w:line="240" w:lineRule="auto"/>
                    <w:rPr>
                      <w:szCs w:val="21"/>
                    </w:rPr>
                  </w:pPr>
                  <w:r>
                    <w:rPr>
                      <w:szCs w:val="21"/>
                    </w:rPr>
                    <w:t>350</w:t>
                  </w:r>
                </w:p>
                <w:p w14:paraId="01759EF2">
                  <w:pPr>
                    <w:pStyle w:val="50"/>
                    <w:widowControl/>
                    <w:spacing w:before="24" w:after="24" w:line="240" w:lineRule="auto"/>
                    <w:rPr>
                      <w:szCs w:val="21"/>
                    </w:rPr>
                  </w:pPr>
                  <w:r>
                    <w:rPr>
                      <w:szCs w:val="21"/>
                    </w:rPr>
                    <w:t>260</w:t>
                  </w:r>
                </w:p>
              </w:tc>
              <w:tc>
                <w:tcPr>
                  <w:tcW w:w="425" w:type="pct"/>
                  <w:vAlign w:val="center"/>
                </w:tcPr>
                <w:p w14:paraId="185F69D5">
                  <w:pPr>
                    <w:pStyle w:val="50"/>
                    <w:widowControl/>
                    <w:spacing w:before="24" w:after="24" w:line="240" w:lineRule="auto"/>
                    <w:rPr>
                      <w:szCs w:val="21"/>
                    </w:rPr>
                  </w:pPr>
                  <w:r>
                    <w:rPr>
                      <w:szCs w:val="21"/>
                    </w:rPr>
                    <w:t>80</w:t>
                  </w:r>
                </w:p>
                <w:p w14:paraId="1F6BC189">
                  <w:pPr>
                    <w:pStyle w:val="50"/>
                    <w:widowControl/>
                    <w:spacing w:before="24" w:after="24" w:line="240" w:lineRule="auto"/>
                    <w:rPr>
                      <w:szCs w:val="21"/>
                    </w:rPr>
                  </w:pPr>
                  <w:r>
                    <w:rPr>
                      <w:szCs w:val="21"/>
                    </w:rPr>
                    <w:t>380</w:t>
                  </w:r>
                </w:p>
                <w:p w14:paraId="03EC69BF">
                  <w:pPr>
                    <w:pStyle w:val="50"/>
                    <w:widowControl/>
                    <w:spacing w:before="24" w:after="24" w:line="240" w:lineRule="auto"/>
                    <w:rPr>
                      <w:szCs w:val="21"/>
                    </w:rPr>
                  </w:pPr>
                  <w:r>
                    <w:rPr>
                      <w:szCs w:val="21"/>
                    </w:rPr>
                    <w:t>290</w:t>
                  </w:r>
                </w:p>
              </w:tc>
              <w:tc>
                <w:tcPr>
                  <w:tcW w:w="433" w:type="pct"/>
                  <w:vAlign w:val="center"/>
                </w:tcPr>
                <w:p w14:paraId="1FA16C5D">
                  <w:pPr>
                    <w:pStyle w:val="50"/>
                    <w:widowControl/>
                    <w:spacing w:before="24" w:after="24" w:line="240" w:lineRule="auto"/>
                    <w:rPr>
                      <w:szCs w:val="21"/>
                    </w:rPr>
                  </w:pPr>
                  <w:r>
                    <w:rPr>
                      <w:szCs w:val="21"/>
                    </w:rPr>
                    <w:t>80</w:t>
                  </w:r>
                </w:p>
                <w:p w14:paraId="0EC6EED0">
                  <w:pPr>
                    <w:pStyle w:val="50"/>
                    <w:widowControl/>
                    <w:spacing w:before="24" w:after="24" w:line="240" w:lineRule="auto"/>
                    <w:rPr>
                      <w:szCs w:val="21"/>
                    </w:rPr>
                  </w:pPr>
                  <w:r>
                    <w:rPr>
                      <w:szCs w:val="21"/>
                    </w:rPr>
                    <w:t>250</w:t>
                  </w:r>
                </w:p>
                <w:p w14:paraId="00C4542E">
                  <w:pPr>
                    <w:pStyle w:val="50"/>
                    <w:widowControl/>
                    <w:spacing w:before="24" w:after="24" w:line="240" w:lineRule="auto"/>
                    <w:rPr>
                      <w:szCs w:val="21"/>
                    </w:rPr>
                  </w:pPr>
                  <w:r>
                    <w:rPr>
                      <w:szCs w:val="21"/>
                    </w:rPr>
                    <w:t>190</w:t>
                  </w:r>
                </w:p>
              </w:tc>
              <w:tc>
                <w:tcPr>
                  <w:tcW w:w="398" w:type="pct"/>
                  <w:vAlign w:val="center"/>
                </w:tcPr>
                <w:p w14:paraId="06DE23CC">
                  <w:pPr>
                    <w:pStyle w:val="50"/>
                    <w:widowControl/>
                    <w:spacing w:before="24" w:after="24" w:line="240" w:lineRule="auto"/>
                    <w:rPr>
                      <w:szCs w:val="21"/>
                    </w:rPr>
                  </w:pPr>
                  <w:r>
                    <w:rPr>
                      <w:szCs w:val="21"/>
                    </w:rPr>
                    <w:t>80</w:t>
                  </w:r>
                </w:p>
                <w:p w14:paraId="130FF1FD">
                  <w:pPr>
                    <w:pStyle w:val="50"/>
                    <w:widowControl/>
                    <w:spacing w:before="24" w:after="24" w:line="240" w:lineRule="auto"/>
                    <w:rPr>
                      <w:szCs w:val="21"/>
                    </w:rPr>
                  </w:pPr>
                  <w:r>
                    <w:rPr>
                      <w:szCs w:val="21"/>
                    </w:rPr>
                    <w:t>190</w:t>
                  </w:r>
                </w:p>
                <w:p w14:paraId="65C325F7">
                  <w:pPr>
                    <w:pStyle w:val="50"/>
                    <w:widowControl/>
                    <w:tabs>
                      <w:tab w:val="left" w:pos="223"/>
                    </w:tabs>
                    <w:spacing w:before="24" w:after="24" w:line="240" w:lineRule="auto"/>
                    <w:rPr>
                      <w:szCs w:val="21"/>
                    </w:rPr>
                  </w:pPr>
                  <w:r>
                    <w:rPr>
                      <w:szCs w:val="21"/>
                    </w:rPr>
                    <w:t>140</w:t>
                  </w:r>
                </w:p>
              </w:tc>
            </w:tr>
            <w:tr w14:paraId="4D044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566" w:type="pct"/>
                  <w:vAlign w:val="center"/>
                </w:tcPr>
                <w:p w14:paraId="76FE840D">
                  <w:pPr>
                    <w:pStyle w:val="50"/>
                    <w:widowControl/>
                    <w:spacing w:before="24" w:after="24" w:line="240" w:lineRule="auto"/>
                    <w:rPr>
                      <w:szCs w:val="21"/>
                    </w:rPr>
                  </w:pPr>
                  <w:r>
                    <w:rPr>
                      <w:szCs w:val="21"/>
                    </w:rPr>
                    <w:t>B</w:t>
                  </w:r>
                </w:p>
              </w:tc>
              <w:tc>
                <w:tcPr>
                  <w:tcW w:w="765" w:type="pct"/>
                  <w:vAlign w:val="center"/>
                </w:tcPr>
                <w:p w14:paraId="1D1CEB93">
                  <w:pPr>
                    <w:pStyle w:val="50"/>
                    <w:widowControl/>
                    <w:spacing w:before="24" w:after="24" w:line="240" w:lineRule="auto"/>
                    <w:rPr>
                      <w:szCs w:val="21"/>
                    </w:rPr>
                  </w:pPr>
                  <w:r>
                    <w:rPr>
                      <w:szCs w:val="21"/>
                    </w:rPr>
                    <w:t>&lt;2</w:t>
                  </w:r>
                </w:p>
                <w:p w14:paraId="79861BD3">
                  <w:pPr>
                    <w:pStyle w:val="50"/>
                    <w:widowControl/>
                    <w:spacing w:before="24" w:after="24" w:line="240" w:lineRule="auto"/>
                    <w:rPr>
                      <w:szCs w:val="21"/>
                    </w:rPr>
                  </w:pPr>
                  <w:r>
                    <w:rPr>
                      <w:szCs w:val="21"/>
                    </w:rPr>
                    <w:t>&gt;2</w:t>
                  </w:r>
                </w:p>
              </w:tc>
              <w:tc>
                <w:tcPr>
                  <w:tcW w:w="1239" w:type="pct"/>
                  <w:gridSpan w:val="3"/>
                  <w:vAlign w:val="center"/>
                </w:tcPr>
                <w:p w14:paraId="28E65B0D">
                  <w:pPr>
                    <w:pStyle w:val="50"/>
                    <w:widowControl/>
                    <w:spacing w:before="24" w:after="24" w:line="240" w:lineRule="auto"/>
                    <w:rPr>
                      <w:szCs w:val="21"/>
                    </w:rPr>
                  </w:pPr>
                  <w:r>
                    <w:rPr>
                      <w:szCs w:val="21"/>
                    </w:rPr>
                    <w:t>0.01</w:t>
                  </w:r>
                </w:p>
                <w:p w14:paraId="283FBCB1">
                  <w:pPr>
                    <w:pStyle w:val="50"/>
                    <w:widowControl/>
                    <w:spacing w:before="24" w:after="24" w:line="240" w:lineRule="auto"/>
                    <w:rPr>
                      <w:szCs w:val="21"/>
                    </w:rPr>
                  </w:pPr>
                  <w:r>
                    <w:rPr>
                      <w:szCs w:val="21"/>
                    </w:rPr>
                    <w:t>0.021</w:t>
                  </w:r>
                </w:p>
              </w:tc>
              <w:tc>
                <w:tcPr>
                  <w:tcW w:w="1174" w:type="pct"/>
                  <w:gridSpan w:val="3"/>
                  <w:vAlign w:val="center"/>
                </w:tcPr>
                <w:p w14:paraId="3036AA45">
                  <w:pPr>
                    <w:pStyle w:val="50"/>
                    <w:widowControl/>
                    <w:spacing w:before="24" w:after="24" w:line="240" w:lineRule="auto"/>
                    <w:rPr>
                      <w:szCs w:val="21"/>
                    </w:rPr>
                  </w:pPr>
                  <w:r>
                    <w:rPr>
                      <w:szCs w:val="21"/>
                    </w:rPr>
                    <w:t>0.015</w:t>
                  </w:r>
                </w:p>
                <w:p w14:paraId="3C2ED5FC">
                  <w:pPr>
                    <w:pStyle w:val="50"/>
                    <w:widowControl/>
                    <w:spacing w:before="24" w:after="24" w:line="240" w:lineRule="auto"/>
                    <w:rPr>
                      <w:szCs w:val="21"/>
                    </w:rPr>
                  </w:pPr>
                  <w:r>
                    <w:rPr>
                      <w:szCs w:val="21"/>
                    </w:rPr>
                    <w:t>0.036</w:t>
                  </w:r>
                </w:p>
              </w:tc>
              <w:tc>
                <w:tcPr>
                  <w:tcW w:w="1256" w:type="pct"/>
                  <w:gridSpan w:val="3"/>
                  <w:vAlign w:val="center"/>
                </w:tcPr>
                <w:p w14:paraId="6BD3F1DF">
                  <w:pPr>
                    <w:pStyle w:val="50"/>
                    <w:widowControl/>
                    <w:spacing w:before="24" w:after="24" w:line="240" w:lineRule="auto"/>
                    <w:rPr>
                      <w:szCs w:val="21"/>
                    </w:rPr>
                  </w:pPr>
                  <w:r>
                    <w:rPr>
                      <w:szCs w:val="21"/>
                    </w:rPr>
                    <w:t>0.015</w:t>
                  </w:r>
                </w:p>
                <w:p w14:paraId="3CF2E33C">
                  <w:pPr>
                    <w:pStyle w:val="50"/>
                    <w:widowControl/>
                    <w:spacing w:before="24" w:after="24" w:line="240" w:lineRule="auto"/>
                    <w:rPr>
                      <w:szCs w:val="21"/>
                    </w:rPr>
                  </w:pPr>
                  <w:r>
                    <w:rPr>
                      <w:szCs w:val="21"/>
                    </w:rPr>
                    <w:t>0.036</w:t>
                  </w:r>
                </w:p>
              </w:tc>
            </w:tr>
            <w:tr w14:paraId="3FE81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566" w:type="pct"/>
                  <w:vAlign w:val="center"/>
                </w:tcPr>
                <w:p w14:paraId="38E2198B">
                  <w:pPr>
                    <w:pStyle w:val="50"/>
                    <w:widowControl/>
                    <w:spacing w:before="24" w:after="24" w:line="240" w:lineRule="auto"/>
                    <w:rPr>
                      <w:szCs w:val="21"/>
                    </w:rPr>
                  </w:pPr>
                  <w:r>
                    <w:rPr>
                      <w:szCs w:val="21"/>
                    </w:rPr>
                    <w:t>C</w:t>
                  </w:r>
                </w:p>
              </w:tc>
              <w:tc>
                <w:tcPr>
                  <w:tcW w:w="765" w:type="pct"/>
                  <w:vAlign w:val="center"/>
                </w:tcPr>
                <w:p w14:paraId="54FABDCA">
                  <w:pPr>
                    <w:pStyle w:val="50"/>
                    <w:widowControl/>
                    <w:spacing w:before="24" w:after="24" w:line="240" w:lineRule="auto"/>
                    <w:rPr>
                      <w:szCs w:val="21"/>
                    </w:rPr>
                  </w:pPr>
                  <w:r>
                    <w:rPr>
                      <w:szCs w:val="21"/>
                    </w:rPr>
                    <w:t>&lt;2</w:t>
                  </w:r>
                </w:p>
                <w:p w14:paraId="324FD57C">
                  <w:pPr>
                    <w:pStyle w:val="50"/>
                    <w:widowControl/>
                    <w:spacing w:before="24" w:after="24" w:line="240" w:lineRule="auto"/>
                    <w:rPr>
                      <w:szCs w:val="21"/>
                    </w:rPr>
                  </w:pPr>
                  <w:r>
                    <w:rPr>
                      <w:szCs w:val="21"/>
                    </w:rPr>
                    <w:t>&gt;2</w:t>
                  </w:r>
                </w:p>
              </w:tc>
              <w:tc>
                <w:tcPr>
                  <w:tcW w:w="1239" w:type="pct"/>
                  <w:gridSpan w:val="3"/>
                  <w:vAlign w:val="center"/>
                </w:tcPr>
                <w:p w14:paraId="3BBDCD7D">
                  <w:pPr>
                    <w:pStyle w:val="50"/>
                    <w:widowControl/>
                    <w:spacing w:before="24" w:after="24" w:line="240" w:lineRule="auto"/>
                    <w:rPr>
                      <w:szCs w:val="21"/>
                    </w:rPr>
                  </w:pPr>
                  <w:r>
                    <w:rPr>
                      <w:szCs w:val="21"/>
                    </w:rPr>
                    <w:t>1.85</w:t>
                  </w:r>
                </w:p>
                <w:p w14:paraId="7B810D46">
                  <w:pPr>
                    <w:pStyle w:val="50"/>
                    <w:widowControl/>
                    <w:spacing w:before="24" w:after="24" w:line="240" w:lineRule="auto"/>
                    <w:rPr>
                      <w:szCs w:val="21"/>
                    </w:rPr>
                  </w:pPr>
                  <w:r>
                    <w:rPr>
                      <w:szCs w:val="21"/>
                    </w:rPr>
                    <w:t>1.85</w:t>
                  </w:r>
                </w:p>
              </w:tc>
              <w:tc>
                <w:tcPr>
                  <w:tcW w:w="1174" w:type="pct"/>
                  <w:gridSpan w:val="3"/>
                  <w:vAlign w:val="center"/>
                </w:tcPr>
                <w:p w14:paraId="20E7209B">
                  <w:pPr>
                    <w:pStyle w:val="50"/>
                    <w:widowControl/>
                    <w:spacing w:before="24" w:after="24" w:line="240" w:lineRule="auto"/>
                    <w:rPr>
                      <w:szCs w:val="21"/>
                    </w:rPr>
                  </w:pPr>
                  <w:r>
                    <w:rPr>
                      <w:szCs w:val="21"/>
                    </w:rPr>
                    <w:t>1.79</w:t>
                  </w:r>
                </w:p>
                <w:p w14:paraId="5DDA9C9E">
                  <w:pPr>
                    <w:pStyle w:val="50"/>
                    <w:widowControl/>
                    <w:spacing w:before="24" w:after="24" w:line="240" w:lineRule="auto"/>
                    <w:rPr>
                      <w:szCs w:val="21"/>
                    </w:rPr>
                  </w:pPr>
                  <w:r>
                    <w:rPr>
                      <w:szCs w:val="21"/>
                    </w:rPr>
                    <w:t>1.77</w:t>
                  </w:r>
                </w:p>
              </w:tc>
              <w:tc>
                <w:tcPr>
                  <w:tcW w:w="1256" w:type="pct"/>
                  <w:gridSpan w:val="3"/>
                  <w:vAlign w:val="center"/>
                </w:tcPr>
                <w:p w14:paraId="26B75016">
                  <w:pPr>
                    <w:pStyle w:val="50"/>
                    <w:widowControl/>
                    <w:spacing w:before="24" w:after="24" w:line="240" w:lineRule="auto"/>
                    <w:rPr>
                      <w:szCs w:val="21"/>
                    </w:rPr>
                  </w:pPr>
                  <w:r>
                    <w:rPr>
                      <w:szCs w:val="21"/>
                    </w:rPr>
                    <w:t>1.79</w:t>
                  </w:r>
                </w:p>
                <w:p w14:paraId="61882B0A">
                  <w:pPr>
                    <w:pStyle w:val="50"/>
                    <w:widowControl/>
                    <w:spacing w:before="24" w:after="24" w:line="240" w:lineRule="auto"/>
                    <w:rPr>
                      <w:szCs w:val="21"/>
                    </w:rPr>
                  </w:pPr>
                  <w:r>
                    <w:rPr>
                      <w:szCs w:val="21"/>
                    </w:rPr>
                    <w:t>1.77</w:t>
                  </w:r>
                </w:p>
              </w:tc>
            </w:tr>
            <w:tr w14:paraId="5110E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566" w:type="pct"/>
                  <w:vAlign w:val="center"/>
                </w:tcPr>
                <w:p w14:paraId="44D481DB">
                  <w:pPr>
                    <w:pStyle w:val="50"/>
                    <w:widowControl/>
                    <w:spacing w:before="24" w:after="24" w:line="240" w:lineRule="auto"/>
                    <w:rPr>
                      <w:szCs w:val="21"/>
                    </w:rPr>
                  </w:pPr>
                  <w:r>
                    <w:rPr>
                      <w:szCs w:val="21"/>
                    </w:rPr>
                    <w:t>D</w:t>
                  </w:r>
                </w:p>
              </w:tc>
              <w:tc>
                <w:tcPr>
                  <w:tcW w:w="765" w:type="pct"/>
                  <w:vAlign w:val="center"/>
                </w:tcPr>
                <w:p w14:paraId="27869390">
                  <w:pPr>
                    <w:pStyle w:val="50"/>
                    <w:widowControl/>
                    <w:spacing w:before="24" w:after="24" w:line="240" w:lineRule="auto"/>
                    <w:rPr>
                      <w:szCs w:val="21"/>
                    </w:rPr>
                  </w:pPr>
                  <w:r>
                    <w:rPr>
                      <w:szCs w:val="21"/>
                    </w:rPr>
                    <w:t>&lt;2</w:t>
                  </w:r>
                </w:p>
                <w:p w14:paraId="70D7CF74">
                  <w:pPr>
                    <w:pStyle w:val="50"/>
                    <w:widowControl/>
                    <w:spacing w:before="24" w:after="24" w:line="240" w:lineRule="auto"/>
                    <w:rPr>
                      <w:szCs w:val="21"/>
                    </w:rPr>
                  </w:pPr>
                  <w:r>
                    <w:rPr>
                      <w:szCs w:val="21"/>
                    </w:rPr>
                    <w:t>&gt;2</w:t>
                  </w:r>
                </w:p>
              </w:tc>
              <w:tc>
                <w:tcPr>
                  <w:tcW w:w="1239" w:type="pct"/>
                  <w:gridSpan w:val="3"/>
                  <w:vAlign w:val="center"/>
                </w:tcPr>
                <w:p w14:paraId="223E94AC">
                  <w:pPr>
                    <w:pStyle w:val="50"/>
                    <w:widowControl/>
                    <w:spacing w:before="24" w:after="24" w:line="240" w:lineRule="auto"/>
                    <w:rPr>
                      <w:szCs w:val="21"/>
                    </w:rPr>
                  </w:pPr>
                  <w:r>
                    <w:rPr>
                      <w:szCs w:val="21"/>
                    </w:rPr>
                    <w:t>0.78</w:t>
                  </w:r>
                </w:p>
                <w:p w14:paraId="55DA43F4">
                  <w:pPr>
                    <w:pStyle w:val="50"/>
                    <w:widowControl/>
                    <w:spacing w:before="24" w:after="24" w:line="240" w:lineRule="auto"/>
                    <w:rPr>
                      <w:szCs w:val="21"/>
                    </w:rPr>
                  </w:pPr>
                  <w:r>
                    <w:rPr>
                      <w:szCs w:val="21"/>
                    </w:rPr>
                    <w:t>0.84</w:t>
                  </w:r>
                </w:p>
              </w:tc>
              <w:tc>
                <w:tcPr>
                  <w:tcW w:w="1174" w:type="pct"/>
                  <w:gridSpan w:val="3"/>
                  <w:vAlign w:val="center"/>
                </w:tcPr>
                <w:p w14:paraId="316DCDB2">
                  <w:pPr>
                    <w:pStyle w:val="50"/>
                    <w:widowControl/>
                    <w:spacing w:before="24" w:after="24" w:line="240" w:lineRule="auto"/>
                    <w:rPr>
                      <w:szCs w:val="21"/>
                    </w:rPr>
                  </w:pPr>
                  <w:r>
                    <w:rPr>
                      <w:szCs w:val="21"/>
                    </w:rPr>
                    <w:t>0.78</w:t>
                  </w:r>
                </w:p>
                <w:p w14:paraId="5C78E846">
                  <w:pPr>
                    <w:pStyle w:val="50"/>
                    <w:widowControl/>
                    <w:spacing w:before="24" w:after="24" w:line="240" w:lineRule="auto"/>
                    <w:rPr>
                      <w:szCs w:val="21"/>
                    </w:rPr>
                  </w:pPr>
                  <w:r>
                    <w:rPr>
                      <w:szCs w:val="21"/>
                    </w:rPr>
                    <w:t>0.84</w:t>
                  </w:r>
                </w:p>
              </w:tc>
              <w:tc>
                <w:tcPr>
                  <w:tcW w:w="1256" w:type="pct"/>
                  <w:gridSpan w:val="3"/>
                  <w:vAlign w:val="center"/>
                </w:tcPr>
                <w:p w14:paraId="2573B1A1">
                  <w:pPr>
                    <w:pStyle w:val="50"/>
                    <w:widowControl/>
                    <w:spacing w:before="24" w:after="24" w:line="240" w:lineRule="auto"/>
                    <w:rPr>
                      <w:szCs w:val="21"/>
                    </w:rPr>
                  </w:pPr>
                  <w:r>
                    <w:rPr>
                      <w:szCs w:val="21"/>
                    </w:rPr>
                    <w:t>0.57</w:t>
                  </w:r>
                </w:p>
                <w:p w14:paraId="62722C0D">
                  <w:pPr>
                    <w:pStyle w:val="50"/>
                    <w:widowControl/>
                    <w:spacing w:before="24" w:after="24" w:line="240" w:lineRule="auto"/>
                    <w:rPr>
                      <w:szCs w:val="21"/>
                    </w:rPr>
                  </w:pPr>
                  <w:r>
                    <w:rPr>
                      <w:szCs w:val="21"/>
                    </w:rPr>
                    <w:t>0.76</w:t>
                  </w:r>
                </w:p>
              </w:tc>
            </w:tr>
            <w:tr w14:paraId="4B3A8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79" w:hRule="atLeast"/>
                <w:jc w:val="center"/>
              </w:trPr>
              <w:tc>
                <w:tcPr>
                  <w:tcW w:w="5000" w:type="pct"/>
                  <w:gridSpan w:val="11"/>
                  <w:vAlign w:val="center"/>
                </w:tcPr>
                <w:p w14:paraId="0FC501A1">
                  <w:pPr>
                    <w:widowControl/>
                    <w:spacing w:line="360" w:lineRule="auto"/>
                    <w:ind w:firstLine="420" w:firstLineChars="200"/>
                  </w:pPr>
                  <w:r>
                    <w:t>注：Ⅰ类：与无组织排放源共存的排放同种有害气体的排气筒的排放量，大于标准规定的允许排放量的1/3者。</w:t>
                  </w:r>
                </w:p>
                <w:p w14:paraId="13DC3670">
                  <w:pPr>
                    <w:pStyle w:val="18"/>
                    <w:spacing w:after="0" w:line="360" w:lineRule="auto"/>
                    <w:ind w:left="0" w:leftChars="0" w:firstLine="420" w:firstLineChars="200"/>
                    <w:rPr>
                      <w:sz w:val="21"/>
                      <w:szCs w:val="21"/>
                    </w:rPr>
                  </w:pPr>
                  <w:r>
                    <w:rPr>
                      <w:sz w:val="21"/>
                      <w:szCs w:val="21"/>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02211BF7">
                  <w:pPr>
                    <w:pStyle w:val="18"/>
                    <w:spacing w:after="0" w:line="360" w:lineRule="auto"/>
                    <w:ind w:left="0" w:leftChars="0" w:firstLine="420" w:firstLineChars="200"/>
                    <w:rPr>
                      <w:sz w:val="21"/>
                      <w:szCs w:val="21"/>
                    </w:rPr>
                  </w:pPr>
                  <w:r>
                    <w:rPr>
                      <w:sz w:val="21"/>
                      <w:szCs w:val="21"/>
                    </w:rPr>
                    <w:t>Ⅲ类：无排放同种有害物质的排气筒与无组织排放源共存，且无组织排放的有害物质的容许浓度是按慢性反应指标确定者。</w:t>
                  </w:r>
                </w:p>
              </w:tc>
            </w:tr>
          </w:tbl>
          <w:p w14:paraId="54904E03">
            <w:pPr>
              <w:spacing w:line="360" w:lineRule="auto"/>
              <w:ind w:firstLine="480" w:firstLineChars="200"/>
              <w:rPr>
                <w:sz w:val="24"/>
              </w:rPr>
            </w:pPr>
            <w:r>
              <w:rPr>
                <w:sz w:val="24"/>
              </w:rPr>
              <w:t>本项目所在地区近5年平均风速为</w:t>
            </w:r>
            <w:r>
              <w:rPr>
                <w:rFonts w:hint="eastAsia"/>
                <w:sz w:val="24"/>
              </w:rPr>
              <w:t>2.2</w:t>
            </w:r>
            <w:r>
              <w:rPr>
                <w:sz w:val="24"/>
              </w:rPr>
              <w:t>m/s，且大气污染源属于</w:t>
            </w:r>
            <w:r>
              <w:rPr>
                <w:rFonts w:hint="eastAsia"/>
                <w:sz w:val="24"/>
              </w:rPr>
              <w:t>II</w:t>
            </w:r>
            <w:r>
              <w:rPr>
                <w:sz w:val="24"/>
              </w:rPr>
              <w:t>类，由此计算得</w:t>
            </w:r>
            <w:r>
              <w:rPr>
                <w:rFonts w:hint="eastAsia"/>
                <w:bCs/>
                <w:sz w:val="24"/>
                <w:szCs w:val="24"/>
                <w:lang w:bidi="ar"/>
              </w:rPr>
              <w:t>生产</w:t>
            </w:r>
            <w:r>
              <w:rPr>
                <w:sz w:val="24"/>
              </w:rPr>
              <w:t>车间的卫生防护距离初值见</w:t>
            </w:r>
            <w:r>
              <w:rPr>
                <w:rFonts w:hint="eastAsia"/>
                <w:sz w:val="24"/>
              </w:rPr>
              <w:t>表4-13</w:t>
            </w:r>
            <w:r>
              <w:rPr>
                <w:sz w:val="24"/>
              </w:rPr>
              <w:t>。</w:t>
            </w:r>
          </w:p>
          <w:p w14:paraId="3F0DB630">
            <w:pPr>
              <w:pStyle w:val="12"/>
              <w:spacing w:line="360" w:lineRule="auto"/>
              <w:ind w:left="0" w:leftChars="0" w:firstLine="0" w:firstLineChars="0"/>
              <w:jc w:val="center"/>
              <w:rPr>
                <w:b/>
              </w:rPr>
            </w:pPr>
            <w:r>
              <w:rPr>
                <w:b/>
              </w:rPr>
              <w:t>表</w:t>
            </w:r>
            <w:r>
              <w:rPr>
                <w:rFonts w:hint="eastAsia"/>
                <w:b/>
              </w:rPr>
              <w:t>4-13</w:t>
            </w:r>
            <w:r>
              <w:rPr>
                <w:b/>
              </w:rPr>
              <w:t>卫生防护距离初值计算结果</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9"/>
              <w:gridCol w:w="840"/>
              <w:gridCol w:w="991"/>
              <w:gridCol w:w="1181"/>
              <w:gridCol w:w="1122"/>
              <w:gridCol w:w="570"/>
              <w:gridCol w:w="573"/>
              <w:gridCol w:w="570"/>
              <w:gridCol w:w="573"/>
              <w:gridCol w:w="1447"/>
            </w:tblGrid>
            <w:tr w14:paraId="0A2D5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02" w:type="pct"/>
                  <w:vAlign w:val="center"/>
                </w:tcPr>
                <w:p w14:paraId="2F6A5E7F">
                  <w:pPr>
                    <w:pStyle w:val="49"/>
                  </w:pPr>
                  <w:r>
                    <w:t>污染源</w:t>
                  </w:r>
                </w:p>
              </w:tc>
              <w:tc>
                <w:tcPr>
                  <w:tcW w:w="491" w:type="pct"/>
                  <w:vAlign w:val="center"/>
                </w:tcPr>
                <w:p w14:paraId="1EB7F5D8">
                  <w:pPr>
                    <w:pStyle w:val="49"/>
                  </w:pPr>
                  <w:r>
                    <w:t>污染物</w:t>
                  </w:r>
                </w:p>
              </w:tc>
              <w:tc>
                <w:tcPr>
                  <w:tcW w:w="579" w:type="pct"/>
                  <w:vAlign w:val="center"/>
                </w:tcPr>
                <w:p w14:paraId="125F32CB">
                  <w:pPr>
                    <w:pStyle w:val="49"/>
                  </w:pPr>
                  <w:r>
                    <w:t>Q</w:t>
                  </w:r>
                  <w:r>
                    <w:rPr>
                      <w:vertAlign w:val="subscript"/>
                    </w:rPr>
                    <w:t>C</w:t>
                  </w:r>
                  <w:r>
                    <w:t>（kg/h）</w:t>
                  </w:r>
                </w:p>
              </w:tc>
              <w:tc>
                <w:tcPr>
                  <w:tcW w:w="690" w:type="pct"/>
                  <w:vAlign w:val="center"/>
                </w:tcPr>
                <w:p w14:paraId="692C489F">
                  <w:pPr>
                    <w:pStyle w:val="49"/>
                  </w:pPr>
                  <w:r>
                    <w:t>C</w:t>
                  </w:r>
                  <w:r>
                    <w:rPr>
                      <w:vertAlign w:val="subscript"/>
                    </w:rPr>
                    <w:t>m</w:t>
                  </w:r>
                  <w:r>
                    <w:t>（mg/m</w:t>
                  </w:r>
                  <w:r>
                    <w:rPr>
                      <w:vertAlign w:val="superscript"/>
                    </w:rPr>
                    <w:t>3</w:t>
                  </w:r>
                  <w:r>
                    <w:t>）</w:t>
                  </w:r>
                </w:p>
              </w:tc>
              <w:tc>
                <w:tcPr>
                  <w:tcW w:w="656" w:type="pct"/>
                  <w:vAlign w:val="center"/>
                </w:tcPr>
                <w:p w14:paraId="62EAE269">
                  <w:pPr>
                    <w:pStyle w:val="49"/>
                  </w:pPr>
                  <w:r>
                    <w:t>等效半径r（m）</w:t>
                  </w:r>
                </w:p>
              </w:tc>
              <w:tc>
                <w:tcPr>
                  <w:tcW w:w="333" w:type="pct"/>
                  <w:vAlign w:val="center"/>
                </w:tcPr>
                <w:p w14:paraId="67FCD080">
                  <w:pPr>
                    <w:pStyle w:val="49"/>
                  </w:pPr>
                  <w:r>
                    <w:t>A</w:t>
                  </w:r>
                </w:p>
              </w:tc>
              <w:tc>
                <w:tcPr>
                  <w:tcW w:w="335" w:type="pct"/>
                  <w:vAlign w:val="center"/>
                </w:tcPr>
                <w:p w14:paraId="68D7B017">
                  <w:pPr>
                    <w:pStyle w:val="49"/>
                  </w:pPr>
                  <w:r>
                    <w:t>B</w:t>
                  </w:r>
                </w:p>
              </w:tc>
              <w:tc>
                <w:tcPr>
                  <w:tcW w:w="333" w:type="pct"/>
                  <w:vAlign w:val="center"/>
                </w:tcPr>
                <w:p w14:paraId="358B4A48">
                  <w:pPr>
                    <w:pStyle w:val="49"/>
                  </w:pPr>
                  <w:r>
                    <w:t>C</w:t>
                  </w:r>
                </w:p>
              </w:tc>
              <w:tc>
                <w:tcPr>
                  <w:tcW w:w="335" w:type="pct"/>
                  <w:vAlign w:val="center"/>
                </w:tcPr>
                <w:p w14:paraId="3BAD8386">
                  <w:pPr>
                    <w:pStyle w:val="49"/>
                  </w:pPr>
                  <w:r>
                    <w:t>D</w:t>
                  </w:r>
                </w:p>
              </w:tc>
              <w:tc>
                <w:tcPr>
                  <w:tcW w:w="846" w:type="pct"/>
                  <w:vAlign w:val="center"/>
                </w:tcPr>
                <w:p w14:paraId="0A9B7D94">
                  <w:pPr>
                    <w:pStyle w:val="49"/>
                  </w:pPr>
                  <w:r>
                    <w:t>卫生防护距离初值</w:t>
                  </w:r>
                  <w:r>
                    <w:rPr>
                      <w:rFonts w:hint="eastAsia"/>
                    </w:rPr>
                    <w:t>L</w:t>
                  </w:r>
                  <w:r>
                    <w:t>（m）</w:t>
                  </w:r>
                </w:p>
              </w:tc>
            </w:tr>
            <w:tr w14:paraId="2CF9C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02" w:type="pct"/>
                  <w:vAlign w:val="center"/>
                </w:tcPr>
                <w:p w14:paraId="0996BAE5">
                  <w:pPr>
                    <w:pStyle w:val="49"/>
                  </w:pPr>
                  <w:r>
                    <w:rPr>
                      <w:rFonts w:hint="eastAsia"/>
                    </w:rPr>
                    <w:t>生产车间</w:t>
                  </w:r>
                </w:p>
              </w:tc>
              <w:tc>
                <w:tcPr>
                  <w:tcW w:w="491" w:type="pct"/>
                  <w:vAlign w:val="center"/>
                </w:tcPr>
                <w:p w14:paraId="768C89B4">
                  <w:pPr>
                    <w:pStyle w:val="49"/>
                  </w:pPr>
                  <w:r>
                    <w:rPr>
                      <w:rFonts w:hint="eastAsia"/>
                    </w:rPr>
                    <w:t>非甲烷总烃</w:t>
                  </w:r>
                </w:p>
              </w:tc>
              <w:tc>
                <w:tcPr>
                  <w:tcW w:w="579" w:type="pct"/>
                  <w:vAlign w:val="center"/>
                </w:tcPr>
                <w:p w14:paraId="088BA62C">
                  <w:pPr>
                    <w:pStyle w:val="49"/>
                  </w:pPr>
                  <w:r>
                    <w:rPr>
                      <w:rFonts w:hint="eastAsia"/>
                    </w:rPr>
                    <w:t>0.046</w:t>
                  </w:r>
                </w:p>
              </w:tc>
              <w:tc>
                <w:tcPr>
                  <w:tcW w:w="690" w:type="pct"/>
                  <w:vAlign w:val="center"/>
                </w:tcPr>
                <w:p w14:paraId="70728920">
                  <w:pPr>
                    <w:pStyle w:val="49"/>
                  </w:pPr>
                  <w:r>
                    <w:rPr>
                      <w:rFonts w:hint="eastAsia"/>
                    </w:rPr>
                    <w:t>2.0</w:t>
                  </w:r>
                </w:p>
              </w:tc>
              <w:tc>
                <w:tcPr>
                  <w:tcW w:w="656" w:type="pct"/>
                  <w:vAlign w:val="center"/>
                </w:tcPr>
                <w:p w14:paraId="750371BB">
                  <w:pPr>
                    <w:pStyle w:val="49"/>
                  </w:pPr>
                  <w:r>
                    <w:rPr>
                      <w:rFonts w:hint="eastAsia"/>
                    </w:rPr>
                    <w:t>23.94</w:t>
                  </w:r>
                </w:p>
              </w:tc>
              <w:tc>
                <w:tcPr>
                  <w:tcW w:w="333" w:type="pct"/>
                  <w:vAlign w:val="center"/>
                </w:tcPr>
                <w:p w14:paraId="202EFC5C">
                  <w:pPr>
                    <w:pStyle w:val="49"/>
                  </w:pPr>
                  <w:r>
                    <w:t>470</w:t>
                  </w:r>
                </w:p>
              </w:tc>
              <w:tc>
                <w:tcPr>
                  <w:tcW w:w="335" w:type="pct"/>
                  <w:vAlign w:val="center"/>
                </w:tcPr>
                <w:p w14:paraId="45941EC7">
                  <w:pPr>
                    <w:pStyle w:val="49"/>
                  </w:pPr>
                  <w:r>
                    <w:t>0.021</w:t>
                  </w:r>
                </w:p>
              </w:tc>
              <w:tc>
                <w:tcPr>
                  <w:tcW w:w="333" w:type="pct"/>
                  <w:vAlign w:val="center"/>
                </w:tcPr>
                <w:p w14:paraId="5E6D8B76">
                  <w:pPr>
                    <w:pStyle w:val="49"/>
                  </w:pPr>
                  <w:r>
                    <w:t>1.85</w:t>
                  </w:r>
                </w:p>
              </w:tc>
              <w:tc>
                <w:tcPr>
                  <w:tcW w:w="335" w:type="pct"/>
                  <w:vAlign w:val="center"/>
                </w:tcPr>
                <w:p w14:paraId="2B8C1F89">
                  <w:pPr>
                    <w:pStyle w:val="49"/>
                  </w:pPr>
                  <w:r>
                    <w:t>0.84</w:t>
                  </w:r>
                </w:p>
              </w:tc>
              <w:tc>
                <w:tcPr>
                  <w:tcW w:w="846" w:type="pct"/>
                  <w:vAlign w:val="center"/>
                </w:tcPr>
                <w:p w14:paraId="39A2934D">
                  <w:pPr>
                    <w:pStyle w:val="49"/>
                  </w:pPr>
                  <w:r>
                    <w:rPr>
                      <w:rFonts w:hint="eastAsia"/>
                    </w:rPr>
                    <w:t>0.8856</w:t>
                  </w:r>
                </w:p>
              </w:tc>
            </w:tr>
            <w:tr w14:paraId="656B9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02" w:type="pct"/>
                  <w:vAlign w:val="center"/>
                </w:tcPr>
                <w:p w14:paraId="04E96A9E">
                  <w:pPr>
                    <w:pStyle w:val="49"/>
                  </w:pPr>
                  <w:r>
                    <w:rPr>
                      <w:rFonts w:hint="eastAsia"/>
                    </w:rPr>
                    <w:t>溶剂油罐</w:t>
                  </w:r>
                </w:p>
              </w:tc>
              <w:tc>
                <w:tcPr>
                  <w:tcW w:w="491" w:type="pct"/>
                  <w:vAlign w:val="center"/>
                </w:tcPr>
                <w:p w14:paraId="09ABF3D0">
                  <w:pPr>
                    <w:pStyle w:val="49"/>
                  </w:pPr>
                  <w:r>
                    <w:rPr>
                      <w:rFonts w:hint="eastAsia"/>
                    </w:rPr>
                    <w:t>非甲烷总烃</w:t>
                  </w:r>
                </w:p>
              </w:tc>
              <w:tc>
                <w:tcPr>
                  <w:tcW w:w="579" w:type="pct"/>
                  <w:vAlign w:val="center"/>
                </w:tcPr>
                <w:p w14:paraId="24B51FD2">
                  <w:pPr>
                    <w:pStyle w:val="49"/>
                  </w:pPr>
                  <w:r>
                    <w:rPr>
                      <w:rFonts w:cs="Calibri"/>
                      <w:kern w:val="0"/>
                      <w:szCs w:val="22"/>
                    </w:rPr>
                    <w:t>0.00</w:t>
                  </w:r>
                  <w:r>
                    <w:rPr>
                      <w:rFonts w:hint="eastAsia" w:cs="Calibri"/>
                      <w:kern w:val="0"/>
                      <w:szCs w:val="22"/>
                    </w:rPr>
                    <w:t>2</w:t>
                  </w:r>
                </w:p>
              </w:tc>
              <w:tc>
                <w:tcPr>
                  <w:tcW w:w="690" w:type="pct"/>
                  <w:vAlign w:val="center"/>
                </w:tcPr>
                <w:p w14:paraId="53928A0A">
                  <w:pPr>
                    <w:pStyle w:val="49"/>
                  </w:pPr>
                  <w:r>
                    <w:rPr>
                      <w:rFonts w:hint="eastAsia"/>
                    </w:rPr>
                    <w:t>2.0</w:t>
                  </w:r>
                </w:p>
              </w:tc>
              <w:tc>
                <w:tcPr>
                  <w:tcW w:w="656" w:type="pct"/>
                  <w:vAlign w:val="center"/>
                </w:tcPr>
                <w:p w14:paraId="37C677CD">
                  <w:pPr>
                    <w:pStyle w:val="49"/>
                  </w:pPr>
                  <w:r>
                    <w:rPr>
                      <w:rFonts w:hint="eastAsia"/>
                    </w:rPr>
                    <w:t>3.57</w:t>
                  </w:r>
                </w:p>
              </w:tc>
              <w:tc>
                <w:tcPr>
                  <w:tcW w:w="333" w:type="pct"/>
                  <w:vAlign w:val="center"/>
                </w:tcPr>
                <w:p w14:paraId="53EEC8F7">
                  <w:pPr>
                    <w:pStyle w:val="49"/>
                  </w:pPr>
                  <w:r>
                    <w:t>470</w:t>
                  </w:r>
                </w:p>
              </w:tc>
              <w:tc>
                <w:tcPr>
                  <w:tcW w:w="335" w:type="pct"/>
                  <w:vAlign w:val="center"/>
                </w:tcPr>
                <w:p w14:paraId="0AA08F3D">
                  <w:pPr>
                    <w:pStyle w:val="49"/>
                  </w:pPr>
                  <w:r>
                    <w:t>0.021</w:t>
                  </w:r>
                </w:p>
              </w:tc>
              <w:tc>
                <w:tcPr>
                  <w:tcW w:w="333" w:type="pct"/>
                  <w:vAlign w:val="center"/>
                </w:tcPr>
                <w:p w14:paraId="4CA3D307">
                  <w:pPr>
                    <w:pStyle w:val="49"/>
                  </w:pPr>
                  <w:r>
                    <w:t>1.85</w:t>
                  </w:r>
                </w:p>
              </w:tc>
              <w:tc>
                <w:tcPr>
                  <w:tcW w:w="335" w:type="pct"/>
                  <w:vAlign w:val="center"/>
                </w:tcPr>
                <w:p w14:paraId="43E39267">
                  <w:pPr>
                    <w:pStyle w:val="49"/>
                  </w:pPr>
                  <w:r>
                    <w:t>0.84</w:t>
                  </w:r>
                </w:p>
              </w:tc>
              <w:tc>
                <w:tcPr>
                  <w:tcW w:w="846" w:type="pct"/>
                  <w:vAlign w:val="center"/>
                </w:tcPr>
                <w:p w14:paraId="0C74519D">
                  <w:pPr>
                    <w:pStyle w:val="49"/>
                  </w:pPr>
                  <w:r>
                    <w:rPr>
                      <w:rFonts w:hint="eastAsia"/>
                    </w:rPr>
                    <w:t>0.2042</w:t>
                  </w:r>
                </w:p>
              </w:tc>
            </w:tr>
          </w:tbl>
          <w:p w14:paraId="413029F8">
            <w:pPr>
              <w:pStyle w:val="12"/>
              <w:spacing w:before="120" w:beforeLines="50" w:line="360" w:lineRule="auto"/>
              <w:ind w:left="0" w:leftChars="0" w:firstLine="0" w:firstLineChars="0"/>
              <w:jc w:val="center"/>
              <w:rPr>
                <w:b/>
              </w:rPr>
            </w:pPr>
            <w:r>
              <w:rPr>
                <w:b/>
              </w:rPr>
              <w:t>表</w:t>
            </w:r>
            <w:r>
              <w:rPr>
                <w:rFonts w:hint="eastAsia"/>
                <w:b/>
              </w:rPr>
              <w:t>4-14</w:t>
            </w:r>
            <w:r>
              <w:rPr>
                <w:b/>
              </w:rPr>
              <w:t xml:space="preserve"> 卫生防护距离终值级差范围表</w:t>
            </w:r>
            <w:r>
              <w:rPr>
                <w:rFonts w:hint="eastAsia"/>
                <w:b/>
              </w:rPr>
              <w:t xml:space="preserve"> </w:t>
            </w:r>
          </w:p>
          <w:tbl>
            <w:tblPr>
              <w:tblStyle w:val="3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4"/>
              <w:gridCol w:w="3898"/>
            </w:tblGrid>
            <w:tr w14:paraId="1172B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vAlign w:val="center"/>
                </w:tcPr>
                <w:p w14:paraId="6FC6F0DF">
                  <w:pPr>
                    <w:adjustRightInd w:val="0"/>
                    <w:snapToGrid w:val="0"/>
                    <w:jc w:val="center"/>
                    <w:rPr>
                      <w:b/>
                      <w:bCs/>
                    </w:rPr>
                  </w:pPr>
                  <w:r>
                    <w:rPr>
                      <w:b/>
                      <w:bCs/>
                    </w:rPr>
                    <w:t>卫生防护距离计算初值L/m</w:t>
                  </w:r>
                </w:p>
              </w:tc>
              <w:tc>
                <w:tcPr>
                  <w:tcW w:w="2279" w:type="pct"/>
                  <w:vAlign w:val="center"/>
                </w:tcPr>
                <w:p w14:paraId="3E139CCA">
                  <w:pPr>
                    <w:adjustRightInd w:val="0"/>
                    <w:snapToGrid w:val="0"/>
                    <w:jc w:val="center"/>
                    <w:rPr>
                      <w:b/>
                      <w:bCs/>
                    </w:rPr>
                  </w:pPr>
                  <w:r>
                    <w:rPr>
                      <w:b/>
                      <w:bCs/>
                    </w:rPr>
                    <w:t>级差/m</w:t>
                  </w:r>
                </w:p>
              </w:tc>
            </w:tr>
            <w:tr w14:paraId="675A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vAlign w:val="center"/>
                </w:tcPr>
                <w:p w14:paraId="79A0B5C2">
                  <w:pPr>
                    <w:adjustRightInd w:val="0"/>
                    <w:snapToGrid w:val="0"/>
                    <w:jc w:val="center"/>
                  </w:pPr>
                  <w:r>
                    <w:t>0≤L&lt;50</w:t>
                  </w:r>
                </w:p>
              </w:tc>
              <w:tc>
                <w:tcPr>
                  <w:tcW w:w="2279" w:type="pct"/>
                  <w:vAlign w:val="center"/>
                </w:tcPr>
                <w:p w14:paraId="2569CFEF">
                  <w:pPr>
                    <w:adjustRightInd w:val="0"/>
                    <w:snapToGrid w:val="0"/>
                    <w:jc w:val="center"/>
                  </w:pPr>
                  <w:r>
                    <w:t>50</w:t>
                  </w:r>
                </w:p>
              </w:tc>
            </w:tr>
            <w:tr w14:paraId="14876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vAlign w:val="center"/>
                </w:tcPr>
                <w:p w14:paraId="224767D5">
                  <w:pPr>
                    <w:adjustRightInd w:val="0"/>
                    <w:snapToGrid w:val="0"/>
                    <w:jc w:val="center"/>
                  </w:pPr>
                  <w:r>
                    <w:t>50≤L&lt;100</w:t>
                  </w:r>
                </w:p>
              </w:tc>
              <w:tc>
                <w:tcPr>
                  <w:tcW w:w="2279" w:type="pct"/>
                  <w:vAlign w:val="center"/>
                </w:tcPr>
                <w:p w14:paraId="28670DC1">
                  <w:pPr>
                    <w:adjustRightInd w:val="0"/>
                    <w:snapToGrid w:val="0"/>
                    <w:jc w:val="center"/>
                  </w:pPr>
                  <w:r>
                    <w:t>50</w:t>
                  </w:r>
                </w:p>
              </w:tc>
            </w:tr>
            <w:tr w14:paraId="1AF63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vAlign w:val="center"/>
                </w:tcPr>
                <w:p w14:paraId="28B47B24">
                  <w:pPr>
                    <w:adjustRightInd w:val="0"/>
                    <w:snapToGrid w:val="0"/>
                    <w:jc w:val="center"/>
                  </w:pPr>
                  <w:r>
                    <w:t>100≤L&lt;1000</w:t>
                  </w:r>
                </w:p>
              </w:tc>
              <w:tc>
                <w:tcPr>
                  <w:tcW w:w="2279" w:type="pct"/>
                  <w:vAlign w:val="center"/>
                </w:tcPr>
                <w:p w14:paraId="2EE4CF6C">
                  <w:pPr>
                    <w:adjustRightInd w:val="0"/>
                    <w:snapToGrid w:val="0"/>
                    <w:jc w:val="center"/>
                  </w:pPr>
                  <w:r>
                    <w:t>100</w:t>
                  </w:r>
                </w:p>
              </w:tc>
            </w:tr>
            <w:tr w14:paraId="361DB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20" w:type="pct"/>
                  <w:vAlign w:val="center"/>
                </w:tcPr>
                <w:p w14:paraId="729C7FE2">
                  <w:pPr>
                    <w:adjustRightInd w:val="0"/>
                    <w:snapToGrid w:val="0"/>
                    <w:jc w:val="center"/>
                  </w:pPr>
                  <w:r>
                    <w:t>L&gt;1000</w:t>
                  </w:r>
                </w:p>
              </w:tc>
              <w:tc>
                <w:tcPr>
                  <w:tcW w:w="2279" w:type="pct"/>
                  <w:vAlign w:val="center"/>
                </w:tcPr>
                <w:p w14:paraId="78E2F6A9">
                  <w:pPr>
                    <w:adjustRightInd w:val="0"/>
                    <w:snapToGrid w:val="0"/>
                    <w:jc w:val="center"/>
                  </w:pPr>
                  <w:r>
                    <w:t>200</w:t>
                  </w:r>
                </w:p>
              </w:tc>
            </w:tr>
          </w:tbl>
          <w:p w14:paraId="1EE2AC42">
            <w:pPr>
              <w:spacing w:before="120" w:beforeLines="50" w:line="360" w:lineRule="auto"/>
              <w:ind w:firstLine="480" w:firstLineChars="200"/>
              <w:rPr>
                <w:b/>
                <w:bCs/>
                <w:sz w:val="24"/>
                <w:szCs w:val="24"/>
              </w:rPr>
            </w:pPr>
            <w:r>
              <w:rPr>
                <w:bCs/>
                <w:sz w:val="24"/>
                <w:szCs w:val="24"/>
              </w:rPr>
              <w:t>根据《大气有害物质无组织排放卫生防护距离推导技术导则》（GB/T39499-2020），卫生防护距离初值小于50米时，级差为50米。如初值小于50米，卫生防护距离终值取50米。</w:t>
            </w:r>
            <w:r>
              <w:rPr>
                <w:rFonts w:hint="eastAsia"/>
                <w:bCs/>
                <w:sz w:val="24"/>
                <w:szCs w:val="24"/>
              </w:rPr>
              <w:t>因此</w:t>
            </w:r>
            <w:r>
              <w:rPr>
                <w:bCs/>
                <w:sz w:val="24"/>
                <w:szCs w:val="24"/>
              </w:rPr>
              <w:t>本项目</w:t>
            </w:r>
            <w:r>
              <w:rPr>
                <w:rFonts w:hint="eastAsia"/>
                <w:bCs/>
                <w:sz w:val="24"/>
                <w:szCs w:val="24"/>
                <w:lang w:bidi="ar"/>
              </w:rPr>
              <w:t>生产车间和</w:t>
            </w:r>
            <w:r>
              <w:rPr>
                <w:rFonts w:hint="eastAsia"/>
                <w:bCs/>
                <w:sz w:val="24"/>
                <w:szCs w:val="24"/>
              </w:rPr>
              <w:t>溶剂油罐</w:t>
            </w:r>
            <w:r>
              <w:rPr>
                <w:bCs/>
                <w:sz w:val="24"/>
                <w:szCs w:val="24"/>
              </w:rPr>
              <w:t>需</w:t>
            </w:r>
            <w:r>
              <w:rPr>
                <w:rFonts w:hint="eastAsia"/>
                <w:bCs/>
                <w:sz w:val="24"/>
                <w:szCs w:val="24"/>
              </w:rPr>
              <w:t>分别</w:t>
            </w:r>
            <w:r>
              <w:rPr>
                <w:bCs/>
                <w:sz w:val="24"/>
                <w:szCs w:val="24"/>
              </w:rPr>
              <w:t>设置卫生防护距离50m，卫生防护距离包络</w:t>
            </w:r>
            <w:r>
              <w:rPr>
                <w:rFonts w:hint="eastAsia"/>
                <w:bCs/>
                <w:sz w:val="24"/>
                <w:szCs w:val="24"/>
              </w:rPr>
              <w:t>线</w:t>
            </w:r>
            <w:r>
              <w:rPr>
                <w:bCs/>
                <w:sz w:val="24"/>
                <w:szCs w:val="24"/>
              </w:rPr>
              <w:t>见附图</w:t>
            </w:r>
            <w:r>
              <w:rPr>
                <w:rFonts w:hint="eastAsia"/>
                <w:bCs/>
                <w:sz w:val="24"/>
                <w:szCs w:val="24"/>
              </w:rPr>
              <w:t>18</w:t>
            </w:r>
            <w:r>
              <w:rPr>
                <w:bCs/>
                <w:sz w:val="24"/>
                <w:szCs w:val="24"/>
              </w:rPr>
              <w:t>。</w:t>
            </w:r>
            <w:r>
              <w:rPr>
                <w:rFonts w:hint="eastAsia"/>
                <w:bCs/>
                <w:sz w:val="24"/>
                <w:szCs w:val="24"/>
              </w:rPr>
              <w:t>卫生防护距离内没有环境敏感点，符合卫生防护距离要求。</w:t>
            </w:r>
          </w:p>
          <w:p w14:paraId="4A180D34">
            <w:pPr>
              <w:spacing w:line="360" w:lineRule="auto"/>
              <w:ind w:firstLine="482" w:firstLineChars="200"/>
              <w:jc w:val="left"/>
              <w:rPr>
                <w:b/>
                <w:bCs/>
                <w:sz w:val="24"/>
                <w:szCs w:val="24"/>
              </w:rPr>
            </w:pPr>
            <w:r>
              <w:rPr>
                <w:b/>
                <w:bCs/>
                <w:sz w:val="24"/>
                <w:szCs w:val="24"/>
              </w:rPr>
              <w:t>2、废水</w:t>
            </w:r>
          </w:p>
          <w:p w14:paraId="17BF72CA">
            <w:pPr>
              <w:snapToGrid w:val="0"/>
              <w:spacing w:line="360" w:lineRule="auto"/>
              <w:ind w:firstLine="482" w:firstLineChars="200"/>
              <w:rPr>
                <w:b/>
                <w:kern w:val="0"/>
                <w:sz w:val="24"/>
                <w:szCs w:val="24"/>
              </w:rPr>
            </w:pPr>
            <w:r>
              <w:rPr>
                <w:b/>
                <w:kern w:val="0"/>
                <w:sz w:val="24"/>
                <w:szCs w:val="24"/>
              </w:rPr>
              <w:t>2.1废水源强</w:t>
            </w:r>
          </w:p>
          <w:p w14:paraId="2E387A47">
            <w:pPr>
              <w:snapToGrid w:val="0"/>
              <w:spacing w:line="360" w:lineRule="auto"/>
              <w:ind w:firstLine="482" w:firstLineChars="200"/>
              <w:rPr>
                <w:b/>
                <w:bCs/>
                <w:sz w:val="24"/>
                <w:szCs w:val="24"/>
              </w:rPr>
            </w:pPr>
            <w:r>
              <w:rPr>
                <w:rFonts w:hint="eastAsia"/>
                <w:b/>
                <w:bCs/>
                <w:sz w:val="24"/>
                <w:szCs w:val="24"/>
              </w:rPr>
              <w:t>（1）生活污水</w:t>
            </w:r>
          </w:p>
          <w:p w14:paraId="1D9CEE3E">
            <w:pPr>
              <w:snapToGrid w:val="0"/>
              <w:spacing w:line="360" w:lineRule="auto"/>
              <w:ind w:firstLine="480" w:firstLineChars="200"/>
              <w:rPr>
                <w:kern w:val="0"/>
                <w:sz w:val="24"/>
                <w:szCs w:val="24"/>
              </w:rPr>
            </w:pPr>
            <w:r>
              <w:rPr>
                <w:rFonts w:hint="eastAsia"/>
                <w:kern w:val="0"/>
                <w:sz w:val="24"/>
                <w:szCs w:val="24"/>
              </w:rPr>
              <w:t>本项目外排废水主要为员工生活污水，根据工程分析，生活污水排放量为</w:t>
            </w:r>
            <w:r>
              <w:rPr>
                <w:rFonts w:hint="eastAsia"/>
                <w:sz w:val="24"/>
                <w:szCs w:val="24"/>
              </w:rPr>
              <w:t>360</w:t>
            </w:r>
            <w:r>
              <w:rPr>
                <w:kern w:val="18"/>
                <w:sz w:val="24"/>
                <w:szCs w:val="24"/>
              </w:rPr>
              <w:t>m</w:t>
            </w:r>
            <w:r>
              <w:rPr>
                <w:kern w:val="18"/>
                <w:sz w:val="24"/>
                <w:szCs w:val="24"/>
                <w:vertAlign w:val="superscript"/>
              </w:rPr>
              <w:t>3</w:t>
            </w:r>
            <w:r>
              <w:rPr>
                <w:rFonts w:hint="eastAsia"/>
                <w:sz w:val="24"/>
                <w:szCs w:val="24"/>
              </w:rPr>
              <w:t>/a（1.2</w:t>
            </w:r>
            <w:r>
              <w:rPr>
                <w:kern w:val="18"/>
                <w:sz w:val="24"/>
                <w:szCs w:val="24"/>
              </w:rPr>
              <w:t>m</w:t>
            </w:r>
            <w:r>
              <w:rPr>
                <w:kern w:val="18"/>
                <w:sz w:val="24"/>
                <w:szCs w:val="24"/>
                <w:vertAlign w:val="superscript"/>
              </w:rPr>
              <w:t>3</w:t>
            </w:r>
            <w:r>
              <w:rPr>
                <w:rFonts w:hint="eastAsia"/>
                <w:sz w:val="24"/>
                <w:szCs w:val="24"/>
              </w:rPr>
              <w:t>/d）</w:t>
            </w:r>
            <w:r>
              <w:rPr>
                <w:rFonts w:hint="eastAsia"/>
                <w:kern w:val="0"/>
                <w:sz w:val="24"/>
                <w:szCs w:val="24"/>
              </w:rPr>
              <w:t>。生活污水主要污染物为COD</w:t>
            </w:r>
            <w:r>
              <w:rPr>
                <w:rFonts w:hint="eastAsia"/>
                <w:kern w:val="0"/>
                <w:sz w:val="24"/>
                <w:szCs w:val="24"/>
                <w:vertAlign w:val="subscript"/>
              </w:rPr>
              <w:t>cr</w:t>
            </w:r>
            <w:r>
              <w:rPr>
                <w:rFonts w:hint="eastAsia"/>
                <w:kern w:val="0"/>
                <w:sz w:val="24"/>
                <w:szCs w:val="24"/>
              </w:rPr>
              <w:t>、BOD</w:t>
            </w:r>
            <w:r>
              <w:rPr>
                <w:rFonts w:hint="eastAsia"/>
                <w:kern w:val="0"/>
                <w:sz w:val="24"/>
                <w:szCs w:val="24"/>
                <w:vertAlign w:val="subscript"/>
              </w:rPr>
              <w:t>5</w:t>
            </w:r>
            <w:r>
              <w:rPr>
                <w:rFonts w:hint="eastAsia"/>
                <w:kern w:val="0"/>
                <w:sz w:val="24"/>
                <w:szCs w:val="24"/>
              </w:rPr>
              <w:t>、SS、NH</w:t>
            </w:r>
            <w:r>
              <w:rPr>
                <w:rFonts w:hint="eastAsia"/>
                <w:kern w:val="0"/>
                <w:sz w:val="24"/>
                <w:szCs w:val="24"/>
                <w:vertAlign w:val="subscript"/>
              </w:rPr>
              <w:t>3</w:t>
            </w:r>
            <w:r>
              <w:rPr>
                <w:rFonts w:hint="eastAsia"/>
                <w:kern w:val="0"/>
                <w:sz w:val="24"/>
                <w:szCs w:val="24"/>
              </w:rPr>
              <w:t>-N、TP等。</w:t>
            </w:r>
          </w:p>
          <w:p w14:paraId="26DA4E9B">
            <w:pPr>
              <w:snapToGrid w:val="0"/>
              <w:spacing w:line="360" w:lineRule="auto"/>
              <w:ind w:firstLine="480" w:firstLineChars="200"/>
              <w:rPr>
                <w:kern w:val="0"/>
                <w:sz w:val="24"/>
                <w:szCs w:val="24"/>
              </w:rPr>
            </w:pPr>
            <w:r>
              <w:rPr>
                <w:rFonts w:hint="eastAsia"/>
                <w:kern w:val="0"/>
                <w:sz w:val="24"/>
                <w:szCs w:val="24"/>
              </w:rPr>
              <w:t>生活污水污染物产生浓度参考《关于发布&lt;排放源统计调查产排污核算方法和系数手册&gt;的公告》（公告2021 年第24 号）中生活污染源产排污系数手册确定。本项目位于广东省内，属于五区，根据该手册中表1-1</w:t>
            </w:r>
            <w:r>
              <w:rPr>
                <w:kern w:val="0"/>
                <w:sz w:val="24"/>
                <w:szCs w:val="24"/>
              </w:rPr>
              <w:t>城镇生活源水污染物产生系数</w:t>
            </w:r>
            <w:r>
              <w:rPr>
                <w:rFonts w:hint="eastAsia"/>
                <w:kern w:val="0"/>
                <w:sz w:val="24"/>
                <w:szCs w:val="24"/>
              </w:rPr>
              <w:t>，COD</w:t>
            </w:r>
            <w:r>
              <w:rPr>
                <w:rFonts w:hint="eastAsia"/>
                <w:kern w:val="0"/>
                <w:sz w:val="24"/>
                <w:szCs w:val="24"/>
                <w:vertAlign w:val="subscript"/>
              </w:rPr>
              <w:t>cr</w:t>
            </w:r>
            <w:r>
              <w:rPr>
                <w:rFonts w:hint="eastAsia"/>
                <w:kern w:val="0"/>
                <w:sz w:val="24"/>
                <w:szCs w:val="24"/>
              </w:rPr>
              <w:t>、NH</w:t>
            </w:r>
            <w:r>
              <w:rPr>
                <w:rFonts w:hint="eastAsia"/>
                <w:kern w:val="0"/>
                <w:sz w:val="24"/>
                <w:szCs w:val="24"/>
                <w:vertAlign w:val="subscript"/>
              </w:rPr>
              <w:t>3</w:t>
            </w:r>
            <w:r>
              <w:rPr>
                <w:rFonts w:hint="eastAsia"/>
                <w:kern w:val="0"/>
                <w:sz w:val="24"/>
                <w:szCs w:val="24"/>
              </w:rPr>
              <w:t>-N、TP产生浓度分别为285mg/L、28.3mg/L、4.1mg/L。BOD</w:t>
            </w:r>
            <w:r>
              <w:rPr>
                <w:rFonts w:hint="eastAsia"/>
                <w:kern w:val="0"/>
                <w:sz w:val="24"/>
                <w:szCs w:val="24"/>
                <w:vertAlign w:val="subscript"/>
              </w:rPr>
              <w:t>5</w:t>
            </w:r>
            <w:r>
              <w:rPr>
                <w:rFonts w:hint="eastAsia"/>
                <w:kern w:val="0"/>
                <w:sz w:val="24"/>
                <w:szCs w:val="24"/>
              </w:rPr>
              <w:t>、SS产生浓度参考《排水工程（下册）》（第四版）中“典型生活污水水质”中“中常浓度”水质参数，其产生浓度分别为200mg/L、220mg/L。</w:t>
            </w:r>
          </w:p>
          <w:p w14:paraId="4CE51EC3">
            <w:pPr>
              <w:snapToGrid w:val="0"/>
              <w:spacing w:line="360" w:lineRule="auto"/>
              <w:ind w:firstLine="480" w:firstLineChars="200"/>
              <w:rPr>
                <w:kern w:val="0"/>
                <w:sz w:val="24"/>
                <w:szCs w:val="24"/>
              </w:rPr>
            </w:pPr>
            <w:r>
              <w:rPr>
                <w:rFonts w:hint="eastAsia"/>
                <w:kern w:val="0"/>
                <w:sz w:val="24"/>
                <w:szCs w:val="24"/>
              </w:rPr>
              <w:t>生活污水源强核算情况见表4-15。</w:t>
            </w:r>
          </w:p>
          <w:p w14:paraId="76C366EA">
            <w:pPr>
              <w:snapToGrid w:val="0"/>
              <w:spacing w:line="360" w:lineRule="auto"/>
              <w:jc w:val="center"/>
              <w:rPr>
                <w:kern w:val="0"/>
                <w:sz w:val="24"/>
                <w:szCs w:val="24"/>
              </w:rPr>
            </w:pPr>
            <w:r>
              <w:rPr>
                <w:b/>
              </w:rPr>
              <w:t>表</w:t>
            </w:r>
            <w:r>
              <w:rPr>
                <w:rFonts w:hint="eastAsia"/>
                <w:b/>
              </w:rPr>
              <w:t>4-15</w:t>
            </w:r>
            <w:r>
              <w:rPr>
                <w:b/>
              </w:rPr>
              <w:t xml:space="preserve"> </w:t>
            </w:r>
            <w:r>
              <w:rPr>
                <w:rFonts w:hint="eastAsia"/>
                <w:b/>
              </w:rPr>
              <w:t>生活污水</w:t>
            </w:r>
            <w:r>
              <w:rPr>
                <w:b/>
              </w:rPr>
              <w:t>污染物源强核算</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1"/>
              <w:gridCol w:w="815"/>
              <w:gridCol w:w="948"/>
              <w:gridCol w:w="718"/>
              <w:gridCol w:w="722"/>
              <w:gridCol w:w="923"/>
              <w:gridCol w:w="815"/>
              <w:gridCol w:w="1112"/>
              <w:gridCol w:w="366"/>
              <w:gridCol w:w="462"/>
              <w:gridCol w:w="953"/>
            </w:tblGrid>
            <w:tr w14:paraId="7D39B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422" w:type="pct"/>
                  <w:vMerge w:val="restart"/>
                  <w:vAlign w:val="center"/>
                </w:tcPr>
                <w:p w14:paraId="2DAF4526">
                  <w:pPr>
                    <w:widowControl/>
                    <w:jc w:val="center"/>
                    <w:rPr>
                      <w:rFonts w:hint="eastAsia" w:ascii="宋体" w:hAnsi="宋体" w:cs="宋体"/>
                      <w:b/>
                      <w:bCs/>
                      <w:kern w:val="0"/>
                    </w:rPr>
                  </w:pPr>
                  <w:r>
                    <w:rPr>
                      <w:rFonts w:hint="eastAsia" w:ascii="宋体" w:hAnsi="宋体" w:cs="宋体"/>
                      <w:b/>
                      <w:bCs/>
                      <w:kern w:val="0"/>
                    </w:rPr>
                    <w:t>污染物种类</w:t>
                  </w:r>
                </w:p>
              </w:tc>
              <w:tc>
                <w:tcPr>
                  <w:tcW w:w="1030" w:type="pct"/>
                  <w:gridSpan w:val="2"/>
                  <w:vAlign w:val="center"/>
                </w:tcPr>
                <w:p w14:paraId="37FC7E86">
                  <w:pPr>
                    <w:widowControl/>
                    <w:jc w:val="center"/>
                    <w:rPr>
                      <w:rFonts w:hint="eastAsia" w:ascii="宋体" w:hAnsi="宋体" w:cs="宋体"/>
                      <w:b/>
                      <w:bCs/>
                      <w:kern w:val="0"/>
                    </w:rPr>
                  </w:pPr>
                  <w:r>
                    <w:rPr>
                      <w:rFonts w:hint="eastAsia" w:ascii="宋体" w:hAnsi="宋体" w:cs="宋体"/>
                      <w:b/>
                      <w:bCs/>
                      <w:kern w:val="0"/>
                    </w:rPr>
                    <w:t>污染物产生情况</w:t>
                  </w:r>
                </w:p>
              </w:tc>
              <w:tc>
                <w:tcPr>
                  <w:tcW w:w="420" w:type="pct"/>
                  <w:vAlign w:val="center"/>
                </w:tcPr>
                <w:p w14:paraId="6C8EAB9A">
                  <w:pPr>
                    <w:widowControl/>
                    <w:jc w:val="center"/>
                    <w:rPr>
                      <w:rFonts w:hint="eastAsia" w:ascii="宋体" w:hAnsi="宋体" w:cs="宋体"/>
                      <w:b/>
                      <w:bCs/>
                      <w:kern w:val="0"/>
                    </w:rPr>
                  </w:pPr>
                  <w:r>
                    <w:rPr>
                      <w:rFonts w:hint="eastAsia" w:ascii="宋体" w:hAnsi="宋体" w:cs="宋体"/>
                      <w:b/>
                      <w:bCs/>
                      <w:kern w:val="0"/>
                    </w:rPr>
                    <w:t>治理措施</w:t>
                  </w:r>
                </w:p>
              </w:tc>
              <w:tc>
                <w:tcPr>
                  <w:tcW w:w="2086" w:type="pct"/>
                  <w:gridSpan w:val="4"/>
                  <w:vAlign w:val="center"/>
                </w:tcPr>
                <w:p w14:paraId="385A1361">
                  <w:pPr>
                    <w:widowControl/>
                    <w:jc w:val="center"/>
                    <w:rPr>
                      <w:rFonts w:hint="eastAsia" w:ascii="宋体" w:hAnsi="宋体" w:cs="宋体"/>
                      <w:b/>
                      <w:bCs/>
                      <w:kern w:val="0"/>
                    </w:rPr>
                  </w:pPr>
                  <w:r>
                    <w:rPr>
                      <w:rFonts w:hint="eastAsia" w:ascii="宋体" w:hAnsi="宋体" w:cs="宋体"/>
                      <w:b/>
                      <w:bCs/>
                      <w:kern w:val="0"/>
                    </w:rPr>
                    <w:t>污染物排放情况</w:t>
                  </w:r>
                </w:p>
              </w:tc>
              <w:tc>
                <w:tcPr>
                  <w:tcW w:w="214" w:type="pct"/>
                  <w:vMerge w:val="restart"/>
                  <w:vAlign w:val="center"/>
                </w:tcPr>
                <w:p w14:paraId="72A64162">
                  <w:pPr>
                    <w:widowControl/>
                    <w:jc w:val="center"/>
                    <w:rPr>
                      <w:rFonts w:hint="eastAsia" w:ascii="宋体" w:hAnsi="宋体" w:cs="宋体"/>
                      <w:b/>
                      <w:bCs/>
                      <w:kern w:val="0"/>
                    </w:rPr>
                  </w:pPr>
                  <w:r>
                    <w:rPr>
                      <w:rFonts w:hint="eastAsia" w:ascii="宋体" w:hAnsi="宋体" w:cs="宋体"/>
                      <w:b/>
                      <w:bCs/>
                      <w:kern w:val="0"/>
                    </w:rPr>
                    <w:t>排放方式</w:t>
                  </w:r>
                </w:p>
              </w:tc>
              <w:tc>
                <w:tcPr>
                  <w:tcW w:w="270" w:type="pct"/>
                  <w:vMerge w:val="restart"/>
                  <w:vAlign w:val="center"/>
                </w:tcPr>
                <w:p w14:paraId="6F2741F0">
                  <w:pPr>
                    <w:widowControl/>
                    <w:jc w:val="center"/>
                    <w:rPr>
                      <w:rFonts w:hint="eastAsia" w:ascii="宋体" w:hAnsi="宋体" w:cs="宋体"/>
                      <w:b/>
                      <w:bCs/>
                      <w:kern w:val="0"/>
                    </w:rPr>
                  </w:pPr>
                  <w:r>
                    <w:rPr>
                      <w:rFonts w:hint="eastAsia" w:ascii="宋体" w:hAnsi="宋体" w:cs="宋体"/>
                      <w:b/>
                      <w:bCs/>
                      <w:kern w:val="0"/>
                    </w:rPr>
                    <w:t>排放去向</w:t>
                  </w:r>
                </w:p>
              </w:tc>
              <w:tc>
                <w:tcPr>
                  <w:tcW w:w="558" w:type="pct"/>
                  <w:vMerge w:val="restart"/>
                  <w:vAlign w:val="center"/>
                </w:tcPr>
                <w:p w14:paraId="50197F69">
                  <w:pPr>
                    <w:widowControl/>
                    <w:jc w:val="center"/>
                    <w:rPr>
                      <w:rFonts w:hint="eastAsia" w:ascii="宋体" w:hAnsi="宋体" w:cs="宋体"/>
                      <w:b/>
                      <w:bCs/>
                      <w:kern w:val="0"/>
                    </w:rPr>
                  </w:pPr>
                  <w:r>
                    <w:rPr>
                      <w:rFonts w:hint="eastAsia" w:ascii="宋体" w:hAnsi="宋体" w:cs="宋体"/>
                      <w:b/>
                      <w:bCs/>
                      <w:kern w:val="0"/>
                    </w:rPr>
                    <w:t>排放规律</w:t>
                  </w:r>
                </w:p>
              </w:tc>
            </w:tr>
            <w:tr w14:paraId="727DD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trPr>
              <w:tc>
                <w:tcPr>
                  <w:tcW w:w="422" w:type="pct"/>
                  <w:vMerge w:val="continue"/>
                  <w:vAlign w:val="center"/>
                </w:tcPr>
                <w:p w14:paraId="2A12F1E0">
                  <w:pPr>
                    <w:widowControl/>
                    <w:jc w:val="left"/>
                    <w:rPr>
                      <w:rFonts w:hint="eastAsia" w:ascii="宋体" w:hAnsi="宋体" w:cs="宋体"/>
                      <w:b/>
                      <w:bCs/>
                      <w:kern w:val="0"/>
                    </w:rPr>
                  </w:pPr>
                </w:p>
              </w:tc>
              <w:tc>
                <w:tcPr>
                  <w:tcW w:w="476" w:type="pct"/>
                  <w:vAlign w:val="center"/>
                </w:tcPr>
                <w:p w14:paraId="33D5F2D2">
                  <w:pPr>
                    <w:widowControl/>
                    <w:jc w:val="center"/>
                    <w:rPr>
                      <w:rFonts w:hint="eastAsia" w:ascii="宋体" w:hAnsi="宋体" w:cs="宋体"/>
                      <w:b/>
                      <w:bCs/>
                      <w:kern w:val="0"/>
                    </w:rPr>
                  </w:pPr>
                  <w:r>
                    <w:rPr>
                      <w:rFonts w:hint="eastAsia" w:ascii="宋体" w:hAnsi="宋体" w:cs="宋体"/>
                      <w:b/>
                      <w:bCs/>
                      <w:kern w:val="0"/>
                    </w:rPr>
                    <w:t>产生量（</w:t>
                  </w:r>
                  <w:r>
                    <w:rPr>
                      <w:b/>
                      <w:bCs/>
                      <w:kern w:val="0"/>
                    </w:rPr>
                    <w:t>t/a</w:t>
                  </w:r>
                  <w:r>
                    <w:rPr>
                      <w:rFonts w:hint="eastAsia" w:ascii="宋体" w:hAnsi="宋体" w:cs="宋体"/>
                      <w:b/>
                      <w:bCs/>
                      <w:kern w:val="0"/>
                    </w:rPr>
                    <w:t>）</w:t>
                  </w:r>
                </w:p>
              </w:tc>
              <w:tc>
                <w:tcPr>
                  <w:tcW w:w="554" w:type="pct"/>
                  <w:vAlign w:val="center"/>
                </w:tcPr>
                <w:p w14:paraId="31D130F7">
                  <w:pPr>
                    <w:widowControl/>
                    <w:jc w:val="center"/>
                    <w:rPr>
                      <w:rFonts w:hint="eastAsia" w:ascii="宋体" w:hAnsi="宋体" w:cs="宋体"/>
                      <w:b/>
                      <w:bCs/>
                      <w:kern w:val="0"/>
                    </w:rPr>
                  </w:pPr>
                  <w:r>
                    <w:rPr>
                      <w:rFonts w:hint="eastAsia" w:ascii="宋体" w:hAnsi="宋体" w:cs="宋体"/>
                      <w:b/>
                      <w:bCs/>
                      <w:kern w:val="0"/>
                    </w:rPr>
                    <w:t>产生浓度（</w:t>
                  </w:r>
                  <w:r>
                    <w:rPr>
                      <w:b/>
                      <w:bCs/>
                      <w:kern w:val="0"/>
                    </w:rPr>
                    <w:t>mg/L</w:t>
                  </w:r>
                  <w:r>
                    <w:rPr>
                      <w:rFonts w:hint="eastAsia" w:ascii="宋体" w:hAnsi="宋体" w:cs="宋体"/>
                      <w:b/>
                      <w:bCs/>
                      <w:kern w:val="0"/>
                    </w:rPr>
                    <w:t>）</w:t>
                  </w:r>
                </w:p>
              </w:tc>
              <w:tc>
                <w:tcPr>
                  <w:tcW w:w="420" w:type="pct"/>
                  <w:vAlign w:val="center"/>
                </w:tcPr>
                <w:p w14:paraId="415042EE">
                  <w:pPr>
                    <w:widowControl/>
                    <w:jc w:val="center"/>
                    <w:rPr>
                      <w:rFonts w:hint="eastAsia" w:ascii="宋体" w:hAnsi="宋体" w:cs="宋体"/>
                      <w:b/>
                      <w:bCs/>
                      <w:kern w:val="0"/>
                    </w:rPr>
                  </w:pPr>
                  <w:r>
                    <w:rPr>
                      <w:rFonts w:hint="eastAsia" w:ascii="宋体" w:hAnsi="宋体" w:cs="宋体"/>
                      <w:b/>
                      <w:bCs/>
                      <w:kern w:val="0"/>
                    </w:rPr>
                    <w:t>工艺</w:t>
                  </w:r>
                </w:p>
              </w:tc>
              <w:tc>
                <w:tcPr>
                  <w:tcW w:w="422" w:type="pct"/>
                  <w:vAlign w:val="center"/>
                </w:tcPr>
                <w:p w14:paraId="3F247E13">
                  <w:pPr>
                    <w:widowControl/>
                    <w:jc w:val="center"/>
                    <w:rPr>
                      <w:rFonts w:hint="eastAsia" w:ascii="宋体" w:hAnsi="宋体" w:cs="宋体"/>
                      <w:b/>
                      <w:bCs/>
                      <w:kern w:val="0"/>
                    </w:rPr>
                  </w:pPr>
                  <w:r>
                    <w:rPr>
                      <w:rFonts w:hint="eastAsia" w:ascii="宋体" w:hAnsi="宋体" w:cs="宋体"/>
                      <w:b/>
                      <w:bCs/>
                      <w:kern w:val="0"/>
                    </w:rPr>
                    <w:t>是否为可行技术</w:t>
                  </w:r>
                </w:p>
              </w:tc>
              <w:tc>
                <w:tcPr>
                  <w:tcW w:w="539" w:type="pct"/>
                  <w:vAlign w:val="center"/>
                </w:tcPr>
                <w:p w14:paraId="76058208">
                  <w:pPr>
                    <w:widowControl/>
                    <w:jc w:val="center"/>
                    <w:rPr>
                      <w:rFonts w:hint="eastAsia" w:ascii="宋体" w:hAnsi="宋体" w:cs="宋体"/>
                      <w:b/>
                      <w:bCs/>
                      <w:kern w:val="0"/>
                    </w:rPr>
                  </w:pPr>
                  <w:r>
                    <w:rPr>
                      <w:rFonts w:hint="eastAsia" w:ascii="宋体" w:hAnsi="宋体" w:cs="宋体"/>
                      <w:b/>
                      <w:bCs/>
                      <w:kern w:val="0"/>
                    </w:rPr>
                    <w:t>废水排放量（</w:t>
                  </w:r>
                  <w:r>
                    <w:rPr>
                      <w:b/>
                      <w:bCs/>
                      <w:kern w:val="0"/>
                    </w:rPr>
                    <w:t>m</w:t>
                  </w:r>
                  <w:r>
                    <w:rPr>
                      <w:b/>
                      <w:bCs/>
                      <w:kern w:val="0"/>
                      <w:vertAlign w:val="superscript"/>
                    </w:rPr>
                    <w:t>3</w:t>
                  </w:r>
                  <w:r>
                    <w:rPr>
                      <w:b/>
                      <w:bCs/>
                      <w:kern w:val="0"/>
                    </w:rPr>
                    <w:t>/a</w:t>
                  </w:r>
                  <w:r>
                    <w:rPr>
                      <w:rFonts w:hint="eastAsia" w:ascii="宋体" w:hAnsi="宋体" w:cs="宋体"/>
                      <w:b/>
                      <w:bCs/>
                      <w:kern w:val="0"/>
                    </w:rPr>
                    <w:t>）</w:t>
                  </w:r>
                </w:p>
              </w:tc>
              <w:tc>
                <w:tcPr>
                  <w:tcW w:w="476" w:type="pct"/>
                  <w:vAlign w:val="center"/>
                </w:tcPr>
                <w:p w14:paraId="4C5A52A9">
                  <w:pPr>
                    <w:widowControl/>
                    <w:jc w:val="center"/>
                    <w:rPr>
                      <w:rFonts w:hint="eastAsia" w:ascii="宋体" w:hAnsi="宋体" w:cs="宋体"/>
                      <w:b/>
                      <w:bCs/>
                      <w:kern w:val="0"/>
                    </w:rPr>
                  </w:pPr>
                  <w:r>
                    <w:rPr>
                      <w:rFonts w:hint="eastAsia" w:ascii="宋体" w:hAnsi="宋体" w:cs="宋体"/>
                      <w:b/>
                      <w:bCs/>
                      <w:kern w:val="0"/>
                    </w:rPr>
                    <w:t>排放量（</w:t>
                  </w:r>
                  <w:r>
                    <w:rPr>
                      <w:b/>
                      <w:bCs/>
                      <w:kern w:val="0"/>
                    </w:rPr>
                    <w:t>t/a</w:t>
                  </w:r>
                  <w:r>
                    <w:rPr>
                      <w:rFonts w:hint="eastAsia" w:ascii="宋体" w:hAnsi="宋体" w:cs="宋体"/>
                      <w:b/>
                      <w:bCs/>
                      <w:kern w:val="0"/>
                    </w:rPr>
                    <w:t>）</w:t>
                  </w:r>
                </w:p>
              </w:tc>
              <w:tc>
                <w:tcPr>
                  <w:tcW w:w="650" w:type="pct"/>
                  <w:vAlign w:val="center"/>
                </w:tcPr>
                <w:p w14:paraId="4021EAA5">
                  <w:pPr>
                    <w:widowControl/>
                    <w:jc w:val="center"/>
                    <w:rPr>
                      <w:rFonts w:hint="eastAsia" w:ascii="宋体" w:hAnsi="宋体" w:cs="宋体"/>
                      <w:b/>
                      <w:bCs/>
                      <w:kern w:val="0"/>
                    </w:rPr>
                  </w:pPr>
                  <w:r>
                    <w:rPr>
                      <w:rFonts w:hint="eastAsia" w:ascii="宋体" w:hAnsi="宋体" w:cs="宋体"/>
                      <w:b/>
                      <w:bCs/>
                      <w:kern w:val="0"/>
                    </w:rPr>
                    <w:t>排放浓度（</w:t>
                  </w:r>
                  <w:r>
                    <w:rPr>
                      <w:b/>
                      <w:bCs/>
                      <w:kern w:val="0"/>
                    </w:rPr>
                    <w:t>mg/L</w:t>
                  </w:r>
                  <w:r>
                    <w:rPr>
                      <w:rFonts w:hint="eastAsia" w:ascii="宋体" w:hAnsi="宋体" w:cs="宋体"/>
                      <w:b/>
                      <w:bCs/>
                      <w:kern w:val="0"/>
                    </w:rPr>
                    <w:t>）</w:t>
                  </w:r>
                </w:p>
              </w:tc>
              <w:tc>
                <w:tcPr>
                  <w:tcW w:w="214" w:type="pct"/>
                  <w:vMerge w:val="continue"/>
                  <w:vAlign w:val="center"/>
                </w:tcPr>
                <w:p w14:paraId="7033A031">
                  <w:pPr>
                    <w:widowControl/>
                    <w:jc w:val="left"/>
                    <w:rPr>
                      <w:rFonts w:hint="eastAsia" w:ascii="宋体" w:hAnsi="宋体" w:cs="宋体"/>
                      <w:b/>
                      <w:bCs/>
                      <w:kern w:val="0"/>
                    </w:rPr>
                  </w:pPr>
                </w:p>
              </w:tc>
              <w:tc>
                <w:tcPr>
                  <w:tcW w:w="270" w:type="pct"/>
                  <w:vMerge w:val="continue"/>
                  <w:vAlign w:val="center"/>
                </w:tcPr>
                <w:p w14:paraId="0795795B">
                  <w:pPr>
                    <w:widowControl/>
                    <w:jc w:val="left"/>
                    <w:rPr>
                      <w:rFonts w:hint="eastAsia" w:ascii="宋体" w:hAnsi="宋体" w:cs="宋体"/>
                      <w:b/>
                      <w:bCs/>
                      <w:kern w:val="0"/>
                    </w:rPr>
                  </w:pPr>
                </w:p>
              </w:tc>
              <w:tc>
                <w:tcPr>
                  <w:tcW w:w="558" w:type="pct"/>
                  <w:vMerge w:val="continue"/>
                  <w:vAlign w:val="center"/>
                </w:tcPr>
                <w:p w14:paraId="0C5D4DC9">
                  <w:pPr>
                    <w:widowControl/>
                    <w:jc w:val="left"/>
                    <w:rPr>
                      <w:rFonts w:hint="eastAsia" w:ascii="宋体" w:hAnsi="宋体" w:cs="宋体"/>
                      <w:b/>
                      <w:bCs/>
                      <w:kern w:val="0"/>
                    </w:rPr>
                  </w:pPr>
                </w:p>
              </w:tc>
            </w:tr>
            <w:tr w14:paraId="64E70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422" w:type="pct"/>
                  <w:vAlign w:val="center"/>
                </w:tcPr>
                <w:p w14:paraId="60506929">
                  <w:pPr>
                    <w:widowControl/>
                    <w:jc w:val="center"/>
                    <w:rPr>
                      <w:rFonts w:eastAsia="等线"/>
                      <w:kern w:val="0"/>
                    </w:rPr>
                  </w:pPr>
                  <w:r>
                    <w:rPr>
                      <w:rFonts w:eastAsia="等线"/>
                      <w:kern w:val="0"/>
                    </w:rPr>
                    <w:t>CODcr</w:t>
                  </w:r>
                </w:p>
              </w:tc>
              <w:tc>
                <w:tcPr>
                  <w:tcW w:w="476" w:type="pct"/>
                  <w:vAlign w:val="center"/>
                </w:tcPr>
                <w:p w14:paraId="07DF2370">
                  <w:pPr>
                    <w:widowControl/>
                    <w:jc w:val="center"/>
                    <w:rPr>
                      <w:rFonts w:eastAsia="等线"/>
                      <w:kern w:val="0"/>
                    </w:rPr>
                  </w:pPr>
                  <w:r>
                    <w:rPr>
                      <w:rFonts w:eastAsia="等线"/>
                    </w:rPr>
                    <w:t xml:space="preserve">0.10 </w:t>
                  </w:r>
                </w:p>
              </w:tc>
              <w:tc>
                <w:tcPr>
                  <w:tcW w:w="554" w:type="pct"/>
                  <w:vAlign w:val="center"/>
                </w:tcPr>
                <w:p w14:paraId="165F357D">
                  <w:pPr>
                    <w:widowControl/>
                    <w:jc w:val="center"/>
                    <w:rPr>
                      <w:rFonts w:eastAsia="等线"/>
                      <w:kern w:val="0"/>
                    </w:rPr>
                  </w:pPr>
                  <w:r>
                    <w:rPr>
                      <w:rFonts w:eastAsia="等线"/>
                      <w:kern w:val="0"/>
                    </w:rPr>
                    <w:t>285</w:t>
                  </w:r>
                </w:p>
              </w:tc>
              <w:tc>
                <w:tcPr>
                  <w:tcW w:w="420" w:type="pct"/>
                  <w:vMerge w:val="restart"/>
                  <w:vAlign w:val="center"/>
                </w:tcPr>
                <w:p w14:paraId="5D93BFEB">
                  <w:pPr>
                    <w:widowControl/>
                    <w:jc w:val="center"/>
                    <w:rPr>
                      <w:rFonts w:hint="eastAsia" w:ascii="宋体" w:hAnsi="宋体" w:cs="宋体"/>
                      <w:kern w:val="0"/>
                    </w:rPr>
                  </w:pPr>
                  <w:r>
                    <w:rPr>
                      <w:rFonts w:hint="eastAsia" w:ascii="宋体" w:hAnsi="宋体" w:cs="宋体"/>
                      <w:kern w:val="0"/>
                    </w:rPr>
                    <w:t>微生物处理</w:t>
                  </w:r>
                  <w:r>
                    <w:rPr>
                      <w:rFonts w:ascii="宋体" w:hAnsi="宋体" w:cs="宋体"/>
                      <w:kern w:val="0"/>
                    </w:rPr>
                    <w:t>+</w:t>
                  </w:r>
                  <w:r>
                    <w:rPr>
                      <w:rFonts w:hint="eastAsia" w:ascii="宋体" w:hAnsi="宋体" w:cs="宋体"/>
                      <w:kern w:val="0"/>
                    </w:rPr>
                    <w:t>人工湿地</w:t>
                  </w:r>
                </w:p>
              </w:tc>
              <w:tc>
                <w:tcPr>
                  <w:tcW w:w="422" w:type="pct"/>
                  <w:vMerge w:val="restart"/>
                  <w:vAlign w:val="center"/>
                </w:tcPr>
                <w:p w14:paraId="08368D77">
                  <w:pPr>
                    <w:widowControl/>
                    <w:jc w:val="center"/>
                    <w:rPr>
                      <w:rFonts w:hint="eastAsia" w:ascii="宋体" w:hAnsi="宋体" w:cs="宋体"/>
                      <w:kern w:val="0"/>
                    </w:rPr>
                  </w:pPr>
                  <w:r>
                    <w:rPr>
                      <w:rFonts w:hint="eastAsia" w:ascii="宋体" w:hAnsi="宋体" w:cs="宋体"/>
                      <w:kern w:val="0"/>
                    </w:rPr>
                    <w:t>否</w:t>
                  </w:r>
                </w:p>
              </w:tc>
              <w:tc>
                <w:tcPr>
                  <w:tcW w:w="539" w:type="pct"/>
                  <w:vMerge w:val="restart"/>
                  <w:vAlign w:val="center"/>
                </w:tcPr>
                <w:p w14:paraId="2FDDC1B5">
                  <w:pPr>
                    <w:widowControl/>
                    <w:jc w:val="center"/>
                    <w:rPr>
                      <w:rFonts w:eastAsia="等线"/>
                      <w:kern w:val="0"/>
                    </w:rPr>
                  </w:pPr>
                  <w:r>
                    <w:rPr>
                      <w:rFonts w:hint="eastAsia" w:eastAsia="等线"/>
                      <w:kern w:val="0"/>
                    </w:rPr>
                    <w:t>36</w:t>
                  </w:r>
                  <w:r>
                    <w:rPr>
                      <w:rFonts w:eastAsia="等线"/>
                      <w:kern w:val="0"/>
                    </w:rPr>
                    <w:t>0</w:t>
                  </w:r>
                </w:p>
              </w:tc>
              <w:tc>
                <w:tcPr>
                  <w:tcW w:w="476" w:type="pct"/>
                  <w:vAlign w:val="center"/>
                </w:tcPr>
                <w:p w14:paraId="695D0E6C">
                  <w:pPr>
                    <w:widowControl/>
                    <w:jc w:val="center"/>
                    <w:rPr>
                      <w:rFonts w:eastAsia="等线"/>
                      <w:kern w:val="0"/>
                    </w:rPr>
                  </w:pPr>
                  <w:r>
                    <w:rPr>
                      <w:rFonts w:eastAsia="等线"/>
                    </w:rPr>
                    <w:t xml:space="preserve">0.022 </w:t>
                  </w:r>
                </w:p>
              </w:tc>
              <w:tc>
                <w:tcPr>
                  <w:tcW w:w="650" w:type="pct"/>
                  <w:vAlign w:val="center"/>
                </w:tcPr>
                <w:p w14:paraId="31FF44FD">
                  <w:pPr>
                    <w:widowControl/>
                    <w:jc w:val="center"/>
                    <w:rPr>
                      <w:rFonts w:eastAsia="等线"/>
                      <w:kern w:val="0"/>
                    </w:rPr>
                  </w:pPr>
                  <w:r>
                    <w:rPr>
                      <w:rFonts w:eastAsia="等线"/>
                    </w:rPr>
                    <w:t>60</w:t>
                  </w:r>
                </w:p>
              </w:tc>
              <w:tc>
                <w:tcPr>
                  <w:tcW w:w="214" w:type="pct"/>
                  <w:vMerge w:val="restart"/>
                  <w:vAlign w:val="center"/>
                </w:tcPr>
                <w:p w14:paraId="29066C23">
                  <w:pPr>
                    <w:widowControl/>
                    <w:jc w:val="center"/>
                    <w:rPr>
                      <w:rFonts w:hint="eastAsia" w:ascii="宋体" w:hAnsi="宋体" w:cs="宋体"/>
                      <w:kern w:val="0"/>
                    </w:rPr>
                  </w:pPr>
                  <w:r>
                    <w:rPr>
                      <w:rFonts w:hint="eastAsia" w:ascii="宋体" w:hAnsi="宋体" w:cs="宋体"/>
                      <w:kern w:val="0"/>
                    </w:rPr>
                    <w:t>不排放</w:t>
                  </w:r>
                </w:p>
              </w:tc>
              <w:tc>
                <w:tcPr>
                  <w:tcW w:w="270" w:type="pct"/>
                  <w:vMerge w:val="restart"/>
                  <w:vAlign w:val="center"/>
                </w:tcPr>
                <w:p w14:paraId="766F4677">
                  <w:pPr>
                    <w:widowControl/>
                    <w:jc w:val="center"/>
                    <w:rPr>
                      <w:rFonts w:hint="eastAsia" w:ascii="宋体" w:hAnsi="宋体" w:cs="宋体"/>
                      <w:kern w:val="0"/>
                    </w:rPr>
                  </w:pPr>
                  <w:r>
                    <w:rPr>
                      <w:rFonts w:hint="eastAsia" w:ascii="宋体" w:hAnsi="宋体" w:cs="宋体"/>
                      <w:bCs/>
                      <w:kern w:val="0"/>
                    </w:rPr>
                    <w:t>用于山林灌溉</w:t>
                  </w:r>
                </w:p>
              </w:tc>
              <w:tc>
                <w:tcPr>
                  <w:tcW w:w="558" w:type="pct"/>
                  <w:vMerge w:val="restart"/>
                  <w:vAlign w:val="center"/>
                </w:tcPr>
                <w:p w14:paraId="25EF3593">
                  <w:pPr>
                    <w:widowControl/>
                    <w:jc w:val="center"/>
                    <w:rPr>
                      <w:rFonts w:hint="eastAsia" w:ascii="宋体" w:hAnsi="宋体" w:cs="宋体"/>
                      <w:kern w:val="0"/>
                    </w:rPr>
                  </w:pPr>
                  <w:r>
                    <w:rPr>
                      <w:rFonts w:hint="eastAsia" w:ascii="宋体" w:hAnsi="宋体" w:cs="宋体"/>
                      <w:kern w:val="0"/>
                    </w:rPr>
                    <w:t>间断排放、排放期间流量稳定</w:t>
                  </w:r>
                </w:p>
              </w:tc>
            </w:tr>
            <w:tr w14:paraId="58463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 w:hRule="atLeast"/>
              </w:trPr>
              <w:tc>
                <w:tcPr>
                  <w:tcW w:w="422" w:type="pct"/>
                  <w:vAlign w:val="center"/>
                </w:tcPr>
                <w:p w14:paraId="0D6DAC00">
                  <w:pPr>
                    <w:widowControl/>
                    <w:jc w:val="center"/>
                    <w:rPr>
                      <w:rFonts w:eastAsia="等线"/>
                      <w:kern w:val="0"/>
                    </w:rPr>
                  </w:pPr>
                  <w:r>
                    <w:rPr>
                      <w:rFonts w:eastAsia="等线"/>
                      <w:kern w:val="0"/>
                    </w:rPr>
                    <w:t>BOD</w:t>
                  </w:r>
                  <w:r>
                    <w:rPr>
                      <w:rFonts w:eastAsia="等线"/>
                      <w:kern w:val="0"/>
                      <w:vertAlign w:val="subscript"/>
                    </w:rPr>
                    <w:t>5</w:t>
                  </w:r>
                </w:p>
              </w:tc>
              <w:tc>
                <w:tcPr>
                  <w:tcW w:w="476" w:type="pct"/>
                  <w:vAlign w:val="center"/>
                </w:tcPr>
                <w:p w14:paraId="436C230A">
                  <w:pPr>
                    <w:widowControl/>
                    <w:jc w:val="center"/>
                    <w:rPr>
                      <w:rFonts w:eastAsia="等线"/>
                      <w:kern w:val="0"/>
                    </w:rPr>
                  </w:pPr>
                  <w:r>
                    <w:rPr>
                      <w:rFonts w:eastAsia="等线"/>
                    </w:rPr>
                    <w:t xml:space="preserve">0.072 </w:t>
                  </w:r>
                </w:p>
              </w:tc>
              <w:tc>
                <w:tcPr>
                  <w:tcW w:w="554" w:type="pct"/>
                  <w:vAlign w:val="center"/>
                </w:tcPr>
                <w:p w14:paraId="26890276">
                  <w:pPr>
                    <w:widowControl/>
                    <w:jc w:val="center"/>
                    <w:rPr>
                      <w:rFonts w:eastAsia="等线"/>
                      <w:kern w:val="0"/>
                    </w:rPr>
                  </w:pPr>
                  <w:r>
                    <w:rPr>
                      <w:rFonts w:eastAsia="等线"/>
                      <w:kern w:val="0"/>
                    </w:rPr>
                    <w:t>200</w:t>
                  </w:r>
                </w:p>
              </w:tc>
              <w:tc>
                <w:tcPr>
                  <w:tcW w:w="420" w:type="pct"/>
                  <w:vMerge w:val="continue"/>
                  <w:vAlign w:val="center"/>
                </w:tcPr>
                <w:p w14:paraId="71303BCF">
                  <w:pPr>
                    <w:widowControl/>
                    <w:jc w:val="left"/>
                    <w:rPr>
                      <w:rFonts w:hint="eastAsia" w:ascii="宋体" w:hAnsi="宋体" w:cs="宋体"/>
                      <w:kern w:val="0"/>
                    </w:rPr>
                  </w:pPr>
                </w:p>
              </w:tc>
              <w:tc>
                <w:tcPr>
                  <w:tcW w:w="422" w:type="pct"/>
                  <w:vMerge w:val="continue"/>
                  <w:vAlign w:val="center"/>
                </w:tcPr>
                <w:p w14:paraId="62737752">
                  <w:pPr>
                    <w:widowControl/>
                    <w:jc w:val="left"/>
                    <w:rPr>
                      <w:rFonts w:hint="eastAsia" w:ascii="宋体" w:hAnsi="宋体" w:cs="宋体"/>
                      <w:kern w:val="0"/>
                    </w:rPr>
                  </w:pPr>
                </w:p>
              </w:tc>
              <w:tc>
                <w:tcPr>
                  <w:tcW w:w="539" w:type="pct"/>
                  <w:vMerge w:val="continue"/>
                  <w:vAlign w:val="center"/>
                </w:tcPr>
                <w:p w14:paraId="02B58033">
                  <w:pPr>
                    <w:widowControl/>
                    <w:jc w:val="left"/>
                    <w:rPr>
                      <w:rFonts w:eastAsia="等线"/>
                      <w:kern w:val="0"/>
                    </w:rPr>
                  </w:pPr>
                </w:p>
              </w:tc>
              <w:tc>
                <w:tcPr>
                  <w:tcW w:w="476" w:type="pct"/>
                  <w:vAlign w:val="center"/>
                </w:tcPr>
                <w:p w14:paraId="0803DE3A">
                  <w:pPr>
                    <w:widowControl/>
                    <w:jc w:val="center"/>
                    <w:rPr>
                      <w:rFonts w:eastAsia="等线"/>
                      <w:kern w:val="0"/>
                    </w:rPr>
                  </w:pPr>
                  <w:r>
                    <w:rPr>
                      <w:rFonts w:eastAsia="等线"/>
                    </w:rPr>
                    <w:t xml:space="preserve">0.011 </w:t>
                  </w:r>
                </w:p>
              </w:tc>
              <w:tc>
                <w:tcPr>
                  <w:tcW w:w="650" w:type="pct"/>
                  <w:vAlign w:val="center"/>
                </w:tcPr>
                <w:p w14:paraId="1771054E">
                  <w:pPr>
                    <w:widowControl/>
                    <w:jc w:val="center"/>
                    <w:rPr>
                      <w:rFonts w:eastAsia="等线"/>
                      <w:kern w:val="0"/>
                    </w:rPr>
                  </w:pPr>
                  <w:r>
                    <w:rPr>
                      <w:rFonts w:eastAsia="等线"/>
                    </w:rPr>
                    <w:t>30</w:t>
                  </w:r>
                </w:p>
              </w:tc>
              <w:tc>
                <w:tcPr>
                  <w:tcW w:w="214" w:type="pct"/>
                  <w:vMerge w:val="continue"/>
                  <w:vAlign w:val="center"/>
                </w:tcPr>
                <w:p w14:paraId="65E54E93">
                  <w:pPr>
                    <w:widowControl/>
                    <w:jc w:val="left"/>
                    <w:rPr>
                      <w:rFonts w:hint="eastAsia" w:ascii="宋体" w:hAnsi="宋体" w:cs="宋体"/>
                      <w:kern w:val="0"/>
                    </w:rPr>
                  </w:pPr>
                </w:p>
              </w:tc>
              <w:tc>
                <w:tcPr>
                  <w:tcW w:w="270" w:type="pct"/>
                  <w:vMerge w:val="continue"/>
                  <w:vAlign w:val="center"/>
                </w:tcPr>
                <w:p w14:paraId="290458C6">
                  <w:pPr>
                    <w:widowControl/>
                    <w:jc w:val="left"/>
                    <w:rPr>
                      <w:rFonts w:hint="eastAsia" w:ascii="宋体" w:hAnsi="宋体" w:cs="宋体"/>
                      <w:kern w:val="0"/>
                    </w:rPr>
                  </w:pPr>
                </w:p>
              </w:tc>
              <w:tc>
                <w:tcPr>
                  <w:tcW w:w="558" w:type="pct"/>
                  <w:vMerge w:val="continue"/>
                  <w:vAlign w:val="center"/>
                </w:tcPr>
                <w:p w14:paraId="26CE6D5C">
                  <w:pPr>
                    <w:widowControl/>
                    <w:jc w:val="left"/>
                    <w:rPr>
                      <w:rFonts w:hint="eastAsia" w:ascii="宋体" w:hAnsi="宋体" w:cs="宋体"/>
                      <w:kern w:val="0"/>
                    </w:rPr>
                  </w:pPr>
                </w:p>
              </w:tc>
            </w:tr>
            <w:tr w14:paraId="4E086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422" w:type="pct"/>
                  <w:vAlign w:val="center"/>
                </w:tcPr>
                <w:p w14:paraId="198E277F">
                  <w:pPr>
                    <w:widowControl/>
                    <w:jc w:val="center"/>
                    <w:rPr>
                      <w:rFonts w:eastAsia="等线"/>
                      <w:kern w:val="0"/>
                    </w:rPr>
                  </w:pPr>
                  <w:r>
                    <w:rPr>
                      <w:rFonts w:eastAsia="等线"/>
                      <w:kern w:val="0"/>
                    </w:rPr>
                    <w:t>SS</w:t>
                  </w:r>
                </w:p>
              </w:tc>
              <w:tc>
                <w:tcPr>
                  <w:tcW w:w="476" w:type="pct"/>
                  <w:vAlign w:val="center"/>
                </w:tcPr>
                <w:p w14:paraId="7D8DFC0A">
                  <w:pPr>
                    <w:widowControl/>
                    <w:jc w:val="center"/>
                    <w:rPr>
                      <w:rFonts w:eastAsia="等线"/>
                      <w:kern w:val="0"/>
                    </w:rPr>
                  </w:pPr>
                  <w:r>
                    <w:rPr>
                      <w:rFonts w:eastAsia="等线"/>
                    </w:rPr>
                    <w:t xml:space="preserve">0.079 </w:t>
                  </w:r>
                </w:p>
              </w:tc>
              <w:tc>
                <w:tcPr>
                  <w:tcW w:w="554" w:type="pct"/>
                  <w:vAlign w:val="center"/>
                </w:tcPr>
                <w:p w14:paraId="4B0B01B8">
                  <w:pPr>
                    <w:widowControl/>
                    <w:jc w:val="center"/>
                    <w:rPr>
                      <w:rFonts w:eastAsia="等线"/>
                      <w:kern w:val="0"/>
                    </w:rPr>
                  </w:pPr>
                  <w:r>
                    <w:rPr>
                      <w:rFonts w:eastAsia="等线"/>
                      <w:kern w:val="0"/>
                    </w:rPr>
                    <w:t>220</w:t>
                  </w:r>
                </w:p>
              </w:tc>
              <w:tc>
                <w:tcPr>
                  <w:tcW w:w="420" w:type="pct"/>
                  <w:vMerge w:val="continue"/>
                  <w:vAlign w:val="center"/>
                </w:tcPr>
                <w:p w14:paraId="004DD3E1">
                  <w:pPr>
                    <w:widowControl/>
                    <w:jc w:val="left"/>
                    <w:rPr>
                      <w:rFonts w:hint="eastAsia" w:ascii="宋体" w:hAnsi="宋体" w:cs="宋体"/>
                      <w:kern w:val="0"/>
                    </w:rPr>
                  </w:pPr>
                </w:p>
              </w:tc>
              <w:tc>
                <w:tcPr>
                  <w:tcW w:w="422" w:type="pct"/>
                  <w:vMerge w:val="continue"/>
                  <w:vAlign w:val="center"/>
                </w:tcPr>
                <w:p w14:paraId="44C5FEA8">
                  <w:pPr>
                    <w:widowControl/>
                    <w:jc w:val="left"/>
                    <w:rPr>
                      <w:rFonts w:hint="eastAsia" w:ascii="宋体" w:hAnsi="宋体" w:cs="宋体"/>
                      <w:kern w:val="0"/>
                    </w:rPr>
                  </w:pPr>
                </w:p>
              </w:tc>
              <w:tc>
                <w:tcPr>
                  <w:tcW w:w="539" w:type="pct"/>
                  <w:vMerge w:val="continue"/>
                  <w:vAlign w:val="center"/>
                </w:tcPr>
                <w:p w14:paraId="7AC75B68">
                  <w:pPr>
                    <w:widowControl/>
                    <w:jc w:val="left"/>
                    <w:rPr>
                      <w:rFonts w:eastAsia="等线"/>
                      <w:kern w:val="0"/>
                    </w:rPr>
                  </w:pPr>
                </w:p>
              </w:tc>
              <w:tc>
                <w:tcPr>
                  <w:tcW w:w="476" w:type="pct"/>
                  <w:vAlign w:val="center"/>
                </w:tcPr>
                <w:p w14:paraId="4D0A8DFB">
                  <w:pPr>
                    <w:widowControl/>
                    <w:jc w:val="center"/>
                    <w:rPr>
                      <w:rFonts w:eastAsia="等线"/>
                      <w:kern w:val="0"/>
                    </w:rPr>
                  </w:pPr>
                  <w:r>
                    <w:rPr>
                      <w:rFonts w:eastAsia="等线"/>
                    </w:rPr>
                    <w:t xml:space="preserve">0.011 </w:t>
                  </w:r>
                </w:p>
              </w:tc>
              <w:tc>
                <w:tcPr>
                  <w:tcW w:w="650" w:type="pct"/>
                  <w:vAlign w:val="center"/>
                </w:tcPr>
                <w:p w14:paraId="28F5B0EC">
                  <w:pPr>
                    <w:widowControl/>
                    <w:jc w:val="center"/>
                    <w:rPr>
                      <w:rFonts w:eastAsia="等线"/>
                      <w:kern w:val="0"/>
                    </w:rPr>
                  </w:pPr>
                  <w:r>
                    <w:rPr>
                      <w:rFonts w:eastAsia="等线"/>
                    </w:rPr>
                    <w:t>30</w:t>
                  </w:r>
                </w:p>
              </w:tc>
              <w:tc>
                <w:tcPr>
                  <w:tcW w:w="214" w:type="pct"/>
                  <w:vMerge w:val="continue"/>
                  <w:vAlign w:val="center"/>
                </w:tcPr>
                <w:p w14:paraId="7491264C">
                  <w:pPr>
                    <w:widowControl/>
                    <w:jc w:val="left"/>
                    <w:rPr>
                      <w:rFonts w:hint="eastAsia" w:ascii="宋体" w:hAnsi="宋体" w:cs="宋体"/>
                      <w:kern w:val="0"/>
                    </w:rPr>
                  </w:pPr>
                </w:p>
              </w:tc>
              <w:tc>
                <w:tcPr>
                  <w:tcW w:w="270" w:type="pct"/>
                  <w:vMerge w:val="continue"/>
                  <w:vAlign w:val="center"/>
                </w:tcPr>
                <w:p w14:paraId="7F772645">
                  <w:pPr>
                    <w:widowControl/>
                    <w:jc w:val="left"/>
                    <w:rPr>
                      <w:rFonts w:hint="eastAsia" w:ascii="宋体" w:hAnsi="宋体" w:cs="宋体"/>
                      <w:kern w:val="0"/>
                    </w:rPr>
                  </w:pPr>
                </w:p>
              </w:tc>
              <w:tc>
                <w:tcPr>
                  <w:tcW w:w="558" w:type="pct"/>
                  <w:vMerge w:val="continue"/>
                  <w:vAlign w:val="center"/>
                </w:tcPr>
                <w:p w14:paraId="19041E3A">
                  <w:pPr>
                    <w:widowControl/>
                    <w:jc w:val="left"/>
                    <w:rPr>
                      <w:rFonts w:hint="eastAsia" w:ascii="宋体" w:hAnsi="宋体" w:cs="宋体"/>
                      <w:kern w:val="0"/>
                    </w:rPr>
                  </w:pPr>
                </w:p>
              </w:tc>
            </w:tr>
            <w:tr w14:paraId="2086C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 w:hRule="atLeast"/>
              </w:trPr>
              <w:tc>
                <w:tcPr>
                  <w:tcW w:w="422" w:type="pct"/>
                  <w:vAlign w:val="center"/>
                </w:tcPr>
                <w:p w14:paraId="333CBF33">
                  <w:pPr>
                    <w:widowControl/>
                    <w:jc w:val="center"/>
                    <w:rPr>
                      <w:rFonts w:eastAsia="等线"/>
                      <w:kern w:val="0"/>
                    </w:rPr>
                  </w:pPr>
                  <w:r>
                    <w:rPr>
                      <w:rFonts w:eastAsia="等线"/>
                      <w:kern w:val="0"/>
                    </w:rPr>
                    <w:t>NH</w:t>
                  </w:r>
                  <w:r>
                    <w:rPr>
                      <w:rFonts w:eastAsia="等线"/>
                      <w:kern w:val="0"/>
                      <w:vertAlign w:val="subscript"/>
                    </w:rPr>
                    <w:t>3</w:t>
                  </w:r>
                  <w:r>
                    <w:rPr>
                      <w:rFonts w:eastAsia="等线"/>
                      <w:kern w:val="0"/>
                    </w:rPr>
                    <w:t>-N</w:t>
                  </w:r>
                </w:p>
              </w:tc>
              <w:tc>
                <w:tcPr>
                  <w:tcW w:w="476" w:type="pct"/>
                  <w:vAlign w:val="center"/>
                </w:tcPr>
                <w:p w14:paraId="3C7FD4C7">
                  <w:pPr>
                    <w:widowControl/>
                    <w:jc w:val="center"/>
                    <w:rPr>
                      <w:rFonts w:eastAsia="等线"/>
                      <w:kern w:val="0"/>
                    </w:rPr>
                  </w:pPr>
                  <w:r>
                    <w:rPr>
                      <w:rFonts w:eastAsia="等线"/>
                    </w:rPr>
                    <w:t xml:space="preserve">0.010 </w:t>
                  </w:r>
                </w:p>
              </w:tc>
              <w:tc>
                <w:tcPr>
                  <w:tcW w:w="554" w:type="pct"/>
                  <w:vAlign w:val="center"/>
                </w:tcPr>
                <w:p w14:paraId="0F12BA8D">
                  <w:pPr>
                    <w:widowControl/>
                    <w:jc w:val="center"/>
                    <w:rPr>
                      <w:rFonts w:eastAsia="等线"/>
                      <w:kern w:val="0"/>
                    </w:rPr>
                  </w:pPr>
                  <w:r>
                    <w:rPr>
                      <w:rFonts w:eastAsia="等线"/>
                      <w:kern w:val="0"/>
                    </w:rPr>
                    <w:t>28.3</w:t>
                  </w:r>
                </w:p>
              </w:tc>
              <w:tc>
                <w:tcPr>
                  <w:tcW w:w="420" w:type="pct"/>
                  <w:vMerge w:val="continue"/>
                  <w:vAlign w:val="center"/>
                </w:tcPr>
                <w:p w14:paraId="5C8B680C">
                  <w:pPr>
                    <w:widowControl/>
                    <w:jc w:val="left"/>
                    <w:rPr>
                      <w:rFonts w:hint="eastAsia" w:ascii="宋体" w:hAnsi="宋体" w:cs="宋体"/>
                      <w:kern w:val="0"/>
                    </w:rPr>
                  </w:pPr>
                </w:p>
              </w:tc>
              <w:tc>
                <w:tcPr>
                  <w:tcW w:w="422" w:type="pct"/>
                  <w:vMerge w:val="continue"/>
                  <w:vAlign w:val="center"/>
                </w:tcPr>
                <w:p w14:paraId="6B23705E">
                  <w:pPr>
                    <w:widowControl/>
                    <w:jc w:val="left"/>
                    <w:rPr>
                      <w:rFonts w:hint="eastAsia" w:ascii="宋体" w:hAnsi="宋体" w:cs="宋体"/>
                      <w:kern w:val="0"/>
                    </w:rPr>
                  </w:pPr>
                </w:p>
              </w:tc>
              <w:tc>
                <w:tcPr>
                  <w:tcW w:w="539" w:type="pct"/>
                  <w:vMerge w:val="continue"/>
                  <w:vAlign w:val="center"/>
                </w:tcPr>
                <w:p w14:paraId="499AC873">
                  <w:pPr>
                    <w:widowControl/>
                    <w:jc w:val="left"/>
                    <w:rPr>
                      <w:rFonts w:eastAsia="等线"/>
                      <w:kern w:val="0"/>
                    </w:rPr>
                  </w:pPr>
                </w:p>
              </w:tc>
              <w:tc>
                <w:tcPr>
                  <w:tcW w:w="476" w:type="pct"/>
                  <w:vAlign w:val="center"/>
                </w:tcPr>
                <w:p w14:paraId="5208B8D2">
                  <w:pPr>
                    <w:widowControl/>
                    <w:jc w:val="center"/>
                    <w:rPr>
                      <w:rFonts w:eastAsia="等线"/>
                      <w:kern w:val="0"/>
                    </w:rPr>
                  </w:pPr>
                  <w:r>
                    <w:rPr>
                      <w:rFonts w:eastAsia="等线"/>
                    </w:rPr>
                    <w:t xml:space="preserve">0.0054 </w:t>
                  </w:r>
                </w:p>
              </w:tc>
              <w:tc>
                <w:tcPr>
                  <w:tcW w:w="650" w:type="pct"/>
                  <w:vAlign w:val="center"/>
                </w:tcPr>
                <w:p w14:paraId="33A73059">
                  <w:pPr>
                    <w:widowControl/>
                    <w:jc w:val="center"/>
                    <w:rPr>
                      <w:rFonts w:eastAsia="等线"/>
                      <w:kern w:val="0"/>
                    </w:rPr>
                  </w:pPr>
                  <w:r>
                    <w:rPr>
                      <w:rFonts w:eastAsia="等线"/>
                    </w:rPr>
                    <w:t>15</w:t>
                  </w:r>
                </w:p>
              </w:tc>
              <w:tc>
                <w:tcPr>
                  <w:tcW w:w="214" w:type="pct"/>
                  <w:vMerge w:val="continue"/>
                  <w:vAlign w:val="center"/>
                </w:tcPr>
                <w:p w14:paraId="2FF69AED">
                  <w:pPr>
                    <w:widowControl/>
                    <w:jc w:val="left"/>
                    <w:rPr>
                      <w:rFonts w:hint="eastAsia" w:ascii="宋体" w:hAnsi="宋体" w:cs="宋体"/>
                      <w:kern w:val="0"/>
                    </w:rPr>
                  </w:pPr>
                </w:p>
              </w:tc>
              <w:tc>
                <w:tcPr>
                  <w:tcW w:w="270" w:type="pct"/>
                  <w:vMerge w:val="continue"/>
                  <w:vAlign w:val="center"/>
                </w:tcPr>
                <w:p w14:paraId="22A252B6">
                  <w:pPr>
                    <w:widowControl/>
                    <w:jc w:val="left"/>
                    <w:rPr>
                      <w:rFonts w:hint="eastAsia" w:ascii="宋体" w:hAnsi="宋体" w:cs="宋体"/>
                      <w:kern w:val="0"/>
                    </w:rPr>
                  </w:pPr>
                </w:p>
              </w:tc>
              <w:tc>
                <w:tcPr>
                  <w:tcW w:w="558" w:type="pct"/>
                  <w:vMerge w:val="continue"/>
                  <w:vAlign w:val="center"/>
                </w:tcPr>
                <w:p w14:paraId="484BD713">
                  <w:pPr>
                    <w:widowControl/>
                    <w:jc w:val="left"/>
                    <w:rPr>
                      <w:rFonts w:hint="eastAsia" w:ascii="宋体" w:hAnsi="宋体" w:cs="宋体"/>
                      <w:kern w:val="0"/>
                    </w:rPr>
                  </w:pPr>
                </w:p>
              </w:tc>
            </w:tr>
            <w:tr w14:paraId="44C42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422" w:type="pct"/>
                  <w:vAlign w:val="center"/>
                </w:tcPr>
                <w:p w14:paraId="6EA3E2CA">
                  <w:pPr>
                    <w:widowControl/>
                    <w:jc w:val="center"/>
                    <w:rPr>
                      <w:rFonts w:eastAsia="等线"/>
                      <w:kern w:val="0"/>
                    </w:rPr>
                  </w:pPr>
                  <w:r>
                    <w:rPr>
                      <w:rFonts w:eastAsia="等线"/>
                      <w:kern w:val="0"/>
                    </w:rPr>
                    <w:t>TP</w:t>
                  </w:r>
                </w:p>
              </w:tc>
              <w:tc>
                <w:tcPr>
                  <w:tcW w:w="476" w:type="pct"/>
                  <w:vAlign w:val="center"/>
                </w:tcPr>
                <w:p w14:paraId="2040424A">
                  <w:pPr>
                    <w:widowControl/>
                    <w:jc w:val="center"/>
                    <w:rPr>
                      <w:rFonts w:eastAsia="等线"/>
                      <w:kern w:val="0"/>
                    </w:rPr>
                  </w:pPr>
                  <w:r>
                    <w:rPr>
                      <w:rFonts w:eastAsia="等线"/>
                    </w:rPr>
                    <w:t xml:space="preserve">0.0015 </w:t>
                  </w:r>
                </w:p>
              </w:tc>
              <w:tc>
                <w:tcPr>
                  <w:tcW w:w="554" w:type="pct"/>
                  <w:vAlign w:val="center"/>
                </w:tcPr>
                <w:p w14:paraId="5C3BE1BB">
                  <w:pPr>
                    <w:widowControl/>
                    <w:jc w:val="center"/>
                    <w:rPr>
                      <w:rFonts w:eastAsia="等线"/>
                      <w:kern w:val="0"/>
                    </w:rPr>
                  </w:pPr>
                  <w:r>
                    <w:rPr>
                      <w:rFonts w:eastAsia="等线"/>
                      <w:kern w:val="0"/>
                    </w:rPr>
                    <w:t>4.1</w:t>
                  </w:r>
                </w:p>
              </w:tc>
              <w:tc>
                <w:tcPr>
                  <w:tcW w:w="420" w:type="pct"/>
                  <w:vMerge w:val="continue"/>
                  <w:vAlign w:val="center"/>
                </w:tcPr>
                <w:p w14:paraId="004F9C67">
                  <w:pPr>
                    <w:widowControl/>
                    <w:jc w:val="left"/>
                    <w:rPr>
                      <w:rFonts w:hint="eastAsia" w:ascii="宋体" w:hAnsi="宋体" w:cs="宋体"/>
                      <w:kern w:val="0"/>
                    </w:rPr>
                  </w:pPr>
                </w:p>
              </w:tc>
              <w:tc>
                <w:tcPr>
                  <w:tcW w:w="422" w:type="pct"/>
                  <w:vMerge w:val="continue"/>
                  <w:vAlign w:val="center"/>
                </w:tcPr>
                <w:p w14:paraId="092FCA40">
                  <w:pPr>
                    <w:widowControl/>
                    <w:jc w:val="left"/>
                    <w:rPr>
                      <w:rFonts w:hint="eastAsia" w:ascii="宋体" w:hAnsi="宋体" w:cs="宋体"/>
                      <w:kern w:val="0"/>
                    </w:rPr>
                  </w:pPr>
                </w:p>
              </w:tc>
              <w:tc>
                <w:tcPr>
                  <w:tcW w:w="539" w:type="pct"/>
                  <w:vMerge w:val="continue"/>
                  <w:vAlign w:val="center"/>
                </w:tcPr>
                <w:p w14:paraId="096EC0E3">
                  <w:pPr>
                    <w:widowControl/>
                    <w:jc w:val="left"/>
                    <w:rPr>
                      <w:rFonts w:eastAsia="等线"/>
                      <w:kern w:val="0"/>
                    </w:rPr>
                  </w:pPr>
                </w:p>
              </w:tc>
              <w:tc>
                <w:tcPr>
                  <w:tcW w:w="476" w:type="pct"/>
                  <w:vAlign w:val="center"/>
                </w:tcPr>
                <w:p w14:paraId="78EA78D4">
                  <w:pPr>
                    <w:widowControl/>
                    <w:jc w:val="center"/>
                    <w:rPr>
                      <w:rFonts w:eastAsia="等线"/>
                      <w:kern w:val="0"/>
                    </w:rPr>
                  </w:pPr>
                  <w:r>
                    <w:rPr>
                      <w:rFonts w:eastAsia="等线"/>
                    </w:rPr>
                    <w:t xml:space="preserve">0.0004 </w:t>
                  </w:r>
                </w:p>
              </w:tc>
              <w:tc>
                <w:tcPr>
                  <w:tcW w:w="650" w:type="pct"/>
                  <w:vAlign w:val="center"/>
                </w:tcPr>
                <w:p w14:paraId="562A4CB0">
                  <w:pPr>
                    <w:widowControl/>
                    <w:jc w:val="center"/>
                    <w:rPr>
                      <w:rFonts w:eastAsia="等线"/>
                      <w:kern w:val="0"/>
                    </w:rPr>
                  </w:pPr>
                  <w:r>
                    <w:rPr>
                      <w:rFonts w:eastAsia="等线"/>
                    </w:rPr>
                    <w:t>1</w:t>
                  </w:r>
                </w:p>
              </w:tc>
              <w:tc>
                <w:tcPr>
                  <w:tcW w:w="214" w:type="pct"/>
                  <w:vMerge w:val="continue"/>
                  <w:vAlign w:val="center"/>
                </w:tcPr>
                <w:p w14:paraId="2FCCCFA2">
                  <w:pPr>
                    <w:widowControl/>
                    <w:jc w:val="left"/>
                    <w:rPr>
                      <w:rFonts w:hint="eastAsia" w:ascii="宋体" w:hAnsi="宋体" w:cs="宋体"/>
                      <w:kern w:val="0"/>
                    </w:rPr>
                  </w:pPr>
                </w:p>
              </w:tc>
              <w:tc>
                <w:tcPr>
                  <w:tcW w:w="270" w:type="pct"/>
                  <w:vMerge w:val="continue"/>
                  <w:vAlign w:val="center"/>
                </w:tcPr>
                <w:p w14:paraId="5F464F91">
                  <w:pPr>
                    <w:widowControl/>
                    <w:jc w:val="left"/>
                    <w:rPr>
                      <w:rFonts w:hint="eastAsia" w:ascii="宋体" w:hAnsi="宋体" w:cs="宋体"/>
                      <w:kern w:val="0"/>
                    </w:rPr>
                  </w:pPr>
                </w:p>
              </w:tc>
              <w:tc>
                <w:tcPr>
                  <w:tcW w:w="558" w:type="pct"/>
                  <w:vMerge w:val="continue"/>
                  <w:vAlign w:val="center"/>
                </w:tcPr>
                <w:p w14:paraId="27676616">
                  <w:pPr>
                    <w:widowControl/>
                    <w:jc w:val="left"/>
                    <w:rPr>
                      <w:rFonts w:hint="eastAsia" w:ascii="宋体" w:hAnsi="宋体" w:cs="宋体"/>
                      <w:kern w:val="0"/>
                    </w:rPr>
                  </w:pPr>
                </w:p>
              </w:tc>
            </w:tr>
          </w:tbl>
          <w:p w14:paraId="0C1D3D33">
            <w:pPr>
              <w:snapToGrid w:val="0"/>
              <w:spacing w:before="120" w:beforeLines="50" w:line="360" w:lineRule="auto"/>
              <w:ind w:firstLine="482" w:firstLineChars="200"/>
              <w:rPr>
                <w:b/>
                <w:bCs/>
                <w:sz w:val="24"/>
                <w:szCs w:val="24"/>
              </w:rPr>
            </w:pPr>
            <w:r>
              <w:rPr>
                <w:rFonts w:hint="eastAsia"/>
                <w:b/>
                <w:bCs/>
                <w:sz w:val="24"/>
                <w:szCs w:val="24"/>
              </w:rPr>
              <w:t>（2）间接冷却水</w:t>
            </w:r>
          </w:p>
          <w:p w14:paraId="6A5F362C">
            <w:pPr>
              <w:snapToGrid w:val="0"/>
              <w:spacing w:line="360" w:lineRule="auto"/>
              <w:ind w:firstLine="480" w:firstLineChars="200"/>
              <w:rPr>
                <w:kern w:val="0"/>
                <w:sz w:val="24"/>
                <w:szCs w:val="24"/>
              </w:rPr>
            </w:pPr>
            <w:r>
              <w:rPr>
                <w:rFonts w:hint="eastAsia"/>
                <w:kern w:val="0"/>
                <w:sz w:val="24"/>
                <w:szCs w:val="24"/>
              </w:rPr>
              <w:t>根据工程分析，项目间接冷却水循环量为</w:t>
            </w:r>
            <w:r>
              <w:rPr>
                <w:rFonts w:hint="eastAsia"/>
                <w:kern w:val="18"/>
                <w:sz w:val="24"/>
                <w:szCs w:val="24"/>
              </w:rPr>
              <w:t>2880</w:t>
            </w:r>
            <w:r>
              <w:rPr>
                <w:kern w:val="18"/>
                <w:sz w:val="24"/>
                <w:szCs w:val="24"/>
              </w:rPr>
              <w:t>m</w:t>
            </w:r>
            <w:r>
              <w:rPr>
                <w:kern w:val="18"/>
                <w:sz w:val="24"/>
                <w:szCs w:val="24"/>
                <w:vertAlign w:val="superscript"/>
              </w:rPr>
              <w:t>3</w:t>
            </w:r>
            <w:r>
              <w:rPr>
                <w:rFonts w:hint="eastAsia"/>
                <w:kern w:val="18"/>
                <w:sz w:val="24"/>
                <w:szCs w:val="24"/>
              </w:rPr>
              <w:t>/d（864000</w:t>
            </w:r>
            <w:r>
              <w:rPr>
                <w:kern w:val="18"/>
                <w:sz w:val="24"/>
                <w:szCs w:val="24"/>
              </w:rPr>
              <w:t>m</w:t>
            </w:r>
            <w:r>
              <w:rPr>
                <w:kern w:val="18"/>
                <w:sz w:val="24"/>
                <w:szCs w:val="24"/>
                <w:vertAlign w:val="superscript"/>
              </w:rPr>
              <w:t>3</w:t>
            </w:r>
            <w:r>
              <w:rPr>
                <w:rFonts w:hint="eastAsia"/>
                <w:kern w:val="18"/>
                <w:sz w:val="24"/>
                <w:szCs w:val="24"/>
              </w:rPr>
              <w:t>/a）</w:t>
            </w:r>
            <w:r>
              <w:rPr>
                <w:rFonts w:hint="eastAsia"/>
                <w:kern w:val="0"/>
                <w:sz w:val="24"/>
                <w:szCs w:val="24"/>
              </w:rPr>
              <w:t>，补充损耗水量为</w:t>
            </w:r>
            <w:r>
              <w:rPr>
                <w:rFonts w:hint="eastAsia"/>
                <w:kern w:val="18"/>
                <w:sz w:val="24"/>
                <w:szCs w:val="24"/>
              </w:rPr>
              <w:t>28.8</w:t>
            </w:r>
            <w:r>
              <w:rPr>
                <w:kern w:val="18"/>
                <w:sz w:val="24"/>
                <w:szCs w:val="24"/>
              </w:rPr>
              <w:t>m</w:t>
            </w:r>
            <w:r>
              <w:rPr>
                <w:kern w:val="18"/>
                <w:sz w:val="24"/>
                <w:szCs w:val="24"/>
                <w:vertAlign w:val="superscript"/>
              </w:rPr>
              <w:t>3</w:t>
            </w:r>
            <w:r>
              <w:rPr>
                <w:rFonts w:hint="eastAsia"/>
                <w:kern w:val="18"/>
                <w:sz w:val="24"/>
                <w:szCs w:val="24"/>
              </w:rPr>
              <w:t>/d（8640</w:t>
            </w:r>
            <w:r>
              <w:rPr>
                <w:kern w:val="18"/>
                <w:sz w:val="24"/>
                <w:szCs w:val="24"/>
              </w:rPr>
              <w:t>m</w:t>
            </w:r>
            <w:r>
              <w:rPr>
                <w:kern w:val="18"/>
                <w:sz w:val="24"/>
                <w:szCs w:val="24"/>
                <w:vertAlign w:val="superscript"/>
              </w:rPr>
              <w:t>3</w:t>
            </w:r>
            <w:r>
              <w:rPr>
                <w:rFonts w:hint="eastAsia"/>
                <w:kern w:val="18"/>
                <w:sz w:val="24"/>
                <w:szCs w:val="24"/>
              </w:rPr>
              <w:t>/a），</w:t>
            </w:r>
            <w:r>
              <w:rPr>
                <w:rFonts w:hint="eastAsia"/>
                <w:kern w:val="0"/>
                <w:sz w:val="24"/>
                <w:szCs w:val="24"/>
              </w:rPr>
              <w:t>间接冷却水循环使用，仅需定期补充损耗，不外排。</w:t>
            </w:r>
          </w:p>
          <w:p w14:paraId="6F2BB19B">
            <w:pPr>
              <w:snapToGrid w:val="0"/>
              <w:spacing w:line="360" w:lineRule="auto"/>
              <w:ind w:firstLine="482" w:firstLineChars="200"/>
              <w:rPr>
                <w:b/>
                <w:bCs/>
                <w:kern w:val="0"/>
                <w:sz w:val="24"/>
                <w:szCs w:val="24"/>
              </w:rPr>
            </w:pPr>
            <w:r>
              <w:rPr>
                <w:rFonts w:hint="eastAsia"/>
                <w:b/>
                <w:bCs/>
                <w:kern w:val="18"/>
                <w:sz w:val="24"/>
                <w:szCs w:val="24"/>
              </w:rPr>
              <w:t>（3）</w:t>
            </w:r>
            <w:r>
              <w:rPr>
                <w:rFonts w:hint="eastAsia" w:cs="Cambria Math"/>
                <w:b/>
                <w:bCs/>
                <w:sz w:val="24"/>
                <w:szCs w:val="24"/>
              </w:rPr>
              <w:t>锅炉</w:t>
            </w:r>
            <w:r>
              <w:rPr>
                <w:rFonts w:cs="Cambria Math"/>
                <w:b/>
                <w:bCs/>
                <w:sz w:val="24"/>
                <w:szCs w:val="24"/>
              </w:rPr>
              <w:t>排污水</w:t>
            </w:r>
            <w:r>
              <w:rPr>
                <w:rFonts w:hint="eastAsia" w:cs="Cambria Math"/>
                <w:b/>
                <w:bCs/>
                <w:sz w:val="24"/>
                <w:szCs w:val="24"/>
              </w:rPr>
              <w:t>、</w:t>
            </w:r>
            <w:r>
              <w:rPr>
                <w:rFonts w:cs="Cambria Math"/>
                <w:b/>
                <w:bCs/>
                <w:sz w:val="24"/>
                <w:szCs w:val="24"/>
              </w:rPr>
              <w:t>软水制备浓水</w:t>
            </w:r>
            <w:r>
              <w:rPr>
                <w:rFonts w:hint="eastAsia" w:cs="Cambria Math"/>
                <w:b/>
                <w:bCs/>
                <w:sz w:val="24"/>
                <w:szCs w:val="24"/>
              </w:rPr>
              <w:t>、工艺废水</w:t>
            </w:r>
          </w:p>
          <w:p w14:paraId="4E555200">
            <w:pPr>
              <w:snapToGrid w:val="0"/>
              <w:spacing w:line="360" w:lineRule="auto"/>
              <w:ind w:firstLine="480" w:firstLineChars="200"/>
              <w:rPr>
                <w:bCs/>
                <w:kern w:val="0"/>
                <w:sz w:val="24"/>
              </w:rPr>
            </w:pPr>
            <w:r>
              <w:rPr>
                <w:rFonts w:hint="eastAsia"/>
                <w:kern w:val="0"/>
                <w:sz w:val="24"/>
                <w:szCs w:val="24"/>
              </w:rPr>
              <w:t>根据工程分析，项目</w:t>
            </w:r>
            <w:r>
              <w:rPr>
                <w:rFonts w:hint="eastAsia"/>
                <w:sz w:val="24"/>
                <w:szCs w:val="24"/>
              </w:rPr>
              <w:t>锅炉用软水制备浓水产生量为</w:t>
            </w:r>
            <w:r>
              <w:rPr>
                <w:rFonts w:hint="eastAsia"/>
                <w:kern w:val="18"/>
                <w:sz w:val="24"/>
                <w:szCs w:val="24"/>
              </w:rPr>
              <w:t>9.02</w:t>
            </w:r>
            <w:r>
              <w:rPr>
                <w:kern w:val="18"/>
                <w:sz w:val="24"/>
                <w:szCs w:val="24"/>
              </w:rPr>
              <w:t>m</w:t>
            </w:r>
            <w:r>
              <w:rPr>
                <w:kern w:val="18"/>
                <w:sz w:val="24"/>
                <w:szCs w:val="24"/>
                <w:vertAlign w:val="superscript"/>
              </w:rPr>
              <w:t>3</w:t>
            </w:r>
            <w:r>
              <w:rPr>
                <w:rFonts w:hint="eastAsia"/>
                <w:kern w:val="18"/>
                <w:sz w:val="24"/>
                <w:szCs w:val="24"/>
              </w:rPr>
              <w:t>/d（2706</w:t>
            </w:r>
            <w:r>
              <w:rPr>
                <w:kern w:val="18"/>
                <w:sz w:val="24"/>
                <w:szCs w:val="24"/>
              </w:rPr>
              <w:t>m</w:t>
            </w:r>
            <w:r>
              <w:rPr>
                <w:kern w:val="18"/>
                <w:sz w:val="24"/>
                <w:szCs w:val="24"/>
                <w:vertAlign w:val="superscript"/>
              </w:rPr>
              <w:t>3</w:t>
            </w:r>
            <w:r>
              <w:rPr>
                <w:rFonts w:hint="eastAsia"/>
                <w:kern w:val="18"/>
                <w:sz w:val="24"/>
                <w:szCs w:val="24"/>
              </w:rPr>
              <w:t>/a）</w:t>
            </w:r>
            <w:r>
              <w:rPr>
                <w:rFonts w:hint="eastAsia"/>
                <w:kern w:val="0"/>
                <w:sz w:val="24"/>
                <w:szCs w:val="24"/>
              </w:rPr>
              <w:t>，</w:t>
            </w:r>
            <w:r>
              <w:rPr>
                <w:rFonts w:hint="eastAsia"/>
                <w:kern w:val="18"/>
                <w:sz w:val="24"/>
                <w:szCs w:val="24"/>
              </w:rPr>
              <w:t>锅炉排污水量为0.04</w:t>
            </w:r>
            <w:r>
              <w:rPr>
                <w:kern w:val="18"/>
                <w:sz w:val="24"/>
                <w:szCs w:val="24"/>
              </w:rPr>
              <w:t>m</w:t>
            </w:r>
            <w:r>
              <w:rPr>
                <w:kern w:val="18"/>
                <w:sz w:val="24"/>
                <w:szCs w:val="24"/>
                <w:vertAlign w:val="superscript"/>
              </w:rPr>
              <w:t>3</w:t>
            </w:r>
            <w:r>
              <w:rPr>
                <w:rFonts w:hint="eastAsia"/>
                <w:kern w:val="18"/>
                <w:sz w:val="24"/>
                <w:szCs w:val="24"/>
              </w:rPr>
              <w:t>/d（12</w:t>
            </w:r>
            <w:r>
              <w:rPr>
                <w:kern w:val="18"/>
                <w:sz w:val="24"/>
                <w:szCs w:val="24"/>
              </w:rPr>
              <w:t>m</w:t>
            </w:r>
            <w:r>
              <w:rPr>
                <w:kern w:val="18"/>
                <w:sz w:val="24"/>
                <w:szCs w:val="24"/>
                <w:vertAlign w:val="superscript"/>
              </w:rPr>
              <w:t>3</w:t>
            </w:r>
            <w:r>
              <w:rPr>
                <w:rFonts w:hint="eastAsia"/>
                <w:kern w:val="18"/>
                <w:sz w:val="24"/>
                <w:szCs w:val="24"/>
              </w:rPr>
              <w:t>/a）</w:t>
            </w:r>
            <w:r>
              <w:rPr>
                <w:rFonts w:hint="eastAsia"/>
                <w:kern w:val="0"/>
                <w:sz w:val="24"/>
                <w:szCs w:val="24"/>
              </w:rPr>
              <w:t>，冷凝系统冷凝水产量为</w:t>
            </w:r>
            <w:r>
              <w:rPr>
                <w:rFonts w:hint="eastAsia"/>
                <w:kern w:val="18"/>
                <w:sz w:val="24"/>
                <w:szCs w:val="24"/>
              </w:rPr>
              <w:t>9.0</w:t>
            </w:r>
            <w:r>
              <w:rPr>
                <w:kern w:val="18"/>
                <w:sz w:val="24"/>
                <w:szCs w:val="24"/>
              </w:rPr>
              <w:t>m</w:t>
            </w:r>
            <w:r>
              <w:rPr>
                <w:kern w:val="18"/>
                <w:sz w:val="24"/>
                <w:szCs w:val="24"/>
                <w:vertAlign w:val="superscript"/>
              </w:rPr>
              <w:t>3</w:t>
            </w:r>
            <w:r>
              <w:rPr>
                <w:rFonts w:hint="eastAsia"/>
                <w:kern w:val="18"/>
                <w:sz w:val="24"/>
                <w:szCs w:val="24"/>
              </w:rPr>
              <w:t>/d（2700</w:t>
            </w:r>
            <w:r>
              <w:rPr>
                <w:kern w:val="18"/>
                <w:sz w:val="24"/>
                <w:szCs w:val="24"/>
              </w:rPr>
              <w:t>m</w:t>
            </w:r>
            <w:r>
              <w:rPr>
                <w:kern w:val="18"/>
                <w:sz w:val="24"/>
                <w:szCs w:val="24"/>
                <w:vertAlign w:val="superscript"/>
              </w:rPr>
              <w:t>3</w:t>
            </w:r>
            <w:r>
              <w:rPr>
                <w:rFonts w:hint="eastAsia"/>
                <w:kern w:val="18"/>
                <w:sz w:val="24"/>
                <w:szCs w:val="24"/>
              </w:rPr>
              <w:t>/a）。上述废水</w:t>
            </w:r>
            <w:r>
              <w:rPr>
                <w:rFonts w:hint="eastAsia"/>
                <w:kern w:val="0"/>
                <w:sz w:val="24"/>
                <w:szCs w:val="24"/>
              </w:rPr>
              <w:t>主要污染物为COD</w:t>
            </w:r>
            <w:r>
              <w:rPr>
                <w:rFonts w:hint="eastAsia"/>
                <w:kern w:val="0"/>
                <w:sz w:val="24"/>
                <w:szCs w:val="24"/>
                <w:vertAlign w:val="subscript"/>
              </w:rPr>
              <w:t>cr</w:t>
            </w:r>
            <w:r>
              <w:rPr>
                <w:rFonts w:hint="eastAsia"/>
                <w:kern w:val="0"/>
                <w:sz w:val="24"/>
                <w:szCs w:val="24"/>
              </w:rPr>
              <w:t>、BOD</w:t>
            </w:r>
            <w:r>
              <w:rPr>
                <w:rFonts w:hint="eastAsia"/>
                <w:kern w:val="0"/>
                <w:sz w:val="24"/>
                <w:szCs w:val="24"/>
                <w:vertAlign w:val="subscript"/>
              </w:rPr>
              <w:t>5</w:t>
            </w:r>
            <w:r>
              <w:rPr>
                <w:rFonts w:hint="eastAsia"/>
                <w:kern w:val="0"/>
                <w:sz w:val="24"/>
                <w:szCs w:val="24"/>
              </w:rPr>
              <w:t>等，收集后经</w:t>
            </w:r>
            <w:r>
              <w:rPr>
                <w:rFonts w:hint="eastAsia"/>
                <w:bCs/>
                <w:kern w:val="0"/>
                <w:sz w:val="24"/>
              </w:rPr>
              <w:t>“混凝</w:t>
            </w:r>
            <w:r>
              <w:rPr>
                <w:bCs/>
                <w:kern w:val="0"/>
                <w:sz w:val="24"/>
              </w:rPr>
              <w:t>+</w:t>
            </w:r>
            <w:r>
              <w:rPr>
                <w:rFonts w:hint="eastAsia"/>
                <w:bCs/>
                <w:kern w:val="0"/>
                <w:sz w:val="24"/>
              </w:rPr>
              <w:t>沉淀”设施处理达到《城市污水再生利用工业用水水质》（GB/T19923-2024）中“间冷开式循环冷却水补充水、锅炉补给水、工艺用水、产品用水”标准后回用于</w:t>
            </w:r>
            <w:r>
              <w:rPr>
                <w:rFonts w:hint="eastAsia" w:cs="Cambria Math"/>
                <w:sz w:val="24"/>
                <w:szCs w:val="24"/>
              </w:rPr>
              <w:t>现有项目蒸炒</w:t>
            </w:r>
            <w:r>
              <w:rPr>
                <w:rFonts w:hint="eastAsia"/>
                <w:bCs/>
                <w:kern w:val="0"/>
                <w:sz w:val="24"/>
              </w:rPr>
              <w:t>，不外排。</w:t>
            </w:r>
          </w:p>
          <w:p w14:paraId="219FDE2A">
            <w:pPr>
              <w:snapToGrid w:val="0"/>
              <w:spacing w:line="360" w:lineRule="auto"/>
              <w:ind w:firstLine="482" w:firstLineChars="200"/>
              <w:rPr>
                <w:b/>
                <w:kern w:val="0"/>
                <w:sz w:val="24"/>
                <w:szCs w:val="24"/>
              </w:rPr>
            </w:pPr>
            <w:r>
              <w:rPr>
                <w:rFonts w:hint="eastAsia"/>
                <w:b/>
                <w:kern w:val="0"/>
                <w:sz w:val="24"/>
                <w:szCs w:val="24"/>
              </w:rPr>
              <w:t>2.2 废水排放口与监测计划</w:t>
            </w:r>
          </w:p>
          <w:p w14:paraId="7ADEBAE9">
            <w:pPr>
              <w:snapToGrid w:val="0"/>
              <w:spacing w:line="360" w:lineRule="auto"/>
              <w:ind w:firstLine="480" w:firstLineChars="200"/>
              <w:rPr>
                <w:kern w:val="0"/>
                <w:sz w:val="24"/>
                <w:szCs w:val="24"/>
              </w:rPr>
            </w:pPr>
            <w:r>
              <w:rPr>
                <w:rFonts w:hint="eastAsia"/>
                <w:kern w:val="0"/>
                <w:sz w:val="24"/>
                <w:szCs w:val="24"/>
              </w:rPr>
              <w:t>项目生活污水依托现有项目“微生物处理</w:t>
            </w:r>
            <w:r>
              <w:rPr>
                <w:kern w:val="0"/>
                <w:sz w:val="24"/>
                <w:szCs w:val="24"/>
              </w:rPr>
              <w:t>+</w:t>
            </w:r>
            <w:r>
              <w:rPr>
                <w:rFonts w:hint="eastAsia"/>
                <w:kern w:val="0"/>
                <w:sz w:val="24"/>
                <w:szCs w:val="24"/>
              </w:rPr>
              <w:t>人工湿地”进行处理达标后</w:t>
            </w:r>
            <w:r>
              <w:rPr>
                <w:rFonts w:hint="eastAsia"/>
                <w:bCs/>
                <w:kern w:val="0"/>
                <w:sz w:val="24"/>
                <w:szCs w:val="24"/>
              </w:rPr>
              <w:t>用于山林灌溉，不外排；</w:t>
            </w:r>
            <w:r>
              <w:rPr>
                <w:rFonts w:hint="eastAsia"/>
                <w:kern w:val="0"/>
                <w:sz w:val="24"/>
                <w:szCs w:val="24"/>
              </w:rPr>
              <w:t>间接冷却水循环使用，仅需定期补充损耗，不外排；锅炉</w:t>
            </w:r>
            <w:r>
              <w:rPr>
                <w:kern w:val="0"/>
                <w:sz w:val="24"/>
                <w:szCs w:val="24"/>
              </w:rPr>
              <w:t>排污水、软水制备浓水、工艺废水</w:t>
            </w:r>
            <w:r>
              <w:rPr>
                <w:rFonts w:hint="eastAsia"/>
                <w:kern w:val="0"/>
                <w:sz w:val="24"/>
                <w:szCs w:val="24"/>
              </w:rPr>
              <w:t>经“混凝+沉淀”设施处理达标后</w:t>
            </w:r>
            <w:r>
              <w:rPr>
                <w:rFonts w:hint="eastAsia"/>
                <w:bCs/>
                <w:kern w:val="0"/>
                <w:sz w:val="24"/>
              </w:rPr>
              <w:t>回用于</w:t>
            </w:r>
            <w:r>
              <w:rPr>
                <w:rFonts w:hint="eastAsia" w:cs="Cambria Math"/>
                <w:sz w:val="24"/>
                <w:szCs w:val="24"/>
              </w:rPr>
              <w:t>现有项目蒸炒</w:t>
            </w:r>
            <w:r>
              <w:rPr>
                <w:rFonts w:hint="eastAsia"/>
                <w:kern w:val="0"/>
                <w:sz w:val="24"/>
                <w:szCs w:val="24"/>
              </w:rPr>
              <w:t>，不外排。因此，本项目不设废水排放口</w:t>
            </w:r>
            <w:r>
              <w:rPr>
                <w:rFonts w:hint="eastAsia"/>
                <w:bCs/>
                <w:kern w:val="0"/>
                <w:sz w:val="24"/>
              </w:rPr>
              <w:t>，</w:t>
            </w:r>
            <w:r>
              <w:rPr>
                <w:rFonts w:hint="eastAsia"/>
                <w:kern w:val="0"/>
                <w:sz w:val="24"/>
                <w:szCs w:val="24"/>
              </w:rPr>
              <w:t>不需开展自行监测。</w:t>
            </w:r>
          </w:p>
          <w:p w14:paraId="4DB56791">
            <w:pPr>
              <w:pStyle w:val="45"/>
              <w:spacing w:line="360" w:lineRule="auto"/>
              <w:ind w:firstLine="482"/>
              <w:rPr>
                <w:rFonts w:cs="Times New Roman"/>
                <w:b/>
                <w:bCs/>
                <w:sz w:val="24"/>
                <w:szCs w:val="24"/>
                <w:lang w:eastAsia="zh-CN"/>
              </w:rPr>
            </w:pPr>
            <w:r>
              <w:rPr>
                <w:rFonts w:hint="eastAsia" w:cs="Times New Roman"/>
                <w:b/>
                <w:bCs/>
                <w:sz w:val="24"/>
                <w:szCs w:val="24"/>
                <w:lang w:eastAsia="zh-CN"/>
              </w:rPr>
              <w:t>2</w:t>
            </w:r>
            <w:r>
              <w:rPr>
                <w:rFonts w:cs="Times New Roman"/>
                <w:b/>
                <w:bCs/>
                <w:sz w:val="24"/>
                <w:szCs w:val="24"/>
                <w:lang w:eastAsia="zh-CN"/>
              </w:rPr>
              <w:t>.</w:t>
            </w:r>
            <w:r>
              <w:rPr>
                <w:rFonts w:hint="eastAsia" w:cs="Times New Roman"/>
                <w:b/>
                <w:bCs/>
                <w:sz w:val="24"/>
                <w:szCs w:val="24"/>
                <w:lang w:eastAsia="zh-CN"/>
              </w:rPr>
              <w:t>3废水处理达标/依托可行性分析</w:t>
            </w:r>
          </w:p>
          <w:p w14:paraId="18502A93">
            <w:pPr>
              <w:autoSpaceDE w:val="0"/>
              <w:autoSpaceDN w:val="0"/>
              <w:adjustRightInd w:val="0"/>
              <w:spacing w:line="360" w:lineRule="auto"/>
              <w:ind w:firstLine="482" w:firstLineChars="200"/>
              <w:rPr>
                <w:b/>
                <w:bCs/>
                <w:sz w:val="24"/>
                <w:szCs w:val="24"/>
              </w:rPr>
            </w:pPr>
            <w:r>
              <w:rPr>
                <w:rFonts w:hint="eastAsia"/>
                <w:b/>
                <w:bCs/>
                <w:sz w:val="24"/>
                <w:szCs w:val="24"/>
              </w:rPr>
              <w:t>（1）</w:t>
            </w:r>
            <w:r>
              <w:rPr>
                <w:b/>
                <w:bCs/>
                <w:sz w:val="24"/>
                <w:szCs w:val="24"/>
              </w:rPr>
              <w:t>生活污水处理</w:t>
            </w:r>
            <w:r>
              <w:rPr>
                <w:rFonts w:hint="eastAsia"/>
                <w:b/>
                <w:bCs/>
                <w:sz w:val="24"/>
                <w:szCs w:val="24"/>
              </w:rPr>
              <w:t>工艺及依托可行性</w:t>
            </w:r>
          </w:p>
          <w:p w14:paraId="4353074F">
            <w:pPr>
              <w:autoSpaceDE w:val="0"/>
              <w:autoSpaceDN w:val="0"/>
              <w:adjustRightInd w:val="0"/>
              <w:spacing w:line="360" w:lineRule="auto"/>
              <w:ind w:firstLine="480" w:firstLineChars="200"/>
              <w:rPr>
                <w:sz w:val="24"/>
                <w:szCs w:val="24"/>
              </w:rPr>
            </w:pPr>
            <w:r>
              <w:rPr>
                <w:rFonts w:hint="eastAsia"/>
                <w:sz w:val="24"/>
                <w:szCs w:val="24"/>
              </w:rPr>
              <w:t>根据《排污许可证申请与核发技术规范 工业固体废物和危险废物治理》（</w:t>
            </w:r>
            <w:r>
              <w:rPr>
                <w:sz w:val="24"/>
                <w:szCs w:val="24"/>
              </w:rPr>
              <w:t>HJ1033-2019</w:t>
            </w:r>
            <w:r>
              <w:rPr>
                <w:rFonts w:hint="eastAsia"/>
                <w:sz w:val="24"/>
                <w:szCs w:val="24"/>
              </w:rPr>
              <w:t>）附录D</w:t>
            </w:r>
            <w:r>
              <w:rPr>
                <w:sz w:val="24"/>
                <w:szCs w:val="24"/>
              </w:rPr>
              <w:t>表</w:t>
            </w:r>
            <w:r>
              <w:rPr>
                <w:rFonts w:hint="eastAsia"/>
                <w:sz w:val="24"/>
                <w:szCs w:val="24"/>
              </w:rPr>
              <w:t>D</w:t>
            </w:r>
            <w:r>
              <w:rPr>
                <w:sz w:val="24"/>
                <w:szCs w:val="24"/>
              </w:rPr>
              <w:t>.</w:t>
            </w:r>
            <w:r>
              <w:rPr>
                <w:rFonts w:hint="eastAsia"/>
                <w:sz w:val="24"/>
                <w:szCs w:val="24"/>
              </w:rPr>
              <w:t>1，生活污水直接排放的处理可行技术为预处理（沉淀、过滤等）+生化处理（活性污泥法、生物膜法等），本项目生活污水</w:t>
            </w:r>
            <w:r>
              <w:rPr>
                <w:rFonts w:hint="eastAsia"/>
                <w:kern w:val="0"/>
                <w:sz w:val="24"/>
                <w:szCs w:val="24"/>
              </w:rPr>
              <w:t>依托现有项目“微生物处理</w:t>
            </w:r>
            <w:r>
              <w:rPr>
                <w:kern w:val="0"/>
                <w:sz w:val="24"/>
                <w:szCs w:val="24"/>
              </w:rPr>
              <w:t>+</w:t>
            </w:r>
            <w:r>
              <w:rPr>
                <w:rFonts w:hint="eastAsia"/>
                <w:kern w:val="0"/>
                <w:sz w:val="24"/>
                <w:szCs w:val="24"/>
              </w:rPr>
              <w:t>人工湿地”设施进行处理</w:t>
            </w:r>
            <w:r>
              <w:rPr>
                <w:rFonts w:hint="eastAsia"/>
                <w:sz w:val="24"/>
                <w:szCs w:val="24"/>
              </w:rPr>
              <w:t>，不属于可行技术。</w:t>
            </w:r>
          </w:p>
          <w:p w14:paraId="3FF207F5">
            <w:pPr>
              <w:autoSpaceDE w:val="0"/>
              <w:autoSpaceDN w:val="0"/>
              <w:adjustRightInd w:val="0"/>
              <w:spacing w:line="360" w:lineRule="auto"/>
              <w:ind w:firstLine="480" w:firstLineChars="200"/>
              <w:rPr>
                <w:sz w:val="24"/>
                <w:szCs w:val="24"/>
              </w:rPr>
            </w:pPr>
            <w:r>
              <w:rPr>
                <w:rFonts w:hint="eastAsia"/>
                <w:kern w:val="0"/>
                <w:sz w:val="24"/>
                <w:szCs w:val="24"/>
              </w:rPr>
              <w:t>项目所在地远离城镇，周边污水处理设施和管网建设未完善，对生活污水因地制定地采用“微生物处理</w:t>
            </w:r>
            <w:r>
              <w:rPr>
                <w:kern w:val="0"/>
                <w:sz w:val="24"/>
                <w:szCs w:val="24"/>
              </w:rPr>
              <w:t>+</w:t>
            </w:r>
            <w:r>
              <w:rPr>
                <w:rFonts w:hint="eastAsia"/>
                <w:kern w:val="0"/>
                <w:sz w:val="24"/>
                <w:szCs w:val="24"/>
              </w:rPr>
              <w:t>人工湿地”的方式进行处理。该处理设施</w:t>
            </w:r>
            <w:r>
              <w:rPr>
                <w:sz w:val="24"/>
                <w:szCs w:val="24"/>
              </w:rPr>
              <w:t>是模拟自然湿地的人工污水处理系统，由基质、植物和微生物构成协同净化体系，通过物理过滤、化学吸附及生物降解三重作用去除污染物</w:t>
            </w:r>
            <w:r>
              <w:rPr>
                <w:rFonts w:hint="eastAsia"/>
                <w:sz w:val="24"/>
                <w:szCs w:val="24"/>
              </w:rPr>
              <w:t>。污水中的有机物一边被基质中的微生物分解，一边被生长在</w:t>
            </w:r>
            <w:r>
              <w:rPr>
                <w:sz w:val="24"/>
                <w:szCs w:val="24"/>
              </w:rPr>
              <w:t>基质中的植物根系吸收</w:t>
            </w:r>
            <w:r>
              <w:rPr>
                <w:rFonts w:hint="eastAsia"/>
                <w:sz w:val="24"/>
                <w:szCs w:val="24"/>
              </w:rPr>
              <w:t>；</w:t>
            </w:r>
            <w:r>
              <w:rPr>
                <w:sz w:val="24"/>
                <w:szCs w:val="24"/>
              </w:rPr>
              <w:t>有机物被好氧微生物分解、矿化成的无机物（其中的氮和磷是植物首要的营养元素）由植物根系吸收</w:t>
            </w:r>
            <w:r>
              <w:rPr>
                <w:rFonts w:hint="eastAsia"/>
                <w:sz w:val="24"/>
                <w:szCs w:val="24"/>
              </w:rPr>
              <w:t>，同时植物</w:t>
            </w:r>
            <w:r>
              <w:rPr>
                <w:sz w:val="24"/>
                <w:szCs w:val="24"/>
              </w:rPr>
              <w:t>根际和根面发生着丰富、多种多样的生物化学作用，将污水中的有机污染物降解、无机化</w:t>
            </w:r>
            <w:r>
              <w:rPr>
                <w:rFonts w:hint="eastAsia"/>
                <w:sz w:val="24"/>
                <w:szCs w:val="24"/>
              </w:rPr>
              <w:t>，</w:t>
            </w:r>
            <w:r>
              <w:rPr>
                <w:sz w:val="24"/>
                <w:szCs w:val="24"/>
              </w:rPr>
              <w:t>再经过土壤、沙石的过滤作用，最终使水质得到净化。</w:t>
            </w:r>
            <w:r>
              <w:rPr>
                <w:rFonts w:hint="eastAsia"/>
                <w:sz w:val="24"/>
                <w:szCs w:val="24"/>
              </w:rPr>
              <w:t>且生活污水水质较简单，通过</w:t>
            </w:r>
            <w:r>
              <w:rPr>
                <w:rFonts w:hint="eastAsia"/>
                <w:kern w:val="0"/>
                <w:sz w:val="24"/>
                <w:szCs w:val="24"/>
              </w:rPr>
              <w:t>“微生物处理</w:t>
            </w:r>
            <w:r>
              <w:rPr>
                <w:kern w:val="0"/>
                <w:sz w:val="24"/>
                <w:szCs w:val="24"/>
              </w:rPr>
              <w:t>+</w:t>
            </w:r>
            <w:r>
              <w:rPr>
                <w:rFonts w:hint="eastAsia"/>
                <w:kern w:val="0"/>
                <w:sz w:val="24"/>
                <w:szCs w:val="24"/>
              </w:rPr>
              <w:t>人工湿地”设施处理后可达到</w:t>
            </w:r>
            <w:r>
              <w:rPr>
                <w:rFonts w:hint="eastAsia"/>
                <w:bCs/>
                <w:sz w:val="24"/>
                <w:szCs w:val="24"/>
              </w:rPr>
              <w:t>《城镇污水处理厂污染物排放标准》</w:t>
            </w:r>
            <w:r>
              <w:rPr>
                <w:bCs/>
                <w:sz w:val="24"/>
                <w:szCs w:val="24"/>
              </w:rPr>
              <w:t>(GB18918-2002)</w:t>
            </w:r>
            <w:r>
              <w:rPr>
                <w:rFonts w:hint="eastAsia"/>
                <w:bCs/>
                <w:sz w:val="24"/>
                <w:szCs w:val="24"/>
              </w:rPr>
              <w:t>二级标准及广东省《水污染物排放限值》</w:t>
            </w:r>
            <w:r>
              <w:rPr>
                <w:bCs/>
                <w:sz w:val="24"/>
                <w:szCs w:val="24"/>
              </w:rPr>
              <w:t>(DB44/26-2001)</w:t>
            </w:r>
            <w:r>
              <w:rPr>
                <w:rFonts w:hint="eastAsia"/>
                <w:bCs/>
                <w:sz w:val="24"/>
                <w:szCs w:val="24"/>
              </w:rPr>
              <w:t>第二时段二级标准</w:t>
            </w:r>
            <w:r>
              <w:rPr>
                <w:bCs/>
                <w:sz w:val="24"/>
                <w:szCs w:val="24"/>
              </w:rPr>
              <w:t>（</w:t>
            </w:r>
            <w:r>
              <w:rPr>
                <w:rFonts w:hint="eastAsia"/>
                <w:bCs/>
                <w:sz w:val="24"/>
                <w:szCs w:val="24"/>
              </w:rPr>
              <w:t>城镇二级污水处理厂</w:t>
            </w:r>
            <w:r>
              <w:rPr>
                <w:bCs/>
                <w:sz w:val="24"/>
                <w:szCs w:val="24"/>
              </w:rPr>
              <w:t>）</w:t>
            </w:r>
            <w:r>
              <w:rPr>
                <w:rFonts w:hint="eastAsia"/>
                <w:bCs/>
                <w:sz w:val="24"/>
                <w:szCs w:val="24"/>
              </w:rPr>
              <w:t>较严者。</w:t>
            </w:r>
          </w:p>
          <w:p w14:paraId="7306530E">
            <w:pPr>
              <w:autoSpaceDE w:val="0"/>
              <w:autoSpaceDN w:val="0"/>
              <w:adjustRightInd w:val="0"/>
              <w:spacing w:line="360" w:lineRule="auto"/>
              <w:ind w:firstLine="480" w:firstLineChars="200"/>
              <w:rPr>
                <w:b/>
                <w:bCs/>
                <w:sz w:val="24"/>
                <w:szCs w:val="24"/>
              </w:rPr>
            </w:pPr>
            <w:r>
              <w:rPr>
                <w:rFonts w:hint="eastAsia"/>
                <w:sz w:val="24"/>
                <w:szCs w:val="24"/>
              </w:rPr>
              <w:t>现有</w:t>
            </w:r>
            <w:r>
              <w:rPr>
                <w:rFonts w:hint="eastAsia"/>
                <w:kern w:val="0"/>
                <w:sz w:val="24"/>
                <w:szCs w:val="24"/>
              </w:rPr>
              <w:t>“微生物处理</w:t>
            </w:r>
            <w:r>
              <w:rPr>
                <w:kern w:val="0"/>
                <w:sz w:val="24"/>
                <w:szCs w:val="24"/>
              </w:rPr>
              <w:t>+</w:t>
            </w:r>
            <w:r>
              <w:rPr>
                <w:rFonts w:hint="eastAsia"/>
                <w:kern w:val="0"/>
                <w:sz w:val="24"/>
                <w:szCs w:val="24"/>
              </w:rPr>
              <w:t>人工湿地”处理设施生活污水处理能力约为6</w:t>
            </w:r>
            <w:r>
              <w:rPr>
                <w:kern w:val="18"/>
                <w:sz w:val="24"/>
                <w:szCs w:val="24"/>
              </w:rPr>
              <w:t>m</w:t>
            </w:r>
            <w:r>
              <w:rPr>
                <w:kern w:val="18"/>
                <w:sz w:val="24"/>
                <w:szCs w:val="24"/>
                <w:vertAlign w:val="superscript"/>
              </w:rPr>
              <w:t>3</w:t>
            </w:r>
            <w:r>
              <w:rPr>
                <w:rFonts w:hint="eastAsia"/>
                <w:kern w:val="18"/>
                <w:sz w:val="24"/>
                <w:szCs w:val="24"/>
              </w:rPr>
              <w:t>/d，改扩建完成后，全厂生活污水处理量约5.25</w:t>
            </w:r>
            <w:r>
              <w:rPr>
                <w:kern w:val="18"/>
                <w:sz w:val="24"/>
                <w:szCs w:val="24"/>
              </w:rPr>
              <w:t>m</w:t>
            </w:r>
            <w:r>
              <w:rPr>
                <w:kern w:val="18"/>
                <w:sz w:val="24"/>
                <w:szCs w:val="24"/>
                <w:vertAlign w:val="superscript"/>
              </w:rPr>
              <w:t>3</w:t>
            </w:r>
            <w:r>
              <w:rPr>
                <w:rFonts w:hint="eastAsia"/>
                <w:kern w:val="18"/>
                <w:sz w:val="24"/>
                <w:szCs w:val="24"/>
              </w:rPr>
              <w:t>/d，设施处理能力足够。</w:t>
            </w:r>
          </w:p>
          <w:p w14:paraId="7585F634">
            <w:pPr>
              <w:autoSpaceDE w:val="0"/>
              <w:autoSpaceDN w:val="0"/>
              <w:adjustRightInd w:val="0"/>
              <w:spacing w:line="360" w:lineRule="auto"/>
              <w:ind w:firstLine="482" w:firstLineChars="200"/>
              <w:rPr>
                <w:b/>
                <w:bCs/>
                <w:sz w:val="24"/>
                <w:szCs w:val="24"/>
              </w:rPr>
            </w:pPr>
            <w:r>
              <w:rPr>
                <w:rFonts w:hint="eastAsia"/>
                <w:b/>
                <w:bCs/>
                <w:sz w:val="24"/>
                <w:szCs w:val="24"/>
              </w:rPr>
              <w:t>（2）锅炉排污水、软水制备浓水和工艺废水</w:t>
            </w:r>
            <w:r>
              <w:rPr>
                <w:b/>
                <w:bCs/>
                <w:sz w:val="24"/>
                <w:szCs w:val="24"/>
              </w:rPr>
              <w:t>处理</w:t>
            </w:r>
            <w:r>
              <w:rPr>
                <w:rFonts w:hint="eastAsia"/>
                <w:b/>
                <w:bCs/>
                <w:sz w:val="24"/>
                <w:szCs w:val="24"/>
              </w:rPr>
              <w:t>工艺及依托可行性</w:t>
            </w:r>
          </w:p>
          <w:p w14:paraId="52873A7E">
            <w:pPr>
              <w:autoSpaceDE w:val="0"/>
              <w:autoSpaceDN w:val="0"/>
              <w:adjustRightInd w:val="0"/>
              <w:spacing w:line="360" w:lineRule="auto"/>
              <w:ind w:firstLine="480" w:firstLineChars="200"/>
              <w:rPr>
                <w:sz w:val="24"/>
                <w:szCs w:val="24"/>
              </w:rPr>
            </w:pPr>
            <w:r>
              <w:rPr>
                <w:rFonts w:hint="eastAsia"/>
                <w:sz w:val="24"/>
                <w:szCs w:val="24"/>
              </w:rPr>
              <w:t>根据《排污许可证申请与核发技术规范 锅炉》（</w:t>
            </w:r>
            <w:r>
              <w:rPr>
                <w:sz w:val="24"/>
                <w:szCs w:val="24"/>
              </w:rPr>
              <w:t>HJ953</w:t>
            </w:r>
            <w:r>
              <w:rPr>
                <w:rFonts w:hint="eastAsia"/>
                <w:sz w:val="24"/>
                <w:szCs w:val="24"/>
              </w:rPr>
              <w:t>—</w:t>
            </w:r>
            <w:r>
              <w:rPr>
                <w:sz w:val="24"/>
                <w:szCs w:val="24"/>
              </w:rPr>
              <w:t>2018</w:t>
            </w:r>
            <w:r>
              <w:rPr>
                <w:rFonts w:hint="eastAsia"/>
                <w:sz w:val="24"/>
                <w:szCs w:val="24"/>
              </w:rPr>
              <w:t>）表</w:t>
            </w:r>
            <w:r>
              <w:rPr>
                <w:sz w:val="24"/>
                <w:szCs w:val="24"/>
              </w:rPr>
              <w:t>9</w:t>
            </w:r>
            <w:r>
              <w:rPr>
                <w:b/>
                <w:bCs/>
                <w:sz w:val="24"/>
                <w:szCs w:val="24"/>
              </w:rPr>
              <w:t xml:space="preserve"> </w:t>
            </w:r>
            <w:r>
              <w:rPr>
                <w:rFonts w:hint="eastAsia"/>
                <w:sz w:val="24"/>
                <w:szCs w:val="24"/>
              </w:rPr>
              <w:t>锅炉废水污染防治可行技术，锅炉生产废水处理的可行技术为一级处理（中和、隔油、氧化、沉淀等）</w:t>
            </w:r>
            <w:r>
              <w:rPr>
                <w:sz w:val="24"/>
                <w:szCs w:val="24"/>
              </w:rPr>
              <w:t>+</w:t>
            </w:r>
            <w:r>
              <w:rPr>
                <w:rFonts w:hint="eastAsia"/>
                <w:sz w:val="24"/>
                <w:szCs w:val="24"/>
              </w:rPr>
              <w:t>二级处理（絮凝</w:t>
            </w:r>
            <w:r>
              <w:rPr>
                <w:sz w:val="24"/>
                <w:szCs w:val="24"/>
              </w:rPr>
              <w:t>/</w:t>
            </w:r>
            <w:r>
              <w:rPr>
                <w:rFonts w:hint="eastAsia"/>
                <w:sz w:val="24"/>
                <w:szCs w:val="24"/>
              </w:rPr>
              <w:t>混凝、澄清、气浮、浓缩、过滤等），本项目</w:t>
            </w:r>
            <w:r>
              <w:rPr>
                <w:sz w:val="24"/>
                <w:szCs w:val="24"/>
              </w:rPr>
              <w:t>锅炉排</w:t>
            </w:r>
            <w:r>
              <w:rPr>
                <w:rFonts w:hint="eastAsia"/>
                <w:sz w:val="24"/>
                <w:szCs w:val="24"/>
              </w:rPr>
              <w:t>污水、软水制备浓水采用</w:t>
            </w:r>
            <w:r>
              <w:rPr>
                <w:rFonts w:hint="eastAsia"/>
                <w:bCs/>
                <w:kern w:val="0"/>
                <w:sz w:val="24"/>
              </w:rPr>
              <w:t>“混凝</w:t>
            </w:r>
            <w:r>
              <w:rPr>
                <w:bCs/>
                <w:kern w:val="0"/>
                <w:sz w:val="24"/>
              </w:rPr>
              <w:t>+</w:t>
            </w:r>
            <w:r>
              <w:rPr>
                <w:rFonts w:hint="eastAsia"/>
                <w:bCs/>
                <w:kern w:val="0"/>
                <w:sz w:val="24"/>
              </w:rPr>
              <w:t>沉淀”设施进行处理</w:t>
            </w:r>
            <w:r>
              <w:rPr>
                <w:rFonts w:hint="eastAsia"/>
                <w:sz w:val="24"/>
                <w:szCs w:val="24"/>
              </w:rPr>
              <w:t>，属于可行技术。</w:t>
            </w:r>
          </w:p>
          <w:p w14:paraId="12D647AC">
            <w:pPr>
              <w:autoSpaceDE w:val="0"/>
              <w:autoSpaceDN w:val="0"/>
              <w:adjustRightInd w:val="0"/>
              <w:spacing w:line="360" w:lineRule="auto"/>
              <w:ind w:firstLine="480" w:firstLineChars="200"/>
              <w:rPr>
                <w:b/>
                <w:bCs/>
                <w:sz w:val="24"/>
                <w:szCs w:val="24"/>
              </w:rPr>
            </w:pPr>
            <w:r>
              <w:rPr>
                <w:rFonts w:hint="eastAsia"/>
                <w:sz w:val="24"/>
                <w:szCs w:val="24"/>
              </w:rPr>
              <w:t>《排污许可证申请与核发技术规范 工业固体废物和危险废物治理》（</w:t>
            </w:r>
            <w:r>
              <w:rPr>
                <w:sz w:val="24"/>
                <w:szCs w:val="24"/>
              </w:rPr>
              <w:t>HJ1033-2019</w:t>
            </w:r>
            <w:r>
              <w:rPr>
                <w:rFonts w:hint="eastAsia"/>
                <w:sz w:val="24"/>
                <w:szCs w:val="24"/>
              </w:rPr>
              <w:t>）附录D</w:t>
            </w:r>
            <w:r>
              <w:rPr>
                <w:sz w:val="24"/>
                <w:szCs w:val="24"/>
              </w:rPr>
              <w:t>表</w:t>
            </w:r>
            <w:r>
              <w:rPr>
                <w:rFonts w:hint="eastAsia"/>
                <w:sz w:val="24"/>
                <w:szCs w:val="24"/>
              </w:rPr>
              <w:t>D</w:t>
            </w:r>
            <w:r>
              <w:rPr>
                <w:sz w:val="24"/>
                <w:szCs w:val="24"/>
              </w:rPr>
              <w:t>.</w:t>
            </w:r>
            <w:r>
              <w:rPr>
                <w:rFonts w:hint="eastAsia"/>
                <w:sz w:val="24"/>
                <w:szCs w:val="24"/>
              </w:rPr>
              <w:t>1未给出对此类工艺废水处理的可行技术。本项目工艺废水是冷凝系统冷凝下来的油水混合物，通过油水分离后形成的废水，废水水质较洁净，但含有微量植物油脂，采用</w:t>
            </w:r>
            <w:r>
              <w:rPr>
                <w:rFonts w:hint="eastAsia"/>
                <w:bCs/>
                <w:kern w:val="0"/>
                <w:sz w:val="24"/>
              </w:rPr>
              <w:t>“混凝</w:t>
            </w:r>
            <w:r>
              <w:rPr>
                <w:bCs/>
                <w:kern w:val="0"/>
                <w:sz w:val="24"/>
              </w:rPr>
              <w:t>+</w:t>
            </w:r>
            <w:r>
              <w:rPr>
                <w:rFonts w:hint="eastAsia"/>
                <w:bCs/>
                <w:kern w:val="0"/>
                <w:sz w:val="24"/>
              </w:rPr>
              <w:t>沉淀”工艺处理后水质可以满足回用于</w:t>
            </w:r>
            <w:r>
              <w:rPr>
                <w:rFonts w:hint="eastAsia"/>
                <w:bCs/>
                <w:sz w:val="24"/>
              </w:rPr>
              <w:t>现有项目蒸炒的要求。</w:t>
            </w:r>
          </w:p>
          <w:p w14:paraId="02180764">
            <w:pPr>
              <w:autoSpaceDE w:val="0"/>
              <w:autoSpaceDN w:val="0"/>
              <w:adjustRightInd w:val="0"/>
              <w:spacing w:line="360" w:lineRule="auto"/>
              <w:ind w:firstLine="480" w:firstLineChars="200"/>
              <w:rPr>
                <w:sz w:val="24"/>
                <w:szCs w:val="24"/>
              </w:rPr>
            </w:pPr>
            <w:r>
              <w:rPr>
                <w:rFonts w:hint="eastAsia"/>
                <w:sz w:val="24"/>
                <w:szCs w:val="24"/>
              </w:rPr>
              <w:t>根据全厂水平衡分析，</w:t>
            </w:r>
            <w:r>
              <w:rPr>
                <w:rFonts w:hint="eastAsia"/>
                <w:kern w:val="18"/>
                <w:sz w:val="24"/>
                <w:szCs w:val="24"/>
              </w:rPr>
              <w:t>本项目产生的</w:t>
            </w:r>
            <w:r>
              <w:rPr>
                <w:sz w:val="24"/>
                <w:szCs w:val="24"/>
              </w:rPr>
              <w:t>锅炉排</w:t>
            </w:r>
            <w:r>
              <w:rPr>
                <w:rFonts w:hint="eastAsia"/>
                <w:sz w:val="24"/>
                <w:szCs w:val="24"/>
              </w:rPr>
              <w:t>污水+软水制备浓水+工艺废水总水量为</w:t>
            </w:r>
            <w:r>
              <w:rPr>
                <w:rFonts w:hint="eastAsia"/>
                <w:kern w:val="18"/>
                <w:sz w:val="24"/>
                <w:szCs w:val="24"/>
              </w:rPr>
              <w:t>18.06</w:t>
            </w:r>
            <w:r>
              <w:rPr>
                <w:kern w:val="18"/>
                <w:sz w:val="24"/>
                <w:szCs w:val="24"/>
              </w:rPr>
              <w:t>m</w:t>
            </w:r>
            <w:r>
              <w:rPr>
                <w:kern w:val="18"/>
                <w:sz w:val="24"/>
                <w:szCs w:val="24"/>
                <w:vertAlign w:val="superscript"/>
              </w:rPr>
              <w:t>3</w:t>
            </w:r>
            <w:r>
              <w:rPr>
                <w:rFonts w:hint="eastAsia"/>
                <w:kern w:val="18"/>
                <w:sz w:val="24"/>
                <w:szCs w:val="24"/>
              </w:rPr>
              <w:t>/d（5418</w:t>
            </w:r>
            <w:r>
              <w:rPr>
                <w:kern w:val="18"/>
                <w:sz w:val="24"/>
                <w:szCs w:val="24"/>
              </w:rPr>
              <w:t>m</w:t>
            </w:r>
            <w:r>
              <w:rPr>
                <w:kern w:val="18"/>
                <w:sz w:val="24"/>
                <w:szCs w:val="24"/>
                <w:vertAlign w:val="superscript"/>
              </w:rPr>
              <w:t>3</w:t>
            </w:r>
            <w:r>
              <w:rPr>
                <w:rFonts w:hint="eastAsia"/>
                <w:kern w:val="18"/>
                <w:sz w:val="24"/>
                <w:szCs w:val="24"/>
              </w:rPr>
              <w:t>/a），全部回用于</w:t>
            </w:r>
            <w:r>
              <w:rPr>
                <w:rFonts w:hint="eastAsia"/>
                <w:sz w:val="24"/>
                <w:szCs w:val="24"/>
              </w:rPr>
              <w:t>现有项目</w:t>
            </w:r>
            <w:r>
              <w:rPr>
                <w:rFonts w:hint="eastAsia"/>
                <w:bCs/>
                <w:sz w:val="24"/>
              </w:rPr>
              <w:t>蒸炒后，现有项目蒸炒仍需用新鲜水</w:t>
            </w:r>
            <w:r>
              <w:rPr>
                <w:rFonts w:hint="eastAsia"/>
                <w:kern w:val="18"/>
                <w:sz w:val="24"/>
                <w:szCs w:val="24"/>
              </w:rPr>
              <w:t>5.42</w:t>
            </w:r>
            <w:r>
              <w:rPr>
                <w:kern w:val="18"/>
                <w:sz w:val="24"/>
                <w:szCs w:val="24"/>
              </w:rPr>
              <w:t>m</w:t>
            </w:r>
            <w:r>
              <w:rPr>
                <w:kern w:val="18"/>
                <w:sz w:val="24"/>
                <w:szCs w:val="24"/>
                <w:vertAlign w:val="superscript"/>
              </w:rPr>
              <w:t>3</w:t>
            </w:r>
            <w:r>
              <w:rPr>
                <w:rFonts w:hint="eastAsia"/>
                <w:kern w:val="18"/>
                <w:sz w:val="24"/>
                <w:szCs w:val="24"/>
              </w:rPr>
              <w:t>/d（1626</w:t>
            </w:r>
            <w:r>
              <w:rPr>
                <w:kern w:val="18"/>
                <w:sz w:val="24"/>
                <w:szCs w:val="24"/>
              </w:rPr>
              <w:t>m</w:t>
            </w:r>
            <w:r>
              <w:rPr>
                <w:kern w:val="18"/>
                <w:sz w:val="24"/>
                <w:szCs w:val="24"/>
                <w:vertAlign w:val="superscript"/>
              </w:rPr>
              <w:t>3</w:t>
            </w:r>
            <w:r>
              <w:rPr>
                <w:rFonts w:hint="eastAsia"/>
                <w:kern w:val="18"/>
                <w:sz w:val="24"/>
                <w:szCs w:val="24"/>
              </w:rPr>
              <w:t>/a）。因此上述废水能够全部回用于蒸炒，全部被蒸炒工序消耗。</w:t>
            </w:r>
          </w:p>
          <w:p w14:paraId="2F9ADC1F">
            <w:pPr>
              <w:adjustRightInd w:val="0"/>
              <w:snapToGrid w:val="0"/>
              <w:spacing w:line="360" w:lineRule="auto"/>
              <w:ind w:firstLine="480" w:firstLineChars="200"/>
              <w:rPr>
                <w:bCs/>
                <w:spacing w:val="-10"/>
                <w:sz w:val="24"/>
              </w:rPr>
            </w:pPr>
            <w:r>
              <w:rPr>
                <w:sz w:val="24"/>
                <w:szCs w:val="24"/>
              </w:rPr>
              <w:t>综上所述，</w:t>
            </w:r>
            <w:r>
              <w:rPr>
                <w:rFonts w:hint="eastAsia"/>
                <w:sz w:val="24"/>
                <w:szCs w:val="24"/>
              </w:rPr>
              <w:t>改扩建</w:t>
            </w:r>
            <w:r>
              <w:rPr>
                <w:sz w:val="24"/>
                <w:szCs w:val="24"/>
              </w:rPr>
              <w:t>项目生活污水</w:t>
            </w:r>
            <w:r>
              <w:rPr>
                <w:rFonts w:hint="eastAsia"/>
                <w:sz w:val="24"/>
                <w:szCs w:val="24"/>
              </w:rPr>
              <w:t>依托现有</w:t>
            </w:r>
            <w:r>
              <w:rPr>
                <w:rFonts w:hint="eastAsia"/>
                <w:kern w:val="0"/>
                <w:sz w:val="24"/>
                <w:szCs w:val="24"/>
              </w:rPr>
              <w:t>“微生物处理</w:t>
            </w:r>
            <w:r>
              <w:rPr>
                <w:kern w:val="0"/>
                <w:sz w:val="24"/>
                <w:szCs w:val="24"/>
              </w:rPr>
              <w:t>+</w:t>
            </w:r>
            <w:r>
              <w:rPr>
                <w:rFonts w:hint="eastAsia"/>
                <w:kern w:val="0"/>
                <w:sz w:val="24"/>
                <w:szCs w:val="24"/>
              </w:rPr>
              <w:t>人工湿地”设施处理达标后</w:t>
            </w:r>
            <w:r>
              <w:rPr>
                <w:rFonts w:hint="eastAsia"/>
                <w:bCs/>
                <w:kern w:val="0"/>
                <w:sz w:val="24"/>
                <w:szCs w:val="24"/>
              </w:rPr>
              <w:t>用于山林灌溉不外排</w:t>
            </w:r>
            <w:r>
              <w:rPr>
                <w:rFonts w:hint="eastAsia"/>
                <w:kern w:val="0"/>
                <w:sz w:val="24"/>
                <w:szCs w:val="24"/>
              </w:rPr>
              <w:t>，</w:t>
            </w:r>
            <w:r>
              <w:rPr>
                <w:kern w:val="0"/>
                <w:sz w:val="24"/>
                <w:szCs w:val="24"/>
              </w:rPr>
              <w:t>锅炉排</w:t>
            </w:r>
            <w:r>
              <w:rPr>
                <w:rFonts w:hint="eastAsia"/>
                <w:kern w:val="0"/>
                <w:sz w:val="24"/>
                <w:szCs w:val="24"/>
              </w:rPr>
              <w:t>污水、软水制备浓水和工艺废水经预处理后全部回用于现有项目蒸炒工序不外排，不会对地表水造成不良影响，</w:t>
            </w:r>
            <w:r>
              <w:rPr>
                <w:sz w:val="24"/>
                <w:szCs w:val="24"/>
              </w:rPr>
              <w:t>其地表水环境影响是可接受的。</w:t>
            </w:r>
          </w:p>
          <w:p w14:paraId="20D2116C">
            <w:pPr>
              <w:adjustRightInd w:val="0"/>
              <w:snapToGrid w:val="0"/>
              <w:spacing w:line="360" w:lineRule="auto"/>
              <w:ind w:firstLine="482" w:firstLineChars="200"/>
              <w:rPr>
                <w:b/>
                <w:bCs/>
                <w:sz w:val="24"/>
              </w:rPr>
            </w:pPr>
            <w:r>
              <w:rPr>
                <w:b/>
                <w:bCs/>
                <w:sz w:val="24"/>
              </w:rPr>
              <w:t>3.噪声</w:t>
            </w:r>
          </w:p>
          <w:p w14:paraId="35F32225">
            <w:pPr>
              <w:adjustRightInd w:val="0"/>
              <w:snapToGrid w:val="0"/>
              <w:spacing w:line="360" w:lineRule="auto"/>
              <w:ind w:firstLine="482" w:firstLineChars="200"/>
              <w:rPr>
                <w:b/>
                <w:bCs/>
                <w:sz w:val="24"/>
              </w:rPr>
            </w:pPr>
            <w:r>
              <w:rPr>
                <w:b/>
                <w:bCs/>
                <w:sz w:val="24"/>
              </w:rPr>
              <w:t>3.1噪声源强</w:t>
            </w:r>
          </w:p>
          <w:p w14:paraId="4B71AAF9">
            <w:pPr>
              <w:adjustRightInd w:val="0"/>
              <w:snapToGrid w:val="0"/>
              <w:spacing w:line="360" w:lineRule="auto"/>
              <w:ind w:firstLine="480" w:firstLineChars="200"/>
              <w:rPr>
                <w:sz w:val="24"/>
              </w:rPr>
            </w:pPr>
            <w:r>
              <w:rPr>
                <w:sz w:val="24"/>
              </w:rPr>
              <w:t>项目噪声源主要为</w:t>
            </w:r>
            <w:r>
              <w:rPr>
                <w:rFonts w:hint="eastAsia"/>
                <w:sz w:val="24"/>
              </w:rPr>
              <w:t>造粒机、蒸发器、冷凝器、冷却塔和废气设备风机</w:t>
            </w:r>
            <w:r>
              <w:rPr>
                <w:sz w:val="24"/>
              </w:rPr>
              <w:t>等运行过程中产生的噪声，单台设备产生的噪声值约为70～85dB（A）。</w:t>
            </w:r>
            <w:r>
              <w:rPr>
                <w:rFonts w:hint="eastAsia"/>
                <w:sz w:val="24"/>
              </w:rPr>
              <w:t>项目噪声源情况</w:t>
            </w:r>
            <w:r>
              <w:rPr>
                <w:sz w:val="24"/>
              </w:rPr>
              <w:t>见表</w:t>
            </w:r>
            <w:r>
              <w:rPr>
                <w:rFonts w:hint="eastAsia"/>
                <w:sz w:val="24"/>
              </w:rPr>
              <w:t>4-16</w:t>
            </w:r>
            <w:r>
              <w:rPr>
                <w:sz w:val="24"/>
              </w:rPr>
              <w:t>。</w:t>
            </w:r>
          </w:p>
          <w:p w14:paraId="62B901E0">
            <w:pPr>
              <w:pStyle w:val="12"/>
              <w:ind w:left="0" w:leftChars="0" w:firstLine="0" w:firstLineChars="0"/>
              <w:jc w:val="center"/>
              <w:rPr>
                <w:b/>
              </w:rPr>
            </w:pPr>
            <w:r>
              <w:rPr>
                <w:b/>
              </w:rPr>
              <w:t>表4-1</w:t>
            </w:r>
            <w:r>
              <w:rPr>
                <w:rFonts w:hint="eastAsia"/>
                <w:b/>
              </w:rPr>
              <w:t>6</w:t>
            </w:r>
            <w:r>
              <w:rPr>
                <w:b/>
              </w:rPr>
              <w:t xml:space="preserve"> 项目主要噪声源</w:t>
            </w:r>
            <w:r>
              <w:rPr>
                <w:rFonts w:hint="eastAsia"/>
                <w:b/>
              </w:rPr>
              <w:t>情况</w:t>
            </w:r>
            <w:r>
              <w:rPr>
                <w:b/>
              </w:rPr>
              <w:t>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
              <w:gridCol w:w="821"/>
              <w:gridCol w:w="1364"/>
              <w:gridCol w:w="729"/>
              <w:gridCol w:w="1098"/>
              <w:gridCol w:w="725"/>
              <w:gridCol w:w="1011"/>
              <w:gridCol w:w="1261"/>
              <w:gridCol w:w="1023"/>
            </w:tblGrid>
            <w:tr w14:paraId="7038B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4" w:type="pct"/>
                  <w:vAlign w:val="center"/>
                </w:tcPr>
                <w:p w14:paraId="6E89CC08">
                  <w:pPr>
                    <w:widowControl/>
                    <w:jc w:val="center"/>
                    <w:rPr>
                      <w:rFonts w:cs="宋体"/>
                      <w:b/>
                      <w:bCs/>
                      <w:kern w:val="0"/>
                    </w:rPr>
                  </w:pPr>
                  <w:r>
                    <w:rPr>
                      <w:rFonts w:hint="eastAsia" w:cs="宋体"/>
                      <w:b/>
                      <w:bCs/>
                      <w:kern w:val="0"/>
                    </w:rPr>
                    <w:t>序号</w:t>
                  </w:r>
                </w:p>
              </w:tc>
              <w:tc>
                <w:tcPr>
                  <w:tcW w:w="480" w:type="pct"/>
                  <w:vAlign w:val="center"/>
                </w:tcPr>
                <w:p w14:paraId="3765510F">
                  <w:pPr>
                    <w:widowControl/>
                    <w:jc w:val="center"/>
                    <w:rPr>
                      <w:rFonts w:cs="宋体"/>
                      <w:b/>
                      <w:bCs/>
                      <w:kern w:val="0"/>
                    </w:rPr>
                  </w:pPr>
                  <w:r>
                    <w:rPr>
                      <w:rFonts w:hint="eastAsia" w:cs="宋体"/>
                      <w:b/>
                      <w:bCs/>
                      <w:kern w:val="0"/>
                    </w:rPr>
                    <w:t>声源</w:t>
                  </w:r>
                </w:p>
                <w:p w14:paraId="44E3738E">
                  <w:pPr>
                    <w:widowControl/>
                    <w:jc w:val="center"/>
                    <w:rPr>
                      <w:rFonts w:cs="宋体"/>
                      <w:b/>
                      <w:bCs/>
                      <w:kern w:val="0"/>
                    </w:rPr>
                  </w:pPr>
                  <w:r>
                    <w:rPr>
                      <w:rFonts w:hint="eastAsia" w:cs="宋体"/>
                      <w:b/>
                      <w:bCs/>
                      <w:kern w:val="0"/>
                    </w:rPr>
                    <w:t>位置</w:t>
                  </w:r>
                </w:p>
              </w:tc>
              <w:tc>
                <w:tcPr>
                  <w:tcW w:w="797" w:type="pct"/>
                  <w:vAlign w:val="center"/>
                </w:tcPr>
                <w:p w14:paraId="64D4F6E2">
                  <w:pPr>
                    <w:widowControl/>
                    <w:jc w:val="center"/>
                    <w:rPr>
                      <w:rFonts w:cs="宋体"/>
                      <w:b/>
                      <w:bCs/>
                      <w:kern w:val="0"/>
                    </w:rPr>
                  </w:pPr>
                  <w:r>
                    <w:rPr>
                      <w:rFonts w:hint="eastAsia" w:cs="宋体"/>
                      <w:b/>
                      <w:bCs/>
                      <w:kern w:val="0"/>
                    </w:rPr>
                    <w:t>设备名称</w:t>
                  </w:r>
                </w:p>
              </w:tc>
              <w:tc>
                <w:tcPr>
                  <w:tcW w:w="426" w:type="pct"/>
                  <w:vAlign w:val="center"/>
                </w:tcPr>
                <w:p w14:paraId="5910364F">
                  <w:pPr>
                    <w:widowControl/>
                    <w:jc w:val="center"/>
                    <w:rPr>
                      <w:rFonts w:cs="宋体"/>
                      <w:b/>
                      <w:bCs/>
                      <w:kern w:val="0"/>
                    </w:rPr>
                  </w:pPr>
                  <w:r>
                    <w:rPr>
                      <w:rFonts w:hint="eastAsia" w:cs="宋体"/>
                      <w:b/>
                      <w:bCs/>
                      <w:kern w:val="0"/>
                    </w:rPr>
                    <w:t>数量</w:t>
                  </w:r>
                </w:p>
              </w:tc>
              <w:tc>
                <w:tcPr>
                  <w:tcW w:w="642" w:type="pct"/>
                  <w:vAlign w:val="center"/>
                </w:tcPr>
                <w:p w14:paraId="5E00585A">
                  <w:pPr>
                    <w:widowControl/>
                    <w:jc w:val="center"/>
                    <w:rPr>
                      <w:rFonts w:cs="宋体"/>
                      <w:b/>
                      <w:bCs/>
                      <w:kern w:val="0"/>
                    </w:rPr>
                  </w:pPr>
                  <w:r>
                    <w:rPr>
                      <w:rFonts w:hint="eastAsia" w:cs="宋体"/>
                      <w:b/>
                      <w:bCs/>
                      <w:kern w:val="0"/>
                    </w:rPr>
                    <w:t>单台设备源强</w:t>
                  </w:r>
                  <w:r>
                    <w:rPr>
                      <w:b/>
                      <w:bCs/>
                      <w:kern w:val="0"/>
                    </w:rPr>
                    <w:t>dB(A)</w:t>
                  </w:r>
                </w:p>
              </w:tc>
              <w:tc>
                <w:tcPr>
                  <w:tcW w:w="424" w:type="pct"/>
                  <w:vAlign w:val="center"/>
                </w:tcPr>
                <w:p w14:paraId="4E4A64DD">
                  <w:pPr>
                    <w:widowControl/>
                    <w:jc w:val="center"/>
                    <w:rPr>
                      <w:rFonts w:cs="宋体"/>
                      <w:b/>
                      <w:bCs/>
                      <w:kern w:val="0"/>
                    </w:rPr>
                  </w:pPr>
                  <w:r>
                    <w:rPr>
                      <w:rFonts w:hint="eastAsia" w:cs="宋体"/>
                      <w:b/>
                      <w:bCs/>
                      <w:kern w:val="0"/>
                    </w:rPr>
                    <w:t>降噪措施</w:t>
                  </w:r>
                </w:p>
              </w:tc>
              <w:tc>
                <w:tcPr>
                  <w:tcW w:w="591" w:type="pct"/>
                  <w:vAlign w:val="center"/>
                </w:tcPr>
                <w:p w14:paraId="170C48E8">
                  <w:pPr>
                    <w:widowControl/>
                    <w:jc w:val="center"/>
                    <w:rPr>
                      <w:rFonts w:cs="宋体"/>
                      <w:b/>
                      <w:bCs/>
                      <w:kern w:val="0"/>
                    </w:rPr>
                  </w:pPr>
                  <w:r>
                    <w:rPr>
                      <w:rFonts w:hint="eastAsia" w:cs="宋体"/>
                      <w:b/>
                      <w:bCs/>
                      <w:kern w:val="0"/>
                    </w:rPr>
                    <w:t>降噪</w:t>
                  </w:r>
                </w:p>
                <w:p w14:paraId="4D559EDB">
                  <w:pPr>
                    <w:widowControl/>
                    <w:jc w:val="center"/>
                    <w:rPr>
                      <w:rFonts w:cs="宋体"/>
                      <w:b/>
                      <w:bCs/>
                      <w:kern w:val="0"/>
                    </w:rPr>
                  </w:pPr>
                  <w:r>
                    <w:rPr>
                      <w:rFonts w:hint="eastAsia" w:cs="宋体"/>
                      <w:b/>
                      <w:bCs/>
                      <w:kern w:val="0"/>
                    </w:rPr>
                    <w:t>效果dB(A)</w:t>
                  </w:r>
                </w:p>
              </w:tc>
              <w:tc>
                <w:tcPr>
                  <w:tcW w:w="737" w:type="pct"/>
                  <w:vAlign w:val="center"/>
                </w:tcPr>
                <w:p w14:paraId="68BC28B3">
                  <w:pPr>
                    <w:widowControl/>
                    <w:jc w:val="center"/>
                    <w:rPr>
                      <w:rFonts w:cs="宋体"/>
                      <w:b/>
                      <w:bCs/>
                      <w:kern w:val="0"/>
                    </w:rPr>
                  </w:pPr>
                  <w:r>
                    <w:rPr>
                      <w:rFonts w:hint="eastAsia" w:cs="宋体"/>
                      <w:b/>
                      <w:bCs/>
                      <w:kern w:val="0"/>
                    </w:rPr>
                    <w:t>单台设备排放强度</w:t>
                  </w:r>
                  <w:r>
                    <w:rPr>
                      <w:b/>
                      <w:bCs/>
                      <w:kern w:val="0"/>
                    </w:rPr>
                    <w:t>dB(A)</w:t>
                  </w:r>
                </w:p>
              </w:tc>
              <w:tc>
                <w:tcPr>
                  <w:tcW w:w="598" w:type="pct"/>
                  <w:vAlign w:val="center"/>
                </w:tcPr>
                <w:p w14:paraId="15723F82">
                  <w:pPr>
                    <w:widowControl/>
                    <w:jc w:val="center"/>
                    <w:rPr>
                      <w:rFonts w:cs="宋体"/>
                      <w:b/>
                      <w:bCs/>
                      <w:kern w:val="0"/>
                    </w:rPr>
                  </w:pPr>
                  <w:r>
                    <w:rPr>
                      <w:rFonts w:hint="eastAsia" w:cs="宋体"/>
                      <w:b/>
                      <w:bCs/>
                      <w:kern w:val="0"/>
                    </w:rPr>
                    <w:t>持续</w:t>
                  </w:r>
                </w:p>
                <w:p w14:paraId="5AFB27F4">
                  <w:pPr>
                    <w:widowControl/>
                    <w:jc w:val="center"/>
                    <w:rPr>
                      <w:rFonts w:cs="宋体"/>
                      <w:b/>
                      <w:bCs/>
                      <w:kern w:val="0"/>
                    </w:rPr>
                  </w:pPr>
                  <w:r>
                    <w:rPr>
                      <w:rFonts w:hint="eastAsia" w:cs="宋体"/>
                      <w:b/>
                      <w:bCs/>
                      <w:kern w:val="0"/>
                    </w:rPr>
                    <w:t>时间(h/a)</w:t>
                  </w:r>
                </w:p>
              </w:tc>
            </w:tr>
            <w:tr w14:paraId="2B22C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4" w:type="pct"/>
                  <w:vAlign w:val="center"/>
                </w:tcPr>
                <w:p w14:paraId="4A0430BB">
                  <w:pPr>
                    <w:widowControl/>
                    <w:jc w:val="center"/>
                    <w:rPr>
                      <w:kern w:val="0"/>
                    </w:rPr>
                  </w:pPr>
                  <w:r>
                    <w:rPr>
                      <w:kern w:val="0"/>
                    </w:rPr>
                    <w:t>1</w:t>
                  </w:r>
                </w:p>
              </w:tc>
              <w:tc>
                <w:tcPr>
                  <w:tcW w:w="480" w:type="pct"/>
                  <w:vMerge w:val="restart"/>
                  <w:vAlign w:val="center"/>
                </w:tcPr>
                <w:p w14:paraId="1DCE407D">
                  <w:pPr>
                    <w:widowControl/>
                    <w:jc w:val="center"/>
                    <w:rPr>
                      <w:rFonts w:cs="宋体"/>
                      <w:kern w:val="0"/>
                    </w:rPr>
                  </w:pPr>
                  <w:r>
                    <w:rPr>
                      <w:rFonts w:hint="eastAsia" w:cs="宋体"/>
                      <w:kern w:val="0"/>
                    </w:rPr>
                    <w:t>车间内</w:t>
                  </w:r>
                </w:p>
              </w:tc>
              <w:tc>
                <w:tcPr>
                  <w:tcW w:w="797" w:type="pct"/>
                  <w:vAlign w:val="center"/>
                </w:tcPr>
                <w:p w14:paraId="0C8CCAFD">
                  <w:pPr>
                    <w:widowControl/>
                    <w:jc w:val="center"/>
                    <w:rPr>
                      <w:rFonts w:cs="宋体"/>
                      <w:kern w:val="0"/>
                    </w:rPr>
                  </w:pPr>
                  <w:r>
                    <w:rPr>
                      <w:rFonts w:hint="eastAsia" w:cs="宋体"/>
                      <w:kern w:val="0"/>
                    </w:rPr>
                    <w:t>造粒机</w:t>
                  </w:r>
                </w:p>
              </w:tc>
              <w:tc>
                <w:tcPr>
                  <w:tcW w:w="426" w:type="pct"/>
                  <w:vAlign w:val="center"/>
                </w:tcPr>
                <w:p w14:paraId="1053FBA5">
                  <w:pPr>
                    <w:widowControl/>
                    <w:jc w:val="center"/>
                    <w:rPr>
                      <w:kern w:val="0"/>
                    </w:rPr>
                  </w:pPr>
                  <w:r>
                    <w:rPr>
                      <w:rFonts w:hint="eastAsia"/>
                      <w:kern w:val="0"/>
                    </w:rPr>
                    <w:t>2</w:t>
                  </w:r>
                  <w:r>
                    <w:rPr>
                      <w:rFonts w:hint="eastAsia" w:cs="宋体"/>
                      <w:kern w:val="0"/>
                    </w:rPr>
                    <w:t>套</w:t>
                  </w:r>
                </w:p>
              </w:tc>
              <w:tc>
                <w:tcPr>
                  <w:tcW w:w="642" w:type="pct"/>
                  <w:vAlign w:val="center"/>
                </w:tcPr>
                <w:p w14:paraId="00E9911B">
                  <w:pPr>
                    <w:widowControl/>
                    <w:jc w:val="center"/>
                    <w:rPr>
                      <w:kern w:val="0"/>
                    </w:rPr>
                  </w:pPr>
                  <w:r>
                    <w:rPr>
                      <w:rFonts w:hint="eastAsia"/>
                      <w:kern w:val="0"/>
                    </w:rPr>
                    <w:t>70</w:t>
                  </w:r>
                </w:p>
              </w:tc>
              <w:tc>
                <w:tcPr>
                  <w:tcW w:w="424" w:type="pct"/>
                  <w:vMerge w:val="restart"/>
                  <w:vAlign w:val="center"/>
                </w:tcPr>
                <w:p w14:paraId="1B707A13">
                  <w:pPr>
                    <w:widowControl/>
                    <w:jc w:val="center"/>
                    <w:rPr>
                      <w:rFonts w:cs="宋体"/>
                      <w:kern w:val="0"/>
                    </w:rPr>
                  </w:pPr>
                  <w:r>
                    <w:rPr>
                      <w:rFonts w:hint="eastAsia" w:cs="宋体"/>
                      <w:kern w:val="0"/>
                    </w:rPr>
                    <w:t>减震、厂房隔音</w:t>
                  </w:r>
                </w:p>
              </w:tc>
              <w:tc>
                <w:tcPr>
                  <w:tcW w:w="591" w:type="pct"/>
                  <w:noWrap/>
                  <w:vAlign w:val="center"/>
                </w:tcPr>
                <w:p w14:paraId="4507E666">
                  <w:pPr>
                    <w:widowControl/>
                    <w:jc w:val="center"/>
                    <w:rPr>
                      <w:rFonts w:cs="宋体"/>
                      <w:kern w:val="0"/>
                      <w:szCs w:val="22"/>
                    </w:rPr>
                  </w:pPr>
                  <w:r>
                    <w:rPr>
                      <w:rFonts w:hint="eastAsia" w:cs="宋体"/>
                      <w:kern w:val="0"/>
                      <w:szCs w:val="22"/>
                    </w:rPr>
                    <w:t>20</w:t>
                  </w:r>
                </w:p>
              </w:tc>
              <w:tc>
                <w:tcPr>
                  <w:tcW w:w="737" w:type="pct"/>
                  <w:noWrap/>
                  <w:vAlign w:val="center"/>
                </w:tcPr>
                <w:p w14:paraId="5B1E9E93">
                  <w:pPr>
                    <w:widowControl/>
                    <w:jc w:val="center"/>
                    <w:rPr>
                      <w:rFonts w:cs="宋体"/>
                      <w:kern w:val="0"/>
                      <w:szCs w:val="22"/>
                    </w:rPr>
                  </w:pPr>
                  <w:r>
                    <w:rPr>
                      <w:rFonts w:hint="eastAsia" w:cs="宋体"/>
                      <w:kern w:val="0"/>
                      <w:szCs w:val="22"/>
                    </w:rPr>
                    <w:t>50</w:t>
                  </w:r>
                </w:p>
              </w:tc>
              <w:tc>
                <w:tcPr>
                  <w:tcW w:w="598" w:type="pct"/>
                  <w:noWrap/>
                  <w:vAlign w:val="center"/>
                </w:tcPr>
                <w:p w14:paraId="40B64285">
                  <w:pPr>
                    <w:widowControl/>
                    <w:jc w:val="center"/>
                    <w:rPr>
                      <w:rFonts w:cs="宋体"/>
                      <w:kern w:val="0"/>
                      <w:szCs w:val="22"/>
                    </w:rPr>
                  </w:pPr>
                  <w:r>
                    <w:rPr>
                      <w:rFonts w:hint="eastAsia" w:cs="宋体"/>
                      <w:kern w:val="0"/>
                      <w:szCs w:val="22"/>
                    </w:rPr>
                    <w:t>7200</w:t>
                  </w:r>
                </w:p>
              </w:tc>
            </w:tr>
            <w:tr w14:paraId="2FD8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4" w:type="pct"/>
                  <w:vAlign w:val="center"/>
                </w:tcPr>
                <w:p w14:paraId="71793370">
                  <w:pPr>
                    <w:widowControl/>
                    <w:jc w:val="center"/>
                    <w:rPr>
                      <w:kern w:val="0"/>
                    </w:rPr>
                  </w:pPr>
                  <w:r>
                    <w:rPr>
                      <w:kern w:val="0"/>
                    </w:rPr>
                    <w:t>2</w:t>
                  </w:r>
                </w:p>
              </w:tc>
              <w:tc>
                <w:tcPr>
                  <w:tcW w:w="480" w:type="pct"/>
                  <w:vMerge w:val="continue"/>
                  <w:vAlign w:val="center"/>
                </w:tcPr>
                <w:p w14:paraId="51B75309">
                  <w:pPr>
                    <w:widowControl/>
                    <w:jc w:val="center"/>
                    <w:rPr>
                      <w:rFonts w:cs="宋体"/>
                      <w:kern w:val="0"/>
                    </w:rPr>
                  </w:pPr>
                </w:p>
              </w:tc>
              <w:tc>
                <w:tcPr>
                  <w:tcW w:w="797" w:type="pct"/>
                  <w:vAlign w:val="center"/>
                </w:tcPr>
                <w:p w14:paraId="00F96A26">
                  <w:pPr>
                    <w:widowControl/>
                    <w:jc w:val="center"/>
                    <w:rPr>
                      <w:rFonts w:cs="宋体"/>
                      <w:kern w:val="0"/>
                    </w:rPr>
                  </w:pPr>
                  <w:r>
                    <w:rPr>
                      <w:rFonts w:hint="eastAsia" w:cs="宋体"/>
                      <w:kern w:val="0"/>
                    </w:rPr>
                    <w:t>蒸发器</w:t>
                  </w:r>
                </w:p>
              </w:tc>
              <w:tc>
                <w:tcPr>
                  <w:tcW w:w="426" w:type="pct"/>
                  <w:vAlign w:val="center"/>
                </w:tcPr>
                <w:p w14:paraId="7B69DA2A">
                  <w:pPr>
                    <w:widowControl/>
                    <w:jc w:val="center"/>
                    <w:rPr>
                      <w:kern w:val="0"/>
                    </w:rPr>
                  </w:pPr>
                  <w:r>
                    <w:rPr>
                      <w:rFonts w:hint="eastAsia"/>
                      <w:kern w:val="0"/>
                    </w:rPr>
                    <w:t>3</w:t>
                  </w:r>
                  <w:r>
                    <w:rPr>
                      <w:rFonts w:hint="eastAsia" w:cs="宋体"/>
                      <w:kern w:val="0"/>
                    </w:rPr>
                    <w:t>台</w:t>
                  </w:r>
                </w:p>
              </w:tc>
              <w:tc>
                <w:tcPr>
                  <w:tcW w:w="642" w:type="pct"/>
                  <w:vAlign w:val="center"/>
                </w:tcPr>
                <w:p w14:paraId="26E37D77">
                  <w:pPr>
                    <w:widowControl/>
                    <w:jc w:val="center"/>
                    <w:rPr>
                      <w:kern w:val="0"/>
                    </w:rPr>
                  </w:pPr>
                  <w:r>
                    <w:rPr>
                      <w:rFonts w:hint="eastAsia"/>
                      <w:kern w:val="0"/>
                    </w:rPr>
                    <w:t>85</w:t>
                  </w:r>
                </w:p>
              </w:tc>
              <w:tc>
                <w:tcPr>
                  <w:tcW w:w="424" w:type="pct"/>
                  <w:vMerge w:val="continue"/>
                  <w:vAlign w:val="center"/>
                </w:tcPr>
                <w:p w14:paraId="0050F528">
                  <w:pPr>
                    <w:widowControl/>
                    <w:jc w:val="center"/>
                    <w:rPr>
                      <w:rFonts w:cs="宋体"/>
                      <w:kern w:val="0"/>
                    </w:rPr>
                  </w:pPr>
                </w:p>
              </w:tc>
              <w:tc>
                <w:tcPr>
                  <w:tcW w:w="591" w:type="pct"/>
                  <w:noWrap/>
                  <w:vAlign w:val="center"/>
                </w:tcPr>
                <w:p w14:paraId="3CD9B87A">
                  <w:pPr>
                    <w:widowControl/>
                    <w:jc w:val="center"/>
                    <w:rPr>
                      <w:rFonts w:cs="宋体"/>
                      <w:kern w:val="0"/>
                      <w:szCs w:val="22"/>
                    </w:rPr>
                  </w:pPr>
                  <w:r>
                    <w:rPr>
                      <w:rFonts w:hint="eastAsia" w:cs="宋体"/>
                      <w:kern w:val="0"/>
                      <w:szCs w:val="22"/>
                    </w:rPr>
                    <w:t>20</w:t>
                  </w:r>
                </w:p>
              </w:tc>
              <w:tc>
                <w:tcPr>
                  <w:tcW w:w="737" w:type="pct"/>
                  <w:noWrap/>
                  <w:vAlign w:val="center"/>
                </w:tcPr>
                <w:p w14:paraId="0786FBF6">
                  <w:pPr>
                    <w:widowControl/>
                    <w:jc w:val="center"/>
                    <w:rPr>
                      <w:rFonts w:cs="宋体"/>
                      <w:kern w:val="0"/>
                      <w:szCs w:val="22"/>
                    </w:rPr>
                  </w:pPr>
                  <w:r>
                    <w:rPr>
                      <w:rFonts w:hint="eastAsia" w:cs="宋体"/>
                      <w:kern w:val="0"/>
                      <w:szCs w:val="22"/>
                    </w:rPr>
                    <w:t>65</w:t>
                  </w:r>
                </w:p>
              </w:tc>
              <w:tc>
                <w:tcPr>
                  <w:tcW w:w="598" w:type="pct"/>
                  <w:noWrap/>
                  <w:vAlign w:val="center"/>
                </w:tcPr>
                <w:p w14:paraId="607CD3D9">
                  <w:pPr>
                    <w:widowControl/>
                    <w:jc w:val="center"/>
                    <w:rPr>
                      <w:rFonts w:cs="宋体"/>
                      <w:kern w:val="0"/>
                      <w:szCs w:val="22"/>
                    </w:rPr>
                  </w:pPr>
                  <w:r>
                    <w:rPr>
                      <w:rFonts w:hint="eastAsia" w:cs="宋体"/>
                      <w:kern w:val="0"/>
                      <w:szCs w:val="22"/>
                    </w:rPr>
                    <w:t>7200</w:t>
                  </w:r>
                </w:p>
              </w:tc>
            </w:tr>
            <w:tr w14:paraId="3708A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04" w:type="pct"/>
                  <w:vAlign w:val="center"/>
                </w:tcPr>
                <w:p w14:paraId="0F021647">
                  <w:pPr>
                    <w:widowControl/>
                    <w:jc w:val="center"/>
                    <w:rPr>
                      <w:kern w:val="0"/>
                    </w:rPr>
                  </w:pPr>
                  <w:r>
                    <w:rPr>
                      <w:kern w:val="0"/>
                    </w:rPr>
                    <w:t>3</w:t>
                  </w:r>
                </w:p>
              </w:tc>
              <w:tc>
                <w:tcPr>
                  <w:tcW w:w="480" w:type="pct"/>
                  <w:vMerge w:val="continue"/>
                  <w:vAlign w:val="center"/>
                </w:tcPr>
                <w:p w14:paraId="5E1D60F5">
                  <w:pPr>
                    <w:widowControl/>
                    <w:jc w:val="center"/>
                    <w:rPr>
                      <w:rFonts w:cs="宋体"/>
                      <w:kern w:val="0"/>
                    </w:rPr>
                  </w:pPr>
                </w:p>
              </w:tc>
              <w:tc>
                <w:tcPr>
                  <w:tcW w:w="797" w:type="pct"/>
                  <w:vAlign w:val="center"/>
                </w:tcPr>
                <w:p w14:paraId="281D7591">
                  <w:pPr>
                    <w:widowControl/>
                    <w:jc w:val="center"/>
                    <w:rPr>
                      <w:rFonts w:cs="宋体"/>
                      <w:kern w:val="0"/>
                    </w:rPr>
                  </w:pPr>
                  <w:r>
                    <w:rPr>
                      <w:rFonts w:hint="eastAsia" w:cs="宋体"/>
                      <w:kern w:val="0"/>
                    </w:rPr>
                    <w:t>冷凝器</w:t>
                  </w:r>
                </w:p>
              </w:tc>
              <w:tc>
                <w:tcPr>
                  <w:tcW w:w="426" w:type="pct"/>
                  <w:vAlign w:val="center"/>
                </w:tcPr>
                <w:p w14:paraId="0D33F7FF">
                  <w:pPr>
                    <w:widowControl/>
                    <w:jc w:val="center"/>
                    <w:rPr>
                      <w:kern w:val="0"/>
                    </w:rPr>
                  </w:pPr>
                  <w:r>
                    <w:rPr>
                      <w:rFonts w:hint="eastAsia"/>
                      <w:kern w:val="0"/>
                    </w:rPr>
                    <w:t>6</w:t>
                  </w:r>
                  <w:r>
                    <w:rPr>
                      <w:rFonts w:hint="eastAsia" w:cs="宋体"/>
                      <w:kern w:val="0"/>
                    </w:rPr>
                    <w:t>台</w:t>
                  </w:r>
                </w:p>
              </w:tc>
              <w:tc>
                <w:tcPr>
                  <w:tcW w:w="642" w:type="pct"/>
                  <w:vAlign w:val="center"/>
                </w:tcPr>
                <w:p w14:paraId="1DBDAD95">
                  <w:pPr>
                    <w:widowControl/>
                    <w:jc w:val="center"/>
                    <w:rPr>
                      <w:kern w:val="0"/>
                    </w:rPr>
                  </w:pPr>
                  <w:r>
                    <w:rPr>
                      <w:rFonts w:hint="eastAsia"/>
                      <w:kern w:val="0"/>
                    </w:rPr>
                    <w:t>85</w:t>
                  </w:r>
                </w:p>
              </w:tc>
              <w:tc>
                <w:tcPr>
                  <w:tcW w:w="424" w:type="pct"/>
                  <w:vMerge w:val="continue"/>
                  <w:vAlign w:val="center"/>
                </w:tcPr>
                <w:p w14:paraId="10B8EC99">
                  <w:pPr>
                    <w:widowControl/>
                    <w:jc w:val="center"/>
                    <w:rPr>
                      <w:rFonts w:cs="宋体"/>
                      <w:kern w:val="0"/>
                    </w:rPr>
                  </w:pPr>
                </w:p>
              </w:tc>
              <w:tc>
                <w:tcPr>
                  <w:tcW w:w="591" w:type="pct"/>
                  <w:noWrap/>
                  <w:vAlign w:val="center"/>
                </w:tcPr>
                <w:p w14:paraId="2159574A">
                  <w:pPr>
                    <w:widowControl/>
                    <w:jc w:val="center"/>
                    <w:rPr>
                      <w:rFonts w:cs="宋体"/>
                      <w:kern w:val="0"/>
                      <w:szCs w:val="22"/>
                    </w:rPr>
                  </w:pPr>
                  <w:r>
                    <w:rPr>
                      <w:rFonts w:hint="eastAsia" w:cs="宋体"/>
                      <w:kern w:val="0"/>
                      <w:szCs w:val="22"/>
                    </w:rPr>
                    <w:t>20</w:t>
                  </w:r>
                </w:p>
              </w:tc>
              <w:tc>
                <w:tcPr>
                  <w:tcW w:w="737" w:type="pct"/>
                  <w:noWrap/>
                  <w:vAlign w:val="center"/>
                </w:tcPr>
                <w:p w14:paraId="7B768413">
                  <w:pPr>
                    <w:widowControl/>
                    <w:jc w:val="center"/>
                    <w:rPr>
                      <w:rFonts w:cs="宋体"/>
                      <w:kern w:val="0"/>
                      <w:szCs w:val="22"/>
                    </w:rPr>
                  </w:pPr>
                  <w:r>
                    <w:rPr>
                      <w:rFonts w:hint="eastAsia" w:cs="宋体"/>
                      <w:kern w:val="0"/>
                      <w:szCs w:val="22"/>
                    </w:rPr>
                    <w:t>65</w:t>
                  </w:r>
                </w:p>
              </w:tc>
              <w:tc>
                <w:tcPr>
                  <w:tcW w:w="598" w:type="pct"/>
                  <w:noWrap/>
                  <w:vAlign w:val="center"/>
                </w:tcPr>
                <w:p w14:paraId="0CB5D713">
                  <w:pPr>
                    <w:widowControl/>
                    <w:jc w:val="center"/>
                    <w:rPr>
                      <w:rFonts w:cs="宋体"/>
                      <w:kern w:val="0"/>
                      <w:szCs w:val="22"/>
                    </w:rPr>
                  </w:pPr>
                  <w:r>
                    <w:rPr>
                      <w:rFonts w:hint="eastAsia" w:cs="宋体"/>
                      <w:kern w:val="0"/>
                      <w:szCs w:val="22"/>
                    </w:rPr>
                    <w:t>7200</w:t>
                  </w:r>
                </w:p>
              </w:tc>
            </w:tr>
            <w:tr w14:paraId="7063D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4" w:type="pct"/>
                  <w:vAlign w:val="center"/>
                </w:tcPr>
                <w:p w14:paraId="5238E1FA">
                  <w:pPr>
                    <w:widowControl/>
                    <w:jc w:val="center"/>
                    <w:rPr>
                      <w:kern w:val="0"/>
                    </w:rPr>
                  </w:pPr>
                  <w:r>
                    <w:rPr>
                      <w:rFonts w:hint="eastAsia"/>
                      <w:kern w:val="0"/>
                    </w:rPr>
                    <w:t>4</w:t>
                  </w:r>
                </w:p>
              </w:tc>
              <w:tc>
                <w:tcPr>
                  <w:tcW w:w="480" w:type="pct"/>
                  <w:vMerge w:val="restart"/>
                  <w:vAlign w:val="center"/>
                </w:tcPr>
                <w:p w14:paraId="6B42057D">
                  <w:pPr>
                    <w:widowControl/>
                    <w:jc w:val="center"/>
                    <w:rPr>
                      <w:rFonts w:cs="宋体"/>
                      <w:kern w:val="0"/>
                    </w:rPr>
                  </w:pPr>
                  <w:r>
                    <w:rPr>
                      <w:rFonts w:hint="eastAsia" w:cs="宋体"/>
                      <w:kern w:val="0"/>
                    </w:rPr>
                    <w:t>车间外</w:t>
                  </w:r>
                </w:p>
              </w:tc>
              <w:tc>
                <w:tcPr>
                  <w:tcW w:w="797" w:type="pct"/>
                  <w:vAlign w:val="center"/>
                </w:tcPr>
                <w:p w14:paraId="5ED98C29">
                  <w:pPr>
                    <w:widowControl/>
                    <w:jc w:val="center"/>
                    <w:rPr>
                      <w:rFonts w:cs="宋体"/>
                      <w:kern w:val="0"/>
                    </w:rPr>
                  </w:pPr>
                  <w:r>
                    <w:rPr>
                      <w:rFonts w:hint="eastAsia" w:cs="宋体"/>
                      <w:kern w:val="0"/>
                    </w:rPr>
                    <w:t>冷却塔</w:t>
                  </w:r>
                </w:p>
              </w:tc>
              <w:tc>
                <w:tcPr>
                  <w:tcW w:w="426" w:type="pct"/>
                  <w:vAlign w:val="center"/>
                </w:tcPr>
                <w:p w14:paraId="5AE2F58E">
                  <w:pPr>
                    <w:widowControl/>
                    <w:jc w:val="center"/>
                    <w:rPr>
                      <w:kern w:val="0"/>
                    </w:rPr>
                  </w:pPr>
                  <w:r>
                    <w:rPr>
                      <w:rFonts w:hint="eastAsia"/>
                      <w:kern w:val="0"/>
                    </w:rPr>
                    <w:t>1</w:t>
                  </w:r>
                  <w:r>
                    <w:rPr>
                      <w:rFonts w:hint="eastAsia" w:cs="宋体"/>
                      <w:kern w:val="0"/>
                    </w:rPr>
                    <w:t>台</w:t>
                  </w:r>
                </w:p>
              </w:tc>
              <w:tc>
                <w:tcPr>
                  <w:tcW w:w="642" w:type="pct"/>
                  <w:vAlign w:val="center"/>
                </w:tcPr>
                <w:p w14:paraId="4FF341AB">
                  <w:pPr>
                    <w:widowControl/>
                    <w:jc w:val="center"/>
                    <w:rPr>
                      <w:kern w:val="0"/>
                    </w:rPr>
                  </w:pPr>
                  <w:r>
                    <w:rPr>
                      <w:kern w:val="0"/>
                    </w:rPr>
                    <w:t>80</w:t>
                  </w:r>
                </w:p>
              </w:tc>
              <w:tc>
                <w:tcPr>
                  <w:tcW w:w="424" w:type="pct"/>
                  <w:vMerge w:val="restart"/>
                  <w:vAlign w:val="center"/>
                </w:tcPr>
                <w:p w14:paraId="422B2B57">
                  <w:pPr>
                    <w:widowControl/>
                    <w:jc w:val="center"/>
                    <w:rPr>
                      <w:rFonts w:cs="宋体"/>
                      <w:kern w:val="0"/>
                      <w:szCs w:val="22"/>
                    </w:rPr>
                  </w:pPr>
                  <w:r>
                    <w:rPr>
                      <w:rFonts w:hint="eastAsia" w:cs="宋体"/>
                      <w:kern w:val="0"/>
                      <w:szCs w:val="22"/>
                    </w:rPr>
                    <w:t>减震</w:t>
                  </w:r>
                </w:p>
              </w:tc>
              <w:tc>
                <w:tcPr>
                  <w:tcW w:w="591" w:type="pct"/>
                  <w:noWrap/>
                  <w:vAlign w:val="center"/>
                </w:tcPr>
                <w:p w14:paraId="0D2A89DE">
                  <w:pPr>
                    <w:widowControl/>
                    <w:jc w:val="center"/>
                    <w:rPr>
                      <w:rFonts w:cs="宋体"/>
                      <w:kern w:val="0"/>
                      <w:szCs w:val="22"/>
                    </w:rPr>
                  </w:pPr>
                  <w:r>
                    <w:rPr>
                      <w:rFonts w:hint="eastAsia" w:cs="宋体"/>
                      <w:kern w:val="0"/>
                      <w:szCs w:val="22"/>
                    </w:rPr>
                    <w:t>15</w:t>
                  </w:r>
                </w:p>
              </w:tc>
              <w:tc>
                <w:tcPr>
                  <w:tcW w:w="737" w:type="pct"/>
                  <w:noWrap/>
                  <w:vAlign w:val="center"/>
                </w:tcPr>
                <w:p w14:paraId="33F7B449">
                  <w:pPr>
                    <w:widowControl/>
                    <w:jc w:val="center"/>
                    <w:rPr>
                      <w:rFonts w:cs="宋体"/>
                      <w:kern w:val="0"/>
                      <w:szCs w:val="22"/>
                    </w:rPr>
                  </w:pPr>
                  <w:r>
                    <w:rPr>
                      <w:rFonts w:hint="eastAsia" w:cs="宋体"/>
                      <w:kern w:val="0"/>
                      <w:szCs w:val="22"/>
                    </w:rPr>
                    <w:t>65</w:t>
                  </w:r>
                </w:p>
              </w:tc>
              <w:tc>
                <w:tcPr>
                  <w:tcW w:w="598" w:type="pct"/>
                  <w:noWrap/>
                  <w:vAlign w:val="center"/>
                </w:tcPr>
                <w:p w14:paraId="40CC158F">
                  <w:pPr>
                    <w:widowControl/>
                    <w:jc w:val="center"/>
                    <w:rPr>
                      <w:rFonts w:cs="宋体"/>
                      <w:kern w:val="0"/>
                      <w:szCs w:val="22"/>
                    </w:rPr>
                  </w:pPr>
                  <w:r>
                    <w:rPr>
                      <w:rFonts w:hint="eastAsia" w:cs="宋体"/>
                      <w:kern w:val="0"/>
                      <w:szCs w:val="22"/>
                    </w:rPr>
                    <w:t>7200</w:t>
                  </w:r>
                </w:p>
              </w:tc>
            </w:tr>
            <w:tr w14:paraId="43BF8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4" w:type="pct"/>
                  <w:vAlign w:val="center"/>
                </w:tcPr>
                <w:p w14:paraId="41F7F54D">
                  <w:pPr>
                    <w:widowControl/>
                    <w:jc w:val="center"/>
                    <w:rPr>
                      <w:kern w:val="0"/>
                    </w:rPr>
                  </w:pPr>
                  <w:r>
                    <w:rPr>
                      <w:rFonts w:hint="eastAsia"/>
                      <w:kern w:val="0"/>
                    </w:rPr>
                    <w:t>5</w:t>
                  </w:r>
                </w:p>
              </w:tc>
              <w:tc>
                <w:tcPr>
                  <w:tcW w:w="480" w:type="pct"/>
                  <w:vMerge w:val="continue"/>
                  <w:vAlign w:val="center"/>
                </w:tcPr>
                <w:p w14:paraId="608A506E">
                  <w:pPr>
                    <w:widowControl/>
                    <w:jc w:val="center"/>
                    <w:rPr>
                      <w:rFonts w:cs="宋体"/>
                      <w:kern w:val="0"/>
                    </w:rPr>
                  </w:pPr>
                </w:p>
              </w:tc>
              <w:tc>
                <w:tcPr>
                  <w:tcW w:w="797" w:type="pct"/>
                  <w:vAlign w:val="center"/>
                </w:tcPr>
                <w:p w14:paraId="353C7469">
                  <w:pPr>
                    <w:widowControl/>
                    <w:jc w:val="center"/>
                    <w:rPr>
                      <w:rFonts w:cs="宋体"/>
                      <w:kern w:val="0"/>
                    </w:rPr>
                  </w:pPr>
                  <w:r>
                    <w:rPr>
                      <w:rFonts w:hint="eastAsia" w:cs="宋体"/>
                      <w:kern w:val="0"/>
                    </w:rPr>
                    <w:t>废气处理设施风机</w:t>
                  </w:r>
                </w:p>
              </w:tc>
              <w:tc>
                <w:tcPr>
                  <w:tcW w:w="426" w:type="pct"/>
                  <w:vAlign w:val="center"/>
                </w:tcPr>
                <w:p w14:paraId="6B4AC1EC">
                  <w:pPr>
                    <w:widowControl/>
                    <w:jc w:val="center"/>
                    <w:rPr>
                      <w:kern w:val="0"/>
                    </w:rPr>
                  </w:pPr>
                  <w:r>
                    <w:rPr>
                      <w:kern w:val="0"/>
                    </w:rPr>
                    <w:t>1</w:t>
                  </w:r>
                  <w:r>
                    <w:rPr>
                      <w:rFonts w:hint="eastAsia" w:cs="宋体"/>
                      <w:kern w:val="0"/>
                    </w:rPr>
                    <w:t>台</w:t>
                  </w:r>
                </w:p>
              </w:tc>
              <w:tc>
                <w:tcPr>
                  <w:tcW w:w="642" w:type="pct"/>
                  <w:vAlign w:val="center"/>
                </w:tcPr>
                <w:p w14:paraId="2DFE7C83">
                  <w:pPr>
                    <w:widowControl/>
                    <w:jc w:val="center"/>
                    <w:rPr>
                      <w:kern w:val="0"/>
                    </w:rPr>
                  </w:pPr>
                  <w:r>
                    <w:rPr>
                      <w:kern w:val="0"/>
                    </w:rPr>
                    <w:t>85</w:t>
                  </w:r>
                </w:p>
              </w:tc>
              <w:tc>
                <w:tcPr>
                  <w:tcW w:w="424" w:type="pct"/>
                  <w:vMerge w:val="continue"/>
                  <w:vAlign w:val="center"/>
                </w:tcPr>
                <w:p w14:paraId="16FB7825">
                  <w:pPr>
                    <w:widowControl/>
                    <w:jc w:val="center"/>
                    <w:rPr>
                      <w:rFonts w:cs="宋体"/>
                      <w:kern w:val="0"/>
                      <w:szCs w:val="22"/>
                    </w:rPr>
                  </w:pPr>
                </w:p>
              </w:tc>
              <w:tc>
                <w:tcPr>
                  <w:tcW w:w="591" w:type="pct"/>
                  <w:noWrap/>
                  <w:vAlign w:val="center"/>
                </w:tcPr>
                <w:p w14:paraId="483CF304">
                  <w:pPr>
                    <w:widowControl/>
                    <w:jc w:val="center"/>
                    <w:rPr>
                      <w:rFonts w:cs="宋体"/>
                      <w:kern w:val="0"/>
                      <w:szCs w:val="22"/>
                    </w:rPr>
                  </w:pPr>
                  <w:r>
                    <w:rPr>
                      <w:rFonts w:hint="eastAsia" w:cs="宋体"/>
                      <w:kern w:val="0"/>
                      <w:szCs w:val="22"/>
                    </w:rPr>
                    <w:t>15</w:t>
                  </w:r>
                </w:p>
              </w:tc>
              <w:tc>
                <w:tcPr>
                  <w:tcW w:w="737" w:type="pct"/>
                  <w:noWrap/>
                  <w:vAlign w:val="center"/>
                </w:tcPr>
                <w:p w14:paraId="6543B68B">
                  <w:pPr>
                    <w:widowControl/>
                    <w:jc w:val="center"/>
                    <w:rPr>
                      <w:rFonts w:cs="宋体"/>
                      <w:kern w:val="0"/>
                      <w:szCs w:val="22"/>
                    </w:rPr>
                  </w:pPr>
                  <w:r>
                    <w:rPr>
                      <w:rFonts w:hint="eastAsia" w:cs="宋体"/>
                      <w:kern w:val="0"/>
                      <w:szCs w:val="22"/>
                    </w:rPr>
                    <w:t>70</w:t>
                  </w:r>
                </w:p>
              </w:tc>
              <w:tc>
                <w:tcPr>
                  <w:tcW w:w="598" w:type="pct"/>
                  <w:noWrap/>
                  <w:vAlign w:val="center"/>
                </w:tcPr>
                <w:p w14:paraId="71BEE762">
                  <w:pPr>
                    <w:widowControl/>
                    <w:jc w:val="center"/>
                    <w:rPr>
                      <w:rFonts w:cs="宋体"/>
                      <w:kern w:val="0"/>
                      <w:szCs w:val="22"/>
                    </w:rPr>
                  </w:pPr>
                  <w:r>
                    <w:rPr>
                      <w:rFonts w:hint="eastAsia" w:cs="宋体"/>
                      <w:kern w:val="0"/>
                      <w:szCs w:val="22"/>
                    </w:rPr>
                    <w:t>7200</w:t>
                  </w:r>
                </w:p>
              </w:tc>
            </w:tr>
          </w:tbl>
          <w:p w14:paraId="6B89C610">
            <w:pPr>
              <w:tabs>
                <w:tab w:val="left" w:pos="509"/>
                <w:tab w:val="left" w:pos="810"/>
                <w:tab w:val="left" w:pos="869"/>
              </w:tabs>
              <w:snapToGrid w:val="0"/>
              <w:spacing w:line="360" w:lineRule="auto"/>
              <w:ind w:firstLine="420" w:firstLineChars="200"/>
              <w:rPr>
                <w:bCs/>
              </w:rPr>
            </w:pPr>
            <w:r>
              <w:rPr>
                <w:rFonts w:hint="eastAsia"/>
                <w:bCs/>
              </w:rPr>
              <w:t>注：根据刘惠玲主编《环境噪声控制》（哈尔滨工业大学出版社，</w:t>
            </w:r>
            <w:r>
              <w:rPr>
                <w:bCs/>
              </w:rPr>
              <w:t>2002</w:t>
            </w:r>
            <w:r>
              <w:rPr>
                <w:rFonts w:hint="eastAsia"/>
                <w:bCs/>
              </w:rPr>
              <w:t>年</w:t>
            </w:r>
            <w:r>
              <w:rPr>
                <w:bCs/>
              </w:rPr>
              <w:t>10</w:t>
            </w:r>
            <w:r>
              <w:rPr>
                <w:rFonts w:hint="eastAsia"/>
                <w:bCs/>
              </w:rPr>
              <w:t>月第</w:t>
            </w:r>
            <w:r>
              <w:rPr>
                <w:bCs/>
              </w:rPr>
              <w:t>1</w:t>
            </w:r>
            <w:r>
              <w:rPr>
                <w:rFonts w:hint="eastAsia"/>
                <w:bCs/>
              </w:rPr>
              <w:t>版），采用隔声间（室）技术措施，降噪效果可达</w:t>
            </w:r>
            <w:r>
              <w:rPr>
                <w:bCs/>
              </w:rPr>
              <w:t>20~40dB(A)</w:t>
            </w:r>
            <w:r>
              <w:rPr>
                <w:rFonts w:hint="eastAsia"/>
                <w:bCs/>
              </w:rPr>
              <w:t>，项目按20</w:t>
            </w:r>
            <w:r>
              <w:rPr>
                <w:bCs/>
              </w:rPr>
              <w:t>dB(A)</w:t>
            </w:r>
            <w:r>
              <w:rPr>
                <w:rFonts w:hint="eastAsia"/>
                <w:bCs/>
              </w:rPr>
              <w:t>计；减振处理，降噪效果可达</w:t>
            </w:r>
            <w:r>
              <w:rPr>
                <w:bCs/>
              </w:rPr>
              <w:t>5~25dB(A)</w:t>
            </w:r>
            <w:r>
              <w:rPr>
                <w:rFonts w:hint="eastAsia"/>
                <w:bCs/>
              </w:rPr>
              <w:t>，项目按1</w:t>
            </w:r>
            <w:r>
              <w:rPr>
                <w:bCs/>
              </w:rPr>
              <w:t>5dB(A)</w:t>
            </w:r>
            <w:r>
              <w:rPr>
                <w:rFonts w:hint="eastAsia"/>
                <w:bCs/>
              </w:rPr>
              <w:t>计。</w:t>
            </w:r>
          </w:p>
          <w:p w14:paraId="1F80524B">
            <w:pPr>
              <w:tabs>
                <w:tab w:val="left" w:pos="509"/>
                <w:tab w:val="left" w:pos="810"/>
                <w:tab w:val="left" w:pos="869"/>
              </w:tabs>
              <w:snapToGrid w:val="0"/>
              <w:spacing w:line="360" w:lineRule="auto"/>
              <w:ind w:firstLine="482" w:firstLineChars="200"/>
              <w:rPr>
                <w:b/>
                <w:sz w:val="24"/>
              </w:rPr>
            </w:pPr>
            <w:r>
              <w:rPr>
                <w:b/>
                <w:bCs/>
                <w:sz w:val="24"/>
              </w:rPr>
              <w:t xml:space="preserve">3.2 </w:t>
            </w:r>
            <w:r>
              <w:rPr>
                <w:rFonts w:hint="eastAsia"/>
                <w:b/>
                <w:sz w:val="24"/>
              </w:rPr>
              <w:t>噪声预测及达标情况分析</w:t>
            </w:r>
          </w:p>
          <w:p w14:paraId="18E1D21A">
            <w:pPr>
              <w:adjustRightInd w:val="0"/>
              <w:snapToGrid w:val="0"/>
              <w:spacing w:line="360" w:lineRule="auto"/>
              <w:ind w:firstLine="482" w:firstLineChars="200"/>
              <w:rPr>
                <w:b/>
                <w:bCs/>
                <w:kern w:val="0"/>
                <w:sz w:val="24"/>
              </w:rPr>
            </w:pPr>
            <w:r>
              <w:rPr>
                <w:rFonts w:hint="eastAsia"/>
                <w:b/>
                <w:bCs/>
                <w:kern w:val="0"/>
                <w:sz w:val="24"/>
              </w:rPr>
              <w:t>（</w:t>
            </w:r>
            <w:r>
              <w:rPr>
                <w:b/>
                <w:bCs/>
                <w:kern w:val="0"/>
                <w:sz w:val="24"/>
              </w:rPr>
              <w:t>1）室内声源等效室外声源声功率级计算方法</w:t>
            </w:r>
          </w:p>
          <w:p w14:paraId="2A45F488">
            <w:pPr>
              <w:adjustRightInd w:val="0"/>
              <w:snapToGrid w:val="0"/>
              <w:spacing w:line="360" w:lineRule="auto"/>
              <w:ind w:firstLine="480" w:firstLineChars="200"/>
              <w:rPr>
                <w:kern w:val="0"/>
                <w:sz w:val="24"/>
              </w:rPr>
            </w:pPr>
            <w:r>
              <w:rPr>
                <w:kern w:val="0"/>
                <w:sz w:val="24"/>
              </w:rPr>
              <w:t>如下图4-1所示，声源位于室内，室内声源可采用等效室外声源声功率级法进行计算。设靠近开口处（或窗户）室内、室外某倍频带的声压级分别为L</w:t>
            </w:r>
            <w:r>
              <w:rPr>
                <w:kern w:val="0"/>
                <w:sz w:val="24"/>
                <w:vertAlign w:val="subscript"/>
              </w:rPr>
              <w:t>p1</w:t>
            </w:r>
            <w:r>
              <w:rPr>
                <w:kern w:val="0"/>
                <w:sz w:val="24"/>
              </w:rPr>
              <w:t>和L</w:t>
            </w:r>
            <w:r>
              <w:rPr>
                <w:kern w:val="0"/>
                <w:sz w:val="24"/>
                <w:vertAlign w:val="subscript"/>
              </w:rPr>
              <w:t>p2</w:t>
            </w:r>
            <w:r>
              <w:rPr>
                <w:kern w:val="0"/>
                <w:sz w:val="24"/>
              </w:rPr>
              <w:t>。若声源所在室内声场为近似扩散声场，则室外的倍频带声压级可按公式近似求出：</w:t>
            </w:r>
          </w:p>
          <w:p w14:paraId="58C2CB03">
            <w:pPr>
              <w:adjustRightInd w:val="0"/>
              <w:snapToGrid w:val="0"/>
              <w:spacing w:line="360" w:lineRule="auto"/>
              <w:jc w:val="center"/>
              <w:rPr>
                <w:i/>
                <w:iCs/>
                <w:kern w:val="0"/>
                <w:sz w:val="24"/>
              </w:rPr>
            </w:pPr>
            <w:r>
              <w:rPr>
                <w:i/>
                <w:iCs/>
                <w:kern w:val="0"/>
                <w:sz w:val="24"/>
              </w:rPr>
              <w:t>L</w:t>
            </w:r>
            <w:r>
              <w:rPr>
                <w:i/>
                <w:iCs/>
                <w:kern w:val="0"/>
                <w:sz w:val="24"/>
                <w:vertAlign w:val="subscript"/>
              </w:rPr>
              <w:t>p2</w:t>
            </w:r>
            <w:r>
              <w:rPr>
                <w:rFonts w:hint="eastAsia"/>
                <w:i/>
                <w:iCs/>
                <w:kern w:val="0"/>
                <w:sz w:val="24"/>
              </w:rPr>
              <w:t>=</w:t>
            </w:r>
            <w:r>
              <w:rPr>
                <w:i/>
                <w:iCs/>
                <w:kern w:val="0"/>
                <w:sz w:val="24"/>
              </w:rPr>
              <w:t>L</w:t>
            </w:r>
            <w:r>
              <w:rPr>
                <w:i/>
                <w:iCs/>
                <w:kern w:val="0"/>
                <w:sz w:val="24"/>
                <w:vertAlign w:val="subscript"/>
              </w:rPr>
              <w:t>p1</w:t>
            </w:r>
            <w:r>
              <w:rPr>
                <w:rFonts w:hint="eastAsia"/>
                <w:i/>
                <w:iCs/>
                <w:kern w:val="0"/>
                <w:sz w:val="24"/>
              </w:rPr>
              <w:t>-（</w:t>
            </w:r>
            <w:r>
              <w:rPr>
                <w:i/>
                <w:iCs/>
                <w:kern w:val="0"/>
                <w:sz w:val="24"/>
              </w:rPr>
              <w:t>TL</w:t>
            </w:r>
            <w:r>
              <w:rPr>
                <w:rFonts w:hint="eastAsia"/>
                <w:i/>
                <w:iCs/>
                <w:kern w:val="0"/>
                <w:sz w:val="24"/>
              </w:rPr>
              <w:t>+</w:t>
            </w:r>
            <w:r>
              <w:rPr>
                <w:i/>
                <w:iCs/>
                <w:kern w:val="0"/>
                <w:sz w:val="24"/>
              </w:rPr>
              <w:t>6</w:t>
            </w:r>
            <w:r>
              <w:rPr>
                <w:rFonts w:hint="eastAsia"/>
                <w:i/>
                <w:iCs/>
                <w:kern w:val="0"/>
                <w:sz w:val="24"/>
              </w:rPr>
              <w:t>）</w:t>
            </w:r>
          </w:p>
          <w:p w14:paraId="43F3287A">
            <w:pPr>
              <w:adjustRightInd w:val="0"/>
              <w:snapToGrid w:val="0"/>
              <w:spacing w:line="360" w:lineRule="auto"/>
              <w:ind w:firstLine="480" w:firstLineChars="200"/>
              <w:rPr>
                <w:kern w:val="0"/>
                <w:sz w:val="24"/>
              </w:rPr>
            </w:pPr>
            <w:r>
              <w:rPr>
                <w:kern w:val="0"/>
                <w:sz w:val="24"/>
              </w:rPr>
              <w:t>式中：L</w:t>
            </w:r>
            <w:r>
              <w:rPr>
                <w:kern w:val="0"/>
                <w:sz w:val="24"/>
                <w:vertAlign w:val="subscript"/>
              </w:rPr>
              <w:t>p1</w:t>
            </w:r>
            <w:r>
              <w:rPr>
                <w:kern w:val="0"/>
                <w:sz w:val="24"/>
              </w:rPr>
              <w:t>——靠近开口处（或窗户）室内某倍频带的声压级或A声级，dB；</w:t>
            </w:r>
          </w:p>
          <w:p w14:paraId="6264A9DC">
            <w:pPr>
              <w:adjustRightInd w:val="0"/>
              <w:snapToGrid w:val="0"/>
              <w:spacing w:line="360" w:lineRule="auto"/>
              <w:ind w:firstLine="480" w:firstLineChars="200"/>
              <w:rPr>
                <w:kern w:val="0"/>
                <w:sz w:val="24"/>
              </w:rPr>
            </w:pPr>
            <w:r>
              <w:rPr>
                <w:kern w:val="0"/>
                <w:sz w:val="24"/>
              </w:rPr>
              <w:t>L</w:t>
            </w:r>
            <w:r>
              <w:rPr>
                <w:kern w:val="0"/>
                <w:sz w:val="24"/>
                <w:vertAlign w:val="subscript"/>
              </w:rPr>
              <w:t>p2</w:t>
            </w:r>
            <w:r>
              <w:rPr>
                <w:kern w:val="0"/>
                <w:sz w:val="24"/>
              </w:rPr>
              <w:t>——靠近开口处（或窗户）室外某倍频带的声压级或A声级，dB；</w:t>
            </w:r>
          </w:p>
          <w:p w14:paraId="4AD53915">
            <w:pPr>
              <w:adjustRightInd w:val="0"/>
              <w:snapToGrid w:val="0"/>
              <w:spacing w:line="360" w:lineRule="auto"/>
              <w:ind w:firstLine="480" w:firstLineChars="200"/>
              <w:rPr>
                <w:kern w:val="0"/>
                <w:sz w:val="24"/>
              </w:rPr>
            </w:pPr>
            <w:r>
              <w:rPr>
                <w:kern w:val="0"/>
                <w:sz w:val="24"/>
              </w:rPr>
              <w:t>TL——隔墙（或窗户）倍频带的隔声量，dB</w:t>
            </w:r>
            <w:r>
              <w:rPr>
                <w:rFonts w:hint="eastAsia"/>
                <w:kern w:val="0"/>
                <w:sz w:val="24"/>
              </w:rPr>
              <w:t>。</w:t>
            </w:r>
          </w:p>
          <w:p w14:paraId="70FBC480">
            <w:pPr>
              <w:adjustRightInd w:val="0"/>
              <w:snapToGrid w:val="0"/>
              <w:spacing w:line="360" w:lineRule="auto"/>
              <w:jc w:val="center"/>
              <w:rPr>
                <w:sz w:val="24"/>
              </w:rPr>
            </w:pPr>
            <w:r>
              <w:rPr>
                <w:sz w:val="24"/>
              </w:rPr>
              <w:drawing>
                <wp:inline distT="0" distB="0" distL="0" distR="0">
                  <wp:extent cx="2520950" cy="1339215"/>
                  <wp:effectExtent l="0" t="0" r="0" b="0"/>
                  <wp:docPr id="674114041"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114041" name="图片 4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2558393" cy="1359706"/>
                          </a:xfrm>
                          <a:prstGeom prst="rect">
                            <a:avLst/>
                          </a:prstGeom>
                          <a:noFill/>
                          <a:ln>
                            <a:noFill/>
                          </a:ln>
                          <a:effectLst/>
                        </pic:spPr>
                      </pic:pic>
                    </a:graphicData>
                  </a:graphic>
                </wp:inline>
              </w:drawing>
            </w:r>
          </w:p>
          <w:p w14:paraId="05AE5598">
            <w:pPr>
              <w:pStyle w:val="12"/>
              <w:spacing w:line="360" w:lineRule="auto"/>
              <w:ind w:left="0" w:leftChars="0" w:firstLine="0" w:firstLineChars="0"/>
              <w:jc w:val="center"/>
              <w:rPr>
                <w:b/>
              </w:rPr>
            </w:pPr>
            <w:r>
              <w:rPr>
                <w:b/>
              </w:rPr>
              <w:t>图4-1 室内声源等效为室外声源图例</w:t>
            </w:r>
          </w:p>
          <w:p w14:paraId="0C165BB3">
            <w:pPr>
              <w:adjustRightInd w:val="0"/>
              <w:snapToGrid w:val="0"/>
              <w:spacing w:line="360" w:lineRule="auto"/>
              <w:ind w:firstLine="480" w:firstLineChars="200"/>
              <w:rPr>
                <w:kern w:val="0"/>
                <w:sz w:val="24"/>
              </w:rPr>
            </w:pPr>
            <w:r>
              <w:rPr>
                <w:rFonts w:hint="eastAsia"/>
                <w:kern w:val="0"/>
                <w:sz w:val="24"/>
              </w:rPr>
              <w:t>也可按</w:t>
            </w:r>
            <w:r>
              <w:rPr>
                <w:kern w:val="0"/>
                <w:sz w:val="24"/>
              </w:rPr>
              <w:t>照下述公式计算某一室内声源靠近围护结构处产生的倍频带声压级</w:t>
            </w:r>
            <w:r>
              <w:rPr>
                <w:rFonts w:hint="eastAsia"/>
                <w:kern w:val="0"/>
                <w:sz w:val="24"/>
              </w:rPr>
              <w:t>：</w:t>
            </w:r>
          </w:p>
          <w:p w14:paraId="50C88D56">
            <w:pPr>
              <w:widowControl/>
              <w:spacing w:line="360" w:lineRule="auto"/>
              <w:jc w:val="center"/>
              <w:rPr>
                <w:sz w:val="24"/>
              </w:rPr>
            </w:pPr>
            <w:r>
              <w:rPr>
                <w:sz w:val="24"/>
              </w:rPr>
              <w:drawing>
                <wp:inline distT="0" distB="0" distL="0" distR="0">
                  <wp:extent cx="1549400" cy="381000"/>
                  <wp:effectExtent l="0" t="0" r="0" b="0"/>
                  <wp:docPr id="1895357046"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357046" name="图片 4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549400" cy="381000"/>
                          </a:xfrm>
                          <a:prstGeom prst="rect">
                            <a:avLst/>
                          </a:prstGeom>
                          <a:noFill/>
                          <a:ln>
                            <a:noFill/>
                          </a:ln>
                          <a:effectLst/>
                        </pic:spPr>
                      </pic:pic>
                    </a:graphicData>
                  </a:graphic>
                </wp:inline>
              </w:drawing>
            </w:r>
          </w:p>
          <w:p w14:paraId="38E2F5A2">
            <w:pPr>
              <w:adjustRightInd w:val="0"/>
              <w:snapToGrid w:val="0"/>
              <w:spacing w:line="360" w:lineRule="auto"/>
              <w:ind w:firstLine="480" w:firstLineChars="200"/>
              <w:rPr>
                <w:kern w:val="0"/>
                <w:sz w:val="24"/>
              </w:rPr>
            </w:pPr>
            <w:r>
              <w:rPr>
                <w:kern w:val="0"/>
                <w:sz w:val="24"/>
              </w:rPr>
              <w:t>式中：L</w:t>
            </w:r>
            <w:r>
              <w:rPr>
                <w:kern w:val="0"/>
                <w:sz w:val="24"/>
                <w:vertAlign w:val="subscript"/>
              </w:rPr>
              <w:t>p1</w:t>
            </w:r>
            <w:r>
              <w:rPr>
                <w:kern w:val="0"/>
                <w:sz w:val="24"/>
              </w:rPr>
              <w:t>——靠近开口处（或窗户）室内某倍频带的声压级或A声级，dB；</w:t>
            </w:r>
          </w:p>
          <w:p w14:paraId="75F61613">
            <w:pPr>
              <w:adjustRightInd w:val="0"/>
              <w:snapToGrid w:val="0"/>
              <w:spacing w:line="360" w:lineRule="auto"/>
              <w:ind w:firstLine="480" w:firstLineChars="200"/>
              <w:rPr>
                <w:kern w:val="0"/>
                <w:sz w:val="24"/>
              </w:rPr>
            </w:pPr>
            <w:r>
              <w:rPr>
                <w:kern w:val="0"/>
                <w:sz w:val="24"/>
              </w:rPr>
              <w:t>L</w:t>
            </w:r>
            <w:r>
              <w:rPr>
                <w:kern w:val="0"/>
                <w:sz w:val="24"/>
                <w:vertAlign w:val="subscript"/>
              </w:rPr>
              <w:t>w</w:t>
            </w:r>
            <w:r>
              <w:rPr>
                <w:kern w:val="0"/>
                <w:sz w:val="24"/>
              </w:rPr>
              <w:t>——点声源声功率级（A计权或倍频带），dB；</w:t>
            </w:r>
          </w:p>
          <w:p w14:paraId="7CB9C904">
            <w:pPr>
              <w:adjustRightInd w:val="0"/>
              <w:snapToGrid w:val="0"/>
              <w:spacing w:line="360" w:lineRule="auto"/>
              <w:ind w:firstLine="480" w:firstLineChars="200"/>
              <w:rPr>
                <w:kern w:val="0"/>
                <w:sz w:val="24"/>
              </w:rPr>
            </w:pPr>
            <w:r>
              <w:rPr>
                <w:kern w:val="0"/>
                <w:sz w:val="24"/>
              </w:rPr>
              <w:t>Q——指向性因数；通常对无指向性声源，当声源放在房间中心时，Q=1；当入在一面墙的中心时，Q=2；当放在两面墙夹角处时，Q=4；当放在三面墙夹角处时，Q=8。</w:t>
            </w:r>
          </w:p>
          <w:p w14:paraId="7E6190DD">
            <w:pPr>
              <w:adjustRightInd w:val="0"/>
              <w:snapToGrid w:val="0"/>
              <w:spacing w:line="360" w:lineRule="auto"/>
              <w:ind w:firstLine="480" w:firstLineChars="200"/>
              <w:rPr>
                <w:kern w:val="0"/>
                <w:sz w:val="24"/>
              </w:rPr>
            </w:pPr>
            <w:r>
              <w:rPr>
                <w:kern w:val="0"/>
                <w:sz w:val="24"/>
              </w:rPr>
              <w:t>R——房间常</w:t>
            </w:r>
            <w:r>
              <w:rPr>
                <w:rFonts w:hint="eastAsia"/>
                <w:kern w:val="0"/>
                <w:sz w:val="24"/>
              </w:rPr>
              <w:t>数</w:t>
            </w:r>
            <w:r>
              <w:rPr>
                <w:kern w:val="0"/>
                <w:sz w:val="24"/>
              </w:rPr>
              <w:t>；R=Sα/（1-α），S为房间内表面面积，m</w:t>
            </w:r>
            <w:r>
              <w:rPr>
                <w:kern w:val="0"/>
                <w:sz w:val="24"/>
                <w:vertAlign w:val="superscript"/>
              </w:rPr>
              <w:t>2</w:t>
            </w:r>
            <w:r>
              <w:rPr>
                <w:kern w:val="0"/>
                <w:sz w:val="24"/>
              </w:rPr>
              <w:t>；α为平均吸声系数。</w:t>
            </w:r>
          </w:p>
          <w:p w14:paraId="7FFF7C92">
            <w:pPr>
              <w:adjustRightInd w:val="0"/>
              <w:snapToGrid w:val="0"/>
              <w:spacing w:line="360" w:lineRule="auto"/>
              <w:ind w:firstLine="480" w:firstLineChars="200"/>
              <w:rPr>
                <w:kern w:val="0"/>
                <w:sz w:val="24"/>
              </w:rPr>
            </w:pPr>
            <w:r>
              <w:rPr>
                <w:kern w:val="0"/>
                <w:sz w:val="24"/>
              </w:rPr>
              <w:t>r——声源到靠近围护结构某点处的距离，m；</w:t>
            </w:r>
          </w:p>
          <w:p w14:paraId="075AEAD9">
            <w:pPr>
              <w:adjustRightInd w:val="0"/>
              <w:snapToGrid w:val="0"/>
              <w:spacing w:line="360" w:lineRule="auto"/>
              <w:ind w:firstLine="480" w:firstLineChars="200"/>
              <w:rPr>
                <w:kern w:val="0"/>
                <w:sz w:val="24"/>
              </w:rPr>
            </w:pPr>
            <w:r>
              <w:rPr>
                <w:rFonts w:hint="eastAsia"/>
                <w:kern w:val="0"/>
                <w:sz w:val="24"/>
              </w:rPr>
              <w:t>所有室内声源在围护结构处产生的i倍频带叠加声压级：</w:t>
            </w:r>
          </w:p>
          <w:p w14:paraId="45F03969">
            <w:pPr>
              <w:adjustRightInd w:val="0"/>
              <w:snapToGrid w:val="0"/>
              <w:spacing w:line="360" w:lineRule="auto"/>
              <w:jc w:val="center"/>
              <w:rPr>
                <w:kern w:val="0"/>
                <w:sz w:val="24"/>
              </w:rPr>
            </w:pPr>
            <w:r>
              <w:rPr>
                <w:sz w:val="24"/>
              </w:rPr>
              <w:drawing>
                <wp:inline distT="0" distB="0" distL="0" distR="0">
                  <wp:extent cx="1422400" cy="419100"/>
                  <wp:effectExtent l="0" t="0" r="6350" b="0"/>
                  <wp:docPr id="214672254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22543" name="图片 4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1422400" cy="419100"/>
                          </a:xfrm>
                          <a:prstGeom prst="rect">
                            <a:avLst/>
                          </a:prstGeom>
                          <a:noFill/>
                          <a:ln>
                            <a:noFill/>
                          </a:ln>
                          <a:effectLst/>
                        </pic:spPr>
                      </pic:pic>
                    </a:graphicData>
                  </a:graphic>
                </wp:inline>
              </w:drawing>
            </w:r>
          </w:p>
          <w:p w14:paraId="2BD73BED">
            <w:pPr>
              <w:adjustRightInd w:val="0"/>
              <w:snapToGrid w:val="0"/>
              <w:spacing w:line="360" w:lineRule="auto"/>
              <w:ind w:firstLine="480" w:firstLineChars="200"/>
              <w:rPr>
                <w:kern w:val="0"/>
                <w:sz w:val="24"/>
              </w:rPr>
            </w:pPr>
            <w:r>
              <w:rPr>
                <w:kern w:val="0"/>
                <w:sz w:val="24"/>
              </w:rPr>
              <w:t>式中：L</w:t>
            </w:r>
            <w:r>
              <w:rPr>
                <w:kern w:val="0"/>
                <w:sz w:val="24"/>
                <w:vertAlign w:val="subscript"/>
              </w:rPr>
              <w:t>P1i</w:t>
            </w:r>
            <w:r>
              <w:rPr>
                <w:kern w:val="0"/>
                <w:sz w:val="24"/>
              </w:rPr>
              <w:t>(T)——靠近围护结构处室内N个声源i倍频带的叠加声压级，dB；</w:t>
            </w:r>
          </w:p>
          <w:p w14:paraId="7B22B136">
            <w:pPr>
              <w:adjustRightInd w:val="0"/>
              <w:snapToGrid w:val="0"/>
              <w:spacing w:line="360" w:lineRule="auto"/>
              <w:ind w:firstLine="480" w:firstLineChars="200"/>
              <w:rPr>
                <w:kern w:val="0"/>
                <w:sz w:val="24"/>
              </w:rPr>
            </w:pPr>
            <w:r>
              <w:rPr>
                <w:kern w:val="0"/>
                <w:sz w:val="24"/>
              </w:rPr>
              <w:t>L</w:t>
            </w:r>
            <w:r>
              <w:rPr>
                <w:kern w:val="0"/>
                <w:sz w:val="24"/>
                <w:vertAlign w:val="subscript"/>
              </w:rPr>
              <w:t>P1ij</w:t>
            </w:r>
            <w:r>
              <w:rPr>
                <w:kern w:val="0"/>
                <w:sz w:val="24"/>
              </w:rPr>
              <w:t>——室内j声源i倍频带的声压级，dB；</w:t>
            </w:r>
          </w:p>
          <w:p w14:paraId="7CF554B5">
            <w:pPr>
              <w:adjustRightInd w:val="0"/>
              <w:snapToGrid w:val="0"/>
              <w:spacing w:line="360" w:lineRule="auto"/>
              <w:ind w:firstLine="480" w:firstLineChars="200"/>
              <w:rPr>
                <w:kern w:val="0"/>
                <w:sz w:val="24"/>
              </w:rPr>
            </w:pPr>
            <w:r>
              <w:rPr>
                <w:kern w:val="0"/>
                <w:sz w:val="24"/>
              </w:rPr>
              <w:t>N——室内声源总数。</w:t>
            </w:r>
          </w:p>
          <w:p w14:paraId="6ABF99C4">
            <w:pPr>
              <w:adjustRightInd w:val="0"/>
              <w:snapToGrid w:val="0"/>
              <w:spacing w:line="360" w:lineRule="auto"/>
              <w:ind w:firstLine="480" w:firstLineChars="200"/>
              <w:rPr>
                <w:kern w:val="0"/>
                <w:sz w:val="24"/>
              </w:rPr>
            </w:pPr>
            <w:r>
              <w:rPr>
                <w:kern w:val="0"/>
                <w:sz w:val="24"/>
              </w:rPr>
              <w:t>在室内近似为扩散声场时，按下述公式计算出靠近室外围护结构处的声压级</w:t>
            </w:r>
            <w:r>
              <w:rPr>
                <w:rFonts w:hint="eastAsia"/>
                <w:kern w:val="0"/>
                <w:sz w:val="24"/>
              </w:rPr>
              <w:t>：</w:t>
            </w:r>
          </w:p>
          <w:p w14:paraId="537AD157">
            <w:pPr>
              <w:adjustRightInd w:val="0"/>
              <w:snapToGrid w:val="0"/>
              <w:spacing w:line="360" w:lineRule="auto"/>
              <w:jc w:val="center"/>
              <w:rPr>
                <w:i/>
                <w:iCs/>
                <w:kern w:val="0"/>
                <w:sz w:val="24"/>
              </w:rPr>
            </w:pPr>
            <w:r>
              <w:rPr>
                <w:i/>
                <w:iCs/>
                <w:kern w:val="0"/>
                <w:sz w:val="24"/>
              </w:rPr>
              <w:t>L</w:t>
            </w:r>
            <w:r>
              <w:rPr>
                <w:i/>
                <w:iCs/>
                <w:kern w:val="0"/>
                <w:sz w:val="24"/>
                <w:vertAlign w:val="subscript"/>
              </w:rPr>
              <w:t>P2i</w:t>
            </w:r>
            <w:r>
              <w:rPr>
                <w:i/>
                <w:iCs/>
                <w:kern w:val="0"/>
                <w:sz w:val="24"/>
              </w:rPr>
              <w:t>(T)</w:t>
            </w:r>
            <w:r>
              <w:rPr>
                <w:rFonts w:hint="eastAsia"/>
                <w:i/>
                <w:iCs/>
                <w:kern w:val="0"/>
                <w:sz w:val="24"/>
              </w:rPr>
              <w:t>=</w:t>
            </w:r>
            <w:r>
              <w:rPr>
                <w:i/>
                <w:iCs/>
                <w:kern w:val="0"/>
                <w:sz w:val="24"/>
              </w:rPr>
              <w:t>L</w:t>
            </w:r>
            <w:r>
              <w:rPr>
                <w:i/>
                <w:iCs/>
                <w:kern w:val="0"/>
                <w:sz w:val="24"/>
                <w:vertAlign w:val="subscript"/>
              </w:rPr>
              <w:t>P1i</w:t>
            </w:r>
            <w:r>
              <w:rPr>
                <w:i/>
                <w:iCs/>
                <w:kern w:val="0"/>
                <w:sz w:val="24"/>
              </w:rPr>
              <w:t>(T)</w:t>
            </w:r>
            <w:r>
              <w:rPr>
                <w:rFonts w:hint="eastAsia"/>
                <w:i/>
                <w:iCs/>
                <w:kern w:val="0"/>
                <w:sz w:val="24"/>
              </w:rPr>
              <w:t>-（</w:t>
            </w:r>
            <w:r>
              <w:rPr>
                <w:i/>
                <w:iCs/>
                <w:kern w:val="0"/>
                <w:sz w:val="24"/>
              </w:rPr>
              <w:t>TL</w:t>
            </w:r>
            <w:r>
              <w:rPr>
                <w:i/>
                <w:iCs/>
                <w:kern w:val="0"/>
                <w:sz w:val="24"/>
                <w:vertAlign w:val="subscript"/>
              </w:rPr>
              <w:t>i</w:t>
            </w:r>
            <w:r>
              <w:rPr>
                <w:rFonts w:hint="eastAsia"/>
                <w:i/>
                <w:iCs/>
                <w:kern w:val="0"/>
                <w:sz w:val="24"/>
              </w:rPr>
              <w:t>+</w:t>
            </w:r>
            <w:r>
              <w:rPr>
                <w:i/>
                <w:iCs/>
                <w:kern w:val="0"/>
                <w:sz w:val="24"/>
              </w:rPr>
              <w:t>6</w:t>
            </w:r>
            <w:r>
              <w:rPr>
                <w:rFonts w:hint="eastAsia"/>
                <w:i/>
                <w:iCs/>
                <w:kern w:val="0"/>
                <w:sz w:val="24"/>
              </w:rPr>
              <w:t>）</w:t>
            </w:r>
          </w:p>
          <w:p w14:paraId="29BDC7FB">
            <w:pPr>
              <w:adjustRightInd w:val="0"/>
              <w:snapToGrid w:val="0"/>
              <w:spacing w:line="360" w:lineRule="auto"/>
              <w:ind w:firstLine="480" w:firstLineChars="200"/>
              <w:rPr>
                <w:kern w:val="0"/>
                <w:sz w:val="24"/>
              </w:rPr>
            </w:pPr>
            <w:r>
              <w:rPr>
                <w:kern w:val="0"/>
                <w:sz w:val="24"/>
              </w:rPr>
              <w:t>式中：L</w:t>
            </w:r>
            <w:r>
              <w:rPr>
                <w:kern w:val="0"/>
                <w:sz w:val="24"/>
                <w:vertAlign w:val="subscript"/>
              </w:rPr>
              <w:t>P2i</w:t>
            </w:r>
            <w:r>
              <w:rPr>
                <w:kern w:val="0"/>
                <w:sz w:val="24"/>
              </w:rPr>
              <w:t>(T)——靠近围护结构处室外N个声源i倍频带的叠加声压级，dB；</w:t>
            </w:r>
          </w:p>
          <w:p w14:paraId="70ADA5B2">
            <w:pPr>
              <w:adjustRightInd w:val="0"/>
              <w:snapToGrid w:val="0"/>
              <w:spacing w:line="360" w:lineRule="auto"/>
              <w:ind w:firstLine="480" w:firstLineChars="200"/>
              <w:rPr>
                <w:kern w:val="0"/>
                <w:sz w:val="24"/>
              </w:rPr>
            </w:pPr>
            <w:r>
              <w:rPr>
                <w:kern w:val="0"/>
                <w:sz w:val="24"/>
              </w:rPr>
              <w:t>TL</w:t>
            </w:r>
            <w:r>
              <w:rPr>
                <w:kern w:val="0"/>
                <w:sz w:val="24"/>
                <w:vertAlign w:val="subscript"/>
              </w:rPr>
              <w:t>i</w:t>
            </w:r>
            <w:r>
              <w:rPr>
                <w:kern w:val="0"/>
                <w:sz w:val="24"/>
              </w:rPr>
              <w:t>——围护结构i倍频带的隔声量，dB；</w:t>
            </w:r>
          </w:p>
          <w:p w14:paraId="50BAA2BC">
            <w:pPr>
              <w:adjustRightInd w:val="0"/>
              <w:snapToGrid w:val="0"/>
              <w:spacing w:line="360" w:lineRule="auto"/>
              <w:ind w:firstLine="480" w:firstLineChars="200"/>
              <w:rPr>
                <w:kern w:val="0"/>
                <w:sz w:val="24"/>
              </w:rPr>
            </w:pPr>
            <w:r>
              <w:rPr>
                <w:kern w:val="0"/>
                <w:sz w:val="24"/>
              </w:rPr>
              <w:t>然后按下述公式将室外声源的声压级和透过面积换算成等效的室外声源，计算出中心位置于透声面积（S）处的等效声源的倍频带声功率级。</w:t>
            </w:r>
          </w:p>
          <w:p w14:paraId="2301F6EB">
            <w:pPr>
              <w:adjustRightInd w:val="0"/>
              <w:snapToGrid w:val="0"/>
              <w:spacing w:line="360" w:lineRule="auto"/>
              <w:jc w:val="center"/>
              <w:rPr>
                <w:i/>
                <w:iCs/>
                <w:kern w:val="0"/>
                <w:sz w:val="24"/>
              </w:rPr>
            </w:pPr>
            <w:r>
              <w:rPr>
                <w:i/>
                <w:iCs/>
                <w:kern w:val="0"/>
                <w:sz w:val="24"/>
              </w:rPr>
              <w:t>L</w:t>
            </w:r>
            <w:r>
              <w:rPr>
                <w:rFonts w:hint="eastAsia"/>
                <w:i/>
                <w:iCs/>
                <w:kern w:val="0"/>
                <w:sz w:val="24"/>
                <w:vertAlign w:val="subscript"/>
              </w:rPr>
              <w:t>w</w:t>
            </w:r>
            <w:r>
              <w:rPr>
                <w:rFonts w:hint="eastAsia"/>
                <w:i/>
                <w:iCs/>
                <w:kern w:val="0"/>
                <w:sz w:val="24"/>
              </w:rPr>
              <w:t>=</w:t>
            </w:r>
            <w:r>
              <w:rPr>
                <w:i/>
                <w:iCs/>
                <w:kern w:val="0"/>
                <w:sz w:val="24"/>
              </w:rPr>
              <w:t>L</w:t>
            </w:r>
            <w:r>
              <w:rPr>
                <w:i/>
                <w:iCs/>
                <w:kern w:val="0"/>
                <w:sz w:val="24"/>
                <w:vertAlign w:val="subscript"/>
              </w:rPr>
              <w:t>P2</w:t>
            </w:r>
            <w:r>
              <w:rPr>
                <w:i/>
                <w:iCs/>
                <w:kern w:val="0"/>
                <w:sz w:val="24"/>
              </w:rPr>
              <w:t>(T)</w:t>
            </w:r>
            <w:r>
              <w:rPr>
                <w:rFonts w:hint="eastAsia"/>
                <w:i/>
                <w:iCs/>
                <w:kern w:val="0"/>
                <w:sz w:val="24"/>
              </w:rPr>
              <w:t>+</w:t>
            </w:r>
            <w:r>
              <w:rPr>
                <w:i/>
                <w:iCs/>
                <w:kern w:val="0"/>
                <w:sz w:val="24"/>
              </w:rPr>
              <w:t>10lg</w:t>
            </w:r>
            <w:r>
              <w:rPr>
                <w:rFonts w:hint="eastAsia"/>
                <w:i/>
                <w:iCs/>
                <w:kern w:val="0"/>
                <w:sz w:val="24"/>
              </w:rPr>
              <w:t>S</w:t>
            </w:r>
          </w:p>
          <w:p w14:paraId="1D6A4913">
            <w:pPr>
              <w:adjustRightInd w:val="0"/>
              <w:snapToGrid w:val="0"/>
              <w:spacing w:line="360" w:lineRule="auto"/>
              <w:ind w:firstLine="480" w:firstLineChars="200"/>
              <w:rPr>
                <w:kern w:val="0"/>
                <w:sz w:val="24"/>
              </w:rPr>
            </w:pPr>
            <w:r>
              <w:rPr>
                <w:kern w:val="0"/>
                <w:sz w:val="24"/>
              </w:rPr>
              <w:t>式中：L</w:t>
            </w:r>
            <w:r>
              <w:rPr>
                <w:kern w:val="0"/>
                <w:sz w:val="24"/>
                <w:vertAlign w:val="subscript"/>
              </w:rPr>
              <w:t>w</w:t>
            </w:r>
            <w:r>
              <w:rPr>
                <w:kern w:val="0"/>
                <w:sz w:val="24"/>
              </w:rPr>
              <w:t>——中心位置位于透声面积（S）处的等效声源的倍频带声功率级，dB；</w:t>
            </w:r>
          </w:p>
          <w:p w14:paraId="11821E1E">
            <w:pPr>
              <w:adjustRightInd w:val="0"/>
              <w:snapToGrid w:val="0"/>
              <w:spacing w:line="360" w:lineRule="auto"/>
              <w:ind w:firstLine="480" w:firstLineChars="200"/>
              <w:rPr>
                <w:kern w:val="0"/>
                <w:sz w:val="24"/>
              </w:rPr>
            </w:pPr>
            <w:r>
              <w:rPr>
                <w:kern w:val="0"/>
                <w:sz w:val="24"/>
              </w:rPr>
              <w:t>L</w:t>
            </w:r>
            <w:r>
              <w:rPr>
                <w:kern w:val="0"/>
                <w:sz w:val="24"/>
                <w:vertAlign w:val="subscript"/>
              </w:rPr>
              <w:t>p2</w:t>
            </w:r>
            <w:r>
              <w:rPr>
                <w:kern w:val="0"/>
                <w:sz w:val="24"/>
              </w:rPr>
              <w:t>(T)——靠近围护结构处室外声源的声压级，dB；</w:t>
            </w:r>
          </w:p>
          <w:p w14:paraId="47CA31ED">
            <w:pPr>
              <w:adjustRightInd w:val="0"/>
              <w:snapToGrid w:val="0"/>
              <w:spacing w:line="360" w:lineRule="auto"/>
              <w:ind w:firstLine="480" w:firstLineChars="200"/>
              <w:rPr>
                <w:kern w:val="0"/>
                <w:sz w:val="24"/>
              </w:rPr>
            </w:pPr>
            <w:r>
              <w:rPr>
                <w:kern w:val="0"/>
                <w:sz w:val="24"/>
              </w:rPr>
              <w:t>S——透声面积，m</w:t>
            </w:r>
            <w:r>
              <w:rPr>
                <w:kern w:val="0"/>
                <w:sz w:val="24"/>
                <w:vertAlign w:val="superscript"/>
              </w:rPr>
              <w:t>2</w:t>
            </w:r>
            <w:r>
              <w:rPr>
                <w:kern w:val="0"/>
                <w:sz w:val="24"/>
              </w:rPr>
              <w:t>。</w:t>
            </w:r>
          </w:p>
          <w:p w14:paraId="32EA2073">
            <w:pPr>
              <w:adjustRightInd w:val="0"/>
              <w:snapToGrid w:val="0"/>
              <w:spacing w:line="360" w:lineRule="auto"/>
              <w:ind w:firstLine="480" w:firstLineChars="200"/>
              <w:rPr>
                <w:kern w:val="0"/>
                <w:sz w:val="24"/>
              </w:rPr>
            </w:pPr>
            <w:r>
              <w:rPr>
                <w:kern w:val="0"/>
                <w:sz w:val="24"/>
              </w:rPr>
              <w:t>然后按室外声源预测方法计算预测点处的A声级。</w:t>
            </w:r>
          </w:p>
          <w:p w14:paraId="5AEB9CF7">
            <w:pPr>
              <w:adjustRightInd w:val="0"/>
              <w:snapToGrid w:val="0"/>
              <w:spacing w:line="360" w:lineRule="auto"/>
              <w:ind w:firstLine="482" w:firstLineChars="200"/>
              <w:rPr>
                <w:b/>
                <w:bCs/>
                <w:kern w:val="0"/>
                <w:sz w:val="24"/>
              </w:rPr>
            </w:pPr>
            <w:r>
              <w:rPr>
                <w:rFonts w:hint="eastAsia"/>
                <w:b/>
                <w:bCs/>
                <w:kern w:val="0"/>
                <w:sz w:val="24"/>
              </w:rPr>
              <w:t>（</w:t>
            </w:r>
            <w:r>
              <w:rPr>
                <w:b/>
                <w:bCs/>
                <w:kern w:val="0"/>
                <w:sz w:val="24"/>
              </w:rPr>
              <w:t>2）噪声随距离衰减模式</w:t>
            </w:r>
          </w:p>
          <w:p w14:paraId="1BF18A9F">
            <w:pPr>
              <w:adjustRightInd w:val="0"/>
              <w:snapToGrid w:val="0"/>
              <w:spacing w:line="360" w:lineRule="auto"/>
              <w:ind w:firstLine="480" w:firstLineChars="200"/>
              <w:rPr>
                <w:kern w:val="0"/>
                <w:sz w:val="24"/>
              </w:rPr>
            </w:pPr>
            <w:r>
              <w:rPr>
                <w:kern w:val="0"/>
                <w:sz w:val="24"/>
              </w:rPr>
              <w:t>点声源几何发散衰减模式：</w:t>
            </w:r>
          </w:p>
          <w:p w14:paraId="1C5FB5E7">
            <w:pPr>
              <w:adjustRightInd w:val="0"/>
              <w:snapToGrid w:val="0"/>
              <w:spacing w:line="360" w:lineRule="auto"/>
              <w:ind w:firstLine="200"/>
              <w:jc w:val="center"/>
              <w:rPr>
                <w:i/>
                <w:iCs/>
                <w:kern w:val="0"/>
                <w:sz w:val="24"/>
              </w:rPr>
            </w:pPr>
            <w:r>
              <w:rPr>
                <w:i/>
                <w:iCs/>
                <w:kern w:val="0"/>
                <w:sz w:val="24"/>
              </w:rPr>
              <w:t>L</w:t>
            </w:r>
            <w:r>
              <w:rPr>
                <w:rFonts w:hint="eastAsia"/>
                <w:i/>
                <w:iCs/>
                <w:kern w:val="0"/>
                <w:sz w:val="24"/>
                <w:vertAlign w:val="subscript"/>
              </w:rPr>
              <w:t>p</w:t>
            </w:r>
            <w:r>
              <w:rPr>
                <w:rFonts w:hint="eastAsia"/>
                <w:i/>
                <w:iCs/>
                <w:kern w:val="0"/>
                <w:sz w:val="24"/>
              </w:rPr>
              <w:t>（</w:t>
            </w:r>
            <w:r>
              <w:rPr>
                <w:i/>
                <w:iCs/>
                <w:kern w:val="0"/>
                <w:sz w:val="24"/>
              </w:rPr>
              <w:t>r</w:t>
            </w:r>
            <w:r>
              <w:rPr>
                <w:rFonts w:hint="eastAsia"/>
                <w:i/>
                <w:iCs/>
                <w:kern w:val="0"/>
                <w:sz w:val="24"/>
              </w:rPr>
              <w:t>）=</w:t>
            </w:r>
            <w:r>
              <w:rPr>
                <w:i/>
                <w:iCs/>
                <w:kern w:val="0"/>
                <w:sz w:val="24"/>
              </w:rPr>
              <w:t>L</w:t>
            </w:r>
            <w:r>
              <w:rPr>
                <w:rFonts w:hint="eastAsia"/>
                <w:i/>
                <w:iCs/>
                <w:kern w:val="0"/>
                <w:sz w:val="24"/>
                <w:vertAlign w:val="subscript"/>
              </w:rPr>
              <w:t>p</w:t>
            </w:r>
            <w:r>
              <w:rPr>
                <w:rFonts w:hint="eastAsia"/>
                <w:i/>
                <w:iCs/>
                <w:kern w:val="0"/>
                <w:sz w:val="24"/>
              </w:rPr>
              <w:t>（</w:t>
            </w:r>
            <w:r>
              <w:rPr>
                <w:i/>
                <w:iCs/>
                <w:kern w:val="0"/>
                <w:sz w:val="24"/>
              </w:rPr>
              <w:t>r</w:t>
            </w:r>
            <w:r>
              <w:rPr>
                <w:i/>
                <w:iCs/>
                <w:kern w:val="0"/>
                <w:sz w:val="24"/>
                <w:vertAlign w:val="subscript"/>
              </w:rPr>
              <w:t>0</w:t>
            </w:r>
            <w:r>
              <w:rPr>
                <w:rFonts w:hint="eastAsia"/>
                <w:i/>
                <w:iCs/>
                <w:kern w:val="0"/>
                <w:sz w:val="24"/>
              </w:rPr>
              <w:t>）-</w:t>
            </w:r>
            <w:r>
              <w:rPr>
                <w:i/>
                <w:iCs/>
                <w:kern w:val="0"/>
                <w:sz w:val="24"/>
              </w:rPr>
              <w:t>20lg</w:t>
            </w:r>
            <w:r>
              <w:rPr>
                <w:rFonts w:hint="eastAsia"/>
                <w:i/>
                <w:iCs/>
                <w:kern w:val="0"/>
                <w:sz w:val="24"/>
              </w:rPr>
              <w:t>（</w:t>
            </w:r>
            <w:r>
              <w:rPr>
                <w:i/>
                <w:iCs/>
                <w:kern w:val="0"/>
                <w:sz w:val="24"/>
              </w:rPr>
              <w:t>r/r</w:t>
            </w:r>
            <w:r>
              <w:rPr>
                <w:i/>
                <w:iCs/>
                <w:kern w:val="0"/>
                <w:sz w:val="24"/>
                <w:vertAlign w:val="subscript"/>
              </w:rPr>
              <w:t>0</w:t>
            </w:r>
            <w:r>
              <w:rPr>
                <w:rFonts w:hint="eastAsia"/>
                <w:i/>
                <w:iCs/>
                <w:kern w:val="0"/>
                <w:sz w:val="24"/>
              </w:rPr>
              <w:t>）</w:t>
            </w:r>
          </w:p>
          <w:p w14:paraId="1ED224FA">
            <w:pPr>
              <w:adjustRightInd w:val="0"/>
              <w:snapToGrid w:val="0"/>
              <w:spacing w:line="360" w:lineRule="auto"/>
              <w:ind w:firstLine="480" w:firstLineChars="200"/>
              <w:rPr>
                <w:kern w:val="0"/>
                <w:sz w:val="24"/>
              </w:rPr>
            </w:pPr>
            <w:r>
              <w:rPr>
                <w:kern w:val="0"/>
                <w:sz w:val="24"/>
              </w:rPr>
              <w:t>式中：L</w:t>
            </w:r>
            <w:r>
              <w:rPr>
                <w:kern w:val="0"/>
                <w:sz w:val="24"/>
                <w:vertAlign w:val="subscript"/>
              </w:rPr>
              <w:t>p</w:t>
            </w:r>
            <w:r>
              <w:rPr>
                <w:kern w:val="0"/>
                <w:sz w:val="24"/>
              </w:rPr>
              <w:t>(r)——预测点处声压级，dB；</w:t>
            </w:r>
          </w:p>
          <w:p w14:paraId="7EE15E49">
            <w:pPr>
              <w:adjustRightInd w:val="0"/>
              <w:snapToGrid w:val="0"/>
              <w:spacing w:line="360" w:lineRule="auto"/>
              <w:ind w:firstLine="480" w:firstLineChars="200"/>
              <w:rPr>
                <w:kern w:val="0"/>
                <w:sz w:val="24"/>
              </w:rPr>
            </w:pPr>
            <w:r>
              <w:rPr>
                <w:kern w:val="0"/>
                <w:sz w:val="24"/>
              </w:rPr>
              <w:t>L</w:t>
            </w:r>
            <w:r>
              <w:rPr>
                <w:kern w:val="0"/>
                <w:sz w:val="24"/>
                <w:vertAlign w:val="subscript"/>
              </w:rPr>
              <w:t>p</w:t>
            </w:r>
            <w:r>
              <w:rPr>
                <w:kern w:val="0"/>
                <w:sz w:val="24"/>
              </w:rPr>
              <w:t>(r</w:t>
            </w:r>
            <w:r>
              <w:rPr>
                <w:kern w:val="0"/>
                <w:sz w:val="24"/>
                <w:vertAlign w:val="subscript"/>
              </w:rPr>
              <w:t>0</w:t>
            </w:r>
            <w:r>
              <w:rPr>
                <w:kern w:val="0"/>
                <w:sz w:val="24"/>
              </w:rPr>
              <w:t>)——参考位置r</w:t>
            </w:r>
            <w:r>
              <w:rPr>
                <w:kern w:val="0"/>
                <w:sz w:val="24"/>
                <w:vertAlign w:val="subscript"/>
              </w:rPr>
              <w:t>0</w:t>
            </w:r>
            <w:r>
              <w:rPr>
                <w:kern w:val="0"/>
                <w:sz w:val="24"/>
              </w:rPr>
              <w:t>处的声压级，dB；</w:t>
            </w:r>
          </w:p>
          <w:p w14:paraId="26EB2410">
            <w:pPr>
              <w:adjustRightInd w:val="0"/>
              <w:snapToGrid w:val="0"/>
              <w:spacing w:line="360" w:lineRule="auto"/>
              <w:ind w:firstLine="480" w:firstLineChars="200"/>
              <w:rPr>
                <w:kern w:val="0"/>
                <w:sz w:val="24"/>
              </w:rPr>
            </w:pPr>
            <w:r>
              <w:rPr>
                <w:kern w:val="0"/>
                <w:sz w:val="24"/>
              </w:rPr>
              <w:t>r——预测点距声源的距离；</w:t>
            </w:r>
          </w:p>
          <w:p w14:paraId="25D331F0">
            <w:pPr>
              <w:adjustRightInd w:val="0"/>
              <w:snapToGrid w:val="0"/>
              <w:spacing w:line="360" w:lineRule="auto"/>
              <w:ind w:firstLine="480" w:firstLineChars="200"/>
              <w:rPr>
                <w:kern w:val="0"/>
                <w:sz w:val="24"/>
              </w:rPr>
            </w:pPr>
            <w:r>
              <w:rPr>
                <w:kern w:val="0"/>
                <w:sz w:val="24"/>
              </w:rPr>
              <w:t>r</w:t>
            </w:r>
            <w:r>
              <w:rPr>
                <w:kern w:val="0"/>
                <w:sz w:val="24"/>
                <w:vertAlign w:val="subscript"/>
              </w:rPr>
              <w:t>0</w:t>
            </w:r>
            <w:r>
              <w:rPr>
                <w:kern w:val="0"/>
                <w:sz w:val="24"/>
              </w:rPr>
              <w:t>——参考位置距声源的距离。</w:t>
            </w:r>
          </w:p>
          <w:p w14:paraId="322F798A">
            <w:pPr>
              <w:adjustRightInd w:val="0"/>
              <w:snapToGrid w:val="0"/>
              <w:spacing w:line="360" w:lineRule="auto"/>
              <w:ind w:firstLine="482" w:firstLineChars="200"/>
              <w:rPr>
                <w:b/>
                <w:bCs/>
                <w:kern w:val="0"/>
                <w:sz w:val="24"/>
              </w:rPr>
            </w:pPr>
            <w:r>
              <w:rPr>
                <w:rFonts w:hint="eastAsia"/>
                <w:b/>
                <w:bCs/>
                <w:kern w:val="0"/>
                <w:sz w:val="24"/>
              </w:rPr>
              <w:t>（</w:t>
            </w:r>
            <w:r>
              <w:rPr>
                <w:b/>
                <w:bCs/>
                <w:kern w:val="0"/>
                <w:sz w:val="24"/>
              </w:rPr>
              <w:t>3）多源叠加模式</w:t>
            </w:r>
          </w:p>
          <w:p w14:paraId="62566332">
            <w:pPr>
              <w:adjustRightInd w:val="0"/>
              <w:snapToGrid w:val="0"/>
              <w:jc w:val="center"/>
              <w:rPr>
                <w:kern w:val="0"/>
                <w:sz w:val="24"/>
                <w:szCs w:val="24"/>
                <w:lang w:bidi="ar"/>
              </w:rPr>
            </w:pPr>
            <w:r>
              <w:rPr>
                <w:position w:val="-32"/>
                <w:sz w:val="24"/>
              </w:rPr>
              <w:object>
                <v:shape id="_x0000_i1027" o:spt="75" type="#_x0000_t75" style="height:33.15pt;width:109.5pt;" o:ole="t" filled="f" o:preferrelative="t" stroked="f" coordsize="21600,21600">
                  <v:path/>
                  <v:fill on="f" focussize="0,0"/>
                  <v:stroke on="f" joinstyle="miter"/>
                  <v:imagedata r:id="rId29" o:title=""/>
                  <o:lock v:ext="edit" aspectratio="t"/>
                  <w10:wrap type="none"/>
                  <w10:anchorlock/>
                </v:shape>
                <o:OLEObject Type="Embed" ProgID="Unknown" ShapeID="_x0000_i1027" DrawAspect="Content" ObjectID="_1468075727" r:id="rId28">
                  <o:LockedField>false</o:LockedField>
                </o:OLEObject>
              </w:object>
            </w:r>
          </w:p>
          <w:p w14:paraId="27285A9E">
            <w:pPr>
              <w:adjustRightInd w:val="0"/>
              <w:snapToGrid w:val="0"/>
              <w:spacing w:line="360" w:lineRule="auto"/>
              <w:ind w:firstLine="480" w:firstLineChars="200"/>
              <w:rPr>
                <w:kern w:val="0"/>
                <w:sz w:val="24"/>
                <w:szCs w:val="24"/>
                <w:lang w:bidi="ar"/>
              </w:rPr>
            </w:pPr>
            <w:r>
              <w:rPr>
                <w:kern w:val="0"/>
                <w:sz w:val="24"/>
                <w:szCs w:val="24"/>
                <w:lang w:bidi="ar"/>
              </w:rPr>
              <w:t>式中：</w:t>
            </w:r>
          </w:p>
          <w:p w14:paraId="522936FD">
            <w:pPr>
              <w:adjustRightInd w:val="0"/>
              <w:snapToGrid w:val="0"/>
              <w:spacing w:line="360" w:lineRule="auto"/>
              <w:ind w:firstLine="480" w:firstLineChars="200"/>
              <w:rPr>
                <w:kern w:val="0"/>
                <w:sz w:val="24"/>
                <w:szCs w:val="24"/>
                <w:lang w:bidi="ar"/>
              </w:rPr>
            </w:pPr>
            <w:r>
              <w:rPr>
                <w:kern w:val="0"/>
                <w:sz w:val="24"/>
                <w:szCs w:val="24"/>
                <w:lang w:bidi="ar"/>
              </w:rPr>
              <w:t>L</w:t>
            </w:r>
            <w:r>
              <w:rPr>
                <w:kern w:val="0"/>
                <w:sz w:val="24"/>
                <w:szCs w:val="24"/>
                <w:vertAlign w:val="subscript"/>
                <w:lang w:bidi="ar"/>
              </w:rPr>
              <w:t>eq</w:t>
            </w:r>
            <w:r>
              <w:rPr>
                <w:kern w:val="0"/>
                <w:sz w:val="24"/>
                <w:szCs w:val="24"/>
                <w:lang w:bidi="ar"/>
              </w:rPr>
              <w:t>—预测点的总等效声级，dB（A）；</w:t>
            </w:r>
          </w:p>
          <w:p w14:paraId="122F6EB7">
            <w:pPr>
              <w:adjustRightInd w:val="0"/>
              <w:snapToGrid w:val="0"/>
              <w:spacing w:line="360" w:lineRule="auto"/>
              <w:ind w:firstLine="480" w:firstLineChars="200"/>
              <w:rPr>
                <w:kern w:val="0"/>
                <w:sz w:val="24"/>
                <w:szCs w:val="24"/>
                <w:lang w:bidi="ar"/>
              </w:rPr>
            </w:pPr>
            <w:r>
              <w:rPr>
                <w:kern w:val="0"/>
                <w:sz w:val="24"/>
                <w:szCs w:val="24"/>
                <w:lang w:bidi="ar"/>
              </w:rPr>
              <w:t>L</w:t>
            </w:r>
            <w:r>
              <w:rPr>
                <w:kern w:val="0"/>
                <w:sz w:val="24"/>
                <w:szCs w:val="24"/>
                <w:vertAlign w:val="subscript"/>
                <w:lang w:bidi="ar"/>
              </w:rPr>
              <w:t>i</w:t>
            </w:r>
            <w:r>
              <w:rPr>
                <w:kern w:val="0"/>
                <w:sz w:val="24"/>
                <w:szCs w:val="24"/>
                <w:lang w:bidi="ar"/>
              </w:rPr>
              <w:t>—第i个声源对预测点的声级影响，dB（A）。</w:t>
            </w:r>
          </w:p>
          <w:p w14:paraId="40B71E0C">
            <w:pPr>
              <w:adjustRightInd w:val="0"/>
              <w:snapToGrid w:val="0"/>
              <w:spacing w:line="360" w:lineRule="auto"/>
              <w:ind w:firstLine="482" w:firstLineChars="200"/>
              <w:rPr>
                <w:b/>
                <w:bCs/>
                <w:kern w:val="0"/>
                <w:sz w:val="24"/>
              </w:rPr>
            </w:pPr>
            <w:r>
              <w:rPr>
                <w:rFonts w:hint="eastAsia"/>
                <w:b/>
                <w:bCs/>
                <w:kern w:val="0"/>
                <w:sz w:val="24"/>
              </w:rPr>
              <w:t>（</w:t>
            </w:r>
            <w:r>
              <w:rPr>
                <w:b/>
                <w:bCs/>
                <w:kern w:val="0"/>
                <w:sz w:val="24"/>
              </w:rPr>
              <w:t>4）预测结果</w:t>
            </w:r>
          </w:p>
          <w:p w14:paraId="4C089BB5">
            <w:pPr>
              <w:adjustRightInd w:val="0"/>
              <w:snapToGrid w:val="0"/>
              <w:spacing w:line="360" w:lineRule="auto"/>
              <w:ind w:firstLine="480" w:firstLineChars="200"/>
              <w:rPr>
                <w:sz w:val="24"/>
                <w:szCs w:val="24"/>
              </w:rPr>
            </w:pPr>
            <w:r>
              <w:rPr>
                <w:sz w:val="24"/>
                <w:szCs w:val="24"/>
              </w:rPr>
              <w:t>项目为</w:t>
            </w:r>
            <w:r>
              <w:rPr>
                <w:rFonts w:hint="eastAsia"/>
                <w:sz w:val="24"/>
                <w:szCs w:val="24"/>
              </w:rPr>
              <w:t>改扩</w:t>
            </w:r>
            <w:r>
              <w:rPr>
                <w:sz w:val="24"/>
                <w:szCs w:val="24"/>
              </w:rPr>
              <w:t>建项目，</w:t>
            </w:r>
            <w:r>
              <w:rPr>
                <w:rFonts w:hint="eastAsia"/>
                <w:sz w:val="24"/>
                <w:szCs w:val="24"/>
              </w:rPr>
              <w:t>厂界外50米范围内没有声环境敏感点，本项目预测厂</w:t>
            </w:r>
            <w:r>
              <w:rPr>
                <w:sz w:val="24"/>
                <w:szCs w:val="24"/>
              </w:rPr>
              <w:t>界贡献值</w:t>
            </w:r>
            <w:r>
              <w:rPr>
                <w:rFonts w:hint="eastAsia"/>
                <w:sz w:val="24"/>
                <w:szCs w:val="24"/>
              </w:rPr>
              <w:t>和厂界预测值，预测值</w:t>
            </w:r>
            <w:r>
              <w:rPr>
                <w:sz w:val="24"/>
                <w:szCs w:val="24"/>
              </w:rPr>
              <w:t>以贡献值与背景值叠加后的预测值作为评价量。</w:t>
            </w:r>
            <w:r>
              <w:rPr>
                <w:kern w:val="0"/>
                <w:sz w:val="24"/>
              </w:rPr>
              <w:t>根据预测模型</w:t>
            </w:r>
            <w:r>
              <w:rPr>
                <w:rFonts w:hint="eastAsia"/>
                <w:kern w:val="0"/>
                <w:sz w:val="24"/>
              </w:rPr>
              <w:t>计算出</w:t>
            </w:r>
            <w:r>
              <w:rPr>
                <w:kern w:val="0"/>
                <w:sz w:val="24"/>
              </w:rPr>
              <w:t>各类机械设备的噪声在厂界</w:t>
            </w:r>
            <w:r>
              <w:rPr>
                <w:rFonts w:hint="eastAsia"/>
                <w:kern w:val="0"/>
                <w:sz w:val="24"/>
              </w:rPr>
              <w:t>处</w:t>
            </w:r>
            <w:r>
              <w:rPr>
                <w:kern w:val="0"/>
                <w:sz w:val="24"/>
              </w:rPr>
              <w:t>的</w:t>
            </w:r>
            <w:r>
              <w:rPr>
                <w:rFonts w:hint="eastAsia"/>
                <w:kern w:val="0"/>
                <w:sz w:val="24"/>
              </w:rPr>
              <w:t>贡献值和预测值，</w:t>
            </w:r>
            <w:r>
              <w:rPr>
                <w:kern w:val="0"/>
                <w:sz w:val="24"/>
              </w:rPr>
              <w:t>见表</w:t>
            </w:r>
            <w:r>
              <w:rPr>
                <w:rFonts w:hint="eastAsia"/>
                <w:kern w:val="0"/>
                <w:sz w:val="24"/>
              </w:rPr>
              <w:t>4-17。</w:t>
            </w:r>
          </w:p>
          <w:p w14:paraId="4EF9E86D">
            <w:pPr>
              <w:pStyle w:val="12"/>
              <w:ind w:left="0" w:leftChars="0" w:firstLine="0" w:firstLineChars="0"/>
              <w:jc w:val="center"/>
              <w:rPr>
                <w:b/>
              </w:rPr>
            </w:pPr>
            <w:r>
              <w:rPr>
                <w:b/>
              </w:rPr>
              <w:t>表4-1</w:t>
            </w:r>
            <w:r>
              <w:rPr>
                <w:rFonts w:hint="eastAsia"/>
                <w:b/>
              </w:rPr>
              <w:t>7</w:t>
            </w:r>
            <w:r>
              <w:rPr>
                <w:b/>
              </w:rPr>
              <w:t>噪声预测结果</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6"/>
              <w:gridCol w:w="1297"/>
              <w:gridCol w:w="1297"/>
              <w:gridCol w:w="1299"/>
              <w:gridCol w:w="1297"/>
              <w:gridCol w:w="1299"/>
              <w:gridCol w:w="1170"/>
            </w:tblGrid>
            <w:tr w14:paraId="7D308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24" w:type="pct"/>
                  <w:vMerge w:val="restart"/>
                  <w:noWrap/>
                  <w:vAlign w:val="center"/>
                </w:tcPr>
                <w:p w14:paraId="64567BEF">
                  <w:pPr>
                    <w:widowControl/>
                    <w:jc w:val="center"/>
                    <w:rPr>
                      <w:rFonts w:cs="宋体"/>
                      <w:kern w:val="0"/>
                      <w:szCs w:val="22"/>
                    </w:rPr>
                  </w:pPr>
                  <w:r>
                    <w:rPr>
                      <w:rFonts w:hint="eastAsia" w:cs="宋体"/>
                      <w:kern w:val="0"/>
                      <w:szCs w:val="22"/>
                    </w:rPr>
                    <w:t>名称</w:t>
                  </w:r>
                </w:p>
              </w:tc>
              <w:tc>
                <w:tcPr>
                  <w:tcW w:w="1516" w:type="pct"/>
                  <w:gridSpan w:val="2"/>
                  <w:vAlign w:val="center"/>
                </w:tcPr>
                <w:p w14:paraId="64DD649A">
                  <w:pPr>
                    <w:widowControl/>
                    <w:jc w:val="center"/>
                    <w:rPr>
                      <w:rFonts w:cs="宋体"/>
                      <w:kern w:val="0"/>
                      <w:szCs w:val="22"/>
                    </w:rPr>
                  </w:pPr>
                  <w:r>
                    <w:rPr>
                      <w:rFonts w:hint="eastAsia" w:cs="宋体"/>
                      <w:kern w:val="0"/>
                      <w:szCs w:val="22"/>
                    </w:rPr>
                    <w:t>贡献值dB(A)</w:t>
                  </w:r>
                </w:p>
              </w:tc>
              <w:tc>
                <w:tcPr>
                  <w:tcW w:w="1517" w:type="pct"/>
                  <w:gridSpan w:val="2"/>
                  <w:vAlign w:val="center"/>
                </w:tcPr>
                <w:p w14:paraId="1C694D8D">
                  <w:pPr>
                    <w:widowControl/>
                    <w:jc w:val="center"/>
                    <w:rPr>
                      <w:rFonts w:cs="宋体"/>
                      <w:kern w:val="0"/>
                      <w:szCs w:val="22"/>
                    </w:rPr>
                  </w:pPr>
                  <w:r>
                    <w:rPr>
                      <w:rFonts w:hint="eastAsia" w:cs="宋体"/>
                      <w:kern w:val="0"/>
                      <w:szCs w:val="22"/>
                    </w:rPr>
                    <w:t>背景值dB(A)</w:t>
                  </w:r>
                </w:p>
              </w:tc>
              <w:tc>
                <w:tcPr>
                  <w:tcW w:w="1443" w:type="pct"/>
                  <w:gridSpan w:val="2"/>
                  <w:vAlign w:val="center"/>
                </w:tcPr>
                <w:p w14:paraId="0ED0D964">
                  <w:pPr>
                    <w:widowControl/>
                    <w:jc w:val="center"/>
                    <w:rPr>
                      <w:rFonts w:cs="宋体"/>
                      <w:kern w:val="0"/>
                      <w:szCs w:val="22"/>
                    </w:rPr>
                  </w:pPr>
                  <w:r>
                    <w:rPr>
                      <w:rFonts w:hint="eastAsia" w:cs="宋体"/>
                      <w:kern w:val="0"/>
                      <w:szCs w:val="22"/>
                    </w:rPr>
                    <w:t>预测值dB(A)</w:t>
                  </w:r>
                </w:p>
              </w:tc>
            </w:tr>
            <w:tr w14:paraId="312B6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24" w:type="pct"/>
                  <w:vMerge w:val="continue"/>
                  <w:noWrap/>
                  <w:vAlign w:val="center"/>
                </w:tcPr>
                <w:p w14:paraId="4A18BC5C">
                  <w:pPr>
                    <w:widowControl/>
                    <w:jc w:val="center"/>
                    <w:rPr>
                      <w:rFonts w:cs="宋体"/>
                      <w:kern w:val="0"/>
                      <w:szCs w:val="22"/>
                    </w:rPr>
                  </w:pPr>
                </w:p>
              </w:tc>
              <w:tc>
                <w:tcPr>
                  <w:tcW w:w="758" w:type="pct"/>
                  <w:vAlign w:val="center"/>
                </w:tcPr>
                <w:p w14:paraId="31FEF7CE">
                  <w:pPr>
                    <w:widowControl/>
                    <w:jc w:val="center"/>
                    <w:rPr>
                      <w:rFonts w:cs="宋体"/>
                      <w:kern w:val="0"/>
                      <w:szCs w:val="22"/>
                    </w:rPr>
                  </w:pPr>
                  <w:r>
                    <w:rPr>
                      <w:rFonts w:cs="Calibri"/>
                      <w:kern w:val="0"/>
                      <w:szCs w:val="22"/>
                    </w:rPr>
                    <w:t>昼间</w:t>
                  </w:r>
                </w:p>
              </w:tc>
              <w:tc>
                <w:tcPr>
                  <w:tcW w:w="758" w:type="pct"/>
                  <w:noWrap/>
                  <w:vAlign w:val="center"/>
                </w:tcPr>
                <w:p w14:paraId="1D756045">
                  <w:pPr>
                    <w:widowControl/>
                    <w:jc w:val="center"/>
                    <w:rPr>
                      <w:rFonts w:cs="宋体"/>
                      <w:kern w:val="0"/>
                      <w:szCs w:val="22"/>
                    </w:rPr>
                  </w:pPr>
                  <w:r>
                    <w:rPr>
                      <w:rFonts w:hint="eastAsia" w:cs="Calibri"/>
                      <w:kern w:val="0"/>
                      <w:szCs w:val="22"/>
                    </w:rPr>
                    <w:t>夜间</w:t>
                  </w:r>
                </w:p>
              </w:tc>
              <w:tc>
                <w:tcPr>
                  <w:tcW w:w="759" w:type="pct"/>
                  <w:vAlign w:val="center"/>
                </w:tcPr>
                <w:p w14:paraId="3AFB0704">
                  <w:pPr>
                    <w:widowControl/>
                    <w:jc w:val="center"/>
                    <w:rPr>
                      <w:rFonts w:cs="宋体"/>
                      <w:kern w:val="0"/>
                      <w:szCs w:val="22"/>
                    </w:rPr>
                  </w:pPr>
                  <w:r>
                    <w:rPr>
                      <w:rFonts w:cs="Calibri"/>
                      <w:kern w:val="0"/>
                      <w:szCs w:val="22"/>
                    </w:rPr>
                    <w:t>昼间</w:t>
                  </w:r>
                </w:p>
              </w:tc>
              <w:tc>
                <w:tcPr>
                  <w:tcW w:w="758" w:type="pct"/>
                  <w:noWrap/>
                  <w:vAlign w:val="center"/>
                </w:tcPr>
                <w:p w14:paraId="4B48F706">
                  <w:pPr>
                    <w:widowControl/>
                    <w:jc w:val="center"/>
                    <w:rPr>
                      <w:rFonts w:cs="宋体"/>
                      <w:kern w:val="0"/>
                      <w:szCs w:val="22"/>
                    </w:rPr>
                  </w:pPr>
                  <w:r>
                    <w:rPr>
                      <w:rFonts w:hint="eastAsia" w:cs="Calibri"/>
                      <w:kern w:val="0"/>
                      <w:szCs w:val="22"/>
                    </w:rPr>
                    <w:t>夜间</w:t>
                  </w:r>
                </w:p>
              </w:tc>
              <w:tc>
                <w:tcPr>
                  <w:tcW w:w="759" w:type="pct"/>
                  <w:vAlign w:val="center"/>
                </w:tcPr>
                <w:p w14:paraId="49398176">
                  <w:pPr>
                    <w:widowControl/>
                    <w:jc w:val="center"/>
                    <w:rPr>
                      <w:rFonts w:cs="宋体"/>
                      <w:kern w:val="0"/>
                      <w:szCs w:val="22"/>
                    </w:rPr>
                  </w:pPr>
                  <w:r>
                    <w:rPr>
                      <w:rFonts w:cs="Calibri"/>
                      <w:kern w:val="0"/>
                      <w:szCs w:val="22"/>
                    </w:rPr>
                    <w:t>昼间</w:t>
                  </w:r>
                </w:p>
              </w:tc>
              <w:tc>
                <w:tcPr>
                  <w:tcW w:w="684" w:type="pct"/>
                  <w:noWrap/>
                  <w:vAlign w:val="center"/>
                </w:tcPr>
                <w:p w14:paraId="3E28755E">
                  <w:pPr>
                    <w:widowControl/>
                    <w:jc w:val="center"/>
                    <w:rPr>
                      <w:rFonts w:cs="宋体"/>
                      <w:kern w:val="0"/>
                      <w:szCs w:val="22"/>
                    </w:rPr>
                  </w:pPr>
                  <w:r>
                    <w:rPr>
                      <w:rFonts w:hint="eastAsia" w:cs="Calibri"/>
                      <w:kern w:val="0"/>
                      <w:szCs w:val="22"/>
                    </w:rPr>
                    <w:t>夜间</w:t>
                  </w:r>
                </w:p>
              </w:tc>
            </w:tr>
            <w:tr w14:paraId="3E34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24" w:type="pct"/>
                  <w:noWrap/>
                  <w:vAlign w:val="center"/>
                </w:tcPr>
                <w:p w14:paraId="692A7C22">
                  <w:pPr>
                    <w:widowControl/>
                    <w:jc w:val="center"/>
                    <w:rPr>
                      <w:rFonts w:cs="宋体"/>
                      <w:kern w:val="0"/>
                      <w:szCs w:val="22"/>
                    </w:rPr>
                  </w:pPr>
                  <w:r>
                    <w:rPr>
                      <w:rFonts w:hint="eastAsia" w:cs="宋体"/>
                      <w:kern w:val="0"/>
                      <w:szCs w:val="22"/>
                    </w:rPr>
                    <w:t>东厂界</w:t>
                  </w:r>
                </w:p>
              </w:tc>
              <w:tc>
                <w:tcPr>
                  <w:tcW w:w="758" w:type="pct"/>
                  <w:vAlign w:val="center"/>
                </w:tcPr>
                <w:p w14:paraId="1DE91A84">
                  <w:pPr>
                    <w:widowControl/>
                    <w:jc w:val="center"/>
                    <w:rPr>
                      <w:rFonts w:cs="宋体"/>
                      <w:kern w:val="0"/>
                      <w:szCs w:val="22"/>
                    </w:rPr>
                  </w:pPr>
                  <w:r>
                    <w:rPr>
                      <w:rFonts w:hint="eastAsia" w:cs="宋体"/>
                      <w:kern w:val="0"/>
                      <w:szCs w:val="22"/>
                    </w:rPr>
                    <w:t>40.49</w:t>
                  </w:r>
                </w:p>
              </w:tc>
              <w:tc>
                <w:tcPr>
                  <w:tcW w:w="758" w:type="pct"/>
                  <w:noWrap/>
                  <w:vAlign w:val="center"/>
                </w:tcPr>
                <w:p w14:paraId="12AAFE97">
                  <w:pPr>
                    <w:widowControl/>
                    <w:jc w:val="center"/>
                    <w:rPr>
                      <w:rFonts w:cs="宋体"/>
                      <w:kern w:val="0"/>
                      <w:szCs w:val="22"/>
                    </w:rPr>
                  </w:pPr>
                  <w:r>
                    <w:rPr>
                      <w:rFonts w:hint="eastAsia" w:cs="宋体"/>
                      <w:kern w:val="0"/>
                      <w:szCs w:val="22"/>
                    </w:rPr>
                    <w:t>40.49</w:t>
                  </w:r>
                </w:p>
              </w:tc>
              <w:tc>
                <w:tcPr>
                  <w:tcW w:w="759" w:type="pct"/>
                  <w:vAlign w:val="center"/>
                </w:tcPr>
                <w:p w14:paraId="44F5A904">
                  <w:pPr>
                    <w:widowControl/>
                    <w:jc w:val="center"/>
                    <w:rPr>
                      <w:rFonts w:cs="宋体"/>
                      <w:kern w:val="0"/>
                      <w:szCs w:val="22"/>
                    </w:rPr>
                  </w:pPr>
                  <w:r>
                    <w:rPr>
                      <w:rFonts w:hint="eastAsia" w:cs="宋体"/>
                      <w:kern w:val="0"/>
                      <w:szCs w:val="22"/>
                    </w:rPr>
                    <w:t>56</w:t>
                  </w:r>
                </w:p>
              </w:tc>
              <w:tc>
                <w:tcPr>
                  <w:tcW w:w="758" w:type="pct"/>
                  <w:noWrap/>
                  <w:vAlign w:val="center"/>
                </w:tcPr>
                <w:p w14:paraId="1F61E735">
                  <w:pPr>
                    <w:widowControl/>
                    <w:jc w:val="center"/>
                    <w:rPr>
                      <w:rFonts w:cs="宋体"/>
                      <w:kern w:val="0"/>
                      <w:szCs w:val="22"/>
                    </w:rPr>
                  </w:pPr>
                  <w:r>
                    <w:rPr>
                      <w:rFonts w:hint="eastAsia" w:cs="宋体"/>
                      <w:kern w:val="0"/>
                      <w:szCs w:val="22"/>
                    </w:rPr>
                    <w:t>47</w:t>
                  </w:r>
                </w:p>
              </w:tc>
              <w:tc>
                <w:tcPr>
                  <w:tcW w:w="759" w:type="pct"/>
                  <w:vAlign w:val="center"/>
                </w:tcPr>
                <w:p w14:paraId="09EF8D30">
                  <w:pPr>
                    <w:widowControl/>
                    <w:jc w:val="center"/>
                    <w:rPr>
                      <w:rFonts w:cs="宋体"/>
                      <w:kern w:val="0"/>
                      <w:szCs w:val="22"/>
                    </w:rPr>
                  </w:pPr>
                  <w:r>
                    <w:rPr>
                      <w:rFonts w:eastAsia="等线"/>
                    </w:rPr>
                    <w:t xml:space="preserve">56.12 </w:t>
                  </w:r>
                </w:p>
              </w:tc>
              <w:tc>
                <w:tcPr>
                  <w:tcW w:w="684" w:type="pct"/>
                  <w:noWrap/>
                  <w:vAlign w:val="center"/>
                </w:tcPr>
                <w:p w14:paraId="46080F01">
                  <w:pPr>
                    <w:widowControl/>
                    <w:jc w:val="center"/>
                    <w:rPr>
                      <w:rFonts w:cs="宋体"/>
                      <w:kern w:val="0"/>
                      <w:szCs w:val="22"/>
                    </w:rPr>
                  </w:pPr>
                  <w:r>
                    <w:rPr>
                      <w:rFonts w:eastAsia="等线"/>
                    </w:rPr>
                    <w:t xml:space="preserve">47.88 </w:t>
                  </w:r>
                </w:p>
              </w:tc>
            </w:tr>
            <w:tr w14:paraId="6CF03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24" w:type="pct"/>
                  <w:noWrap/>
                  <w:vAlign w:val="center"/>
                </w:tcPr>
                <w:p w14:paraId="7B237B5B">
                  <w:pPr>
                    <w:widowControl/>
                    <w:jc w:val="center"/>
                    <w:rPr>
                      <w:rFonts w:cs="宋体"/>
                      <w:kern w:val="0"/>
                    </w:rPr>
                  </w:pPr>
                  <w:r>
                    <w:rPr>
                      <w:rFonts w:hint="eastAsia" w:cs="宋体"/>
                      <w:kern w:val="0"/>
                    </w:rPr>
                    <w:t>北厂界</w:t>
                  </w:r>
                </w:p>
              </w:tc>
              <w:tc>
                <w:tcPr>
                  <w:tcW w:w="758" w:type="pct"/>
                  <w:vAlign w:val="center"/>
                </w:tcPr>
                <w:p w14:paraId="1B4048D3">
                  <w:pPr>
                    <w:widowControl/>
                    <w:jc w:val="center"/>
                    <w:rPr>
                      <w:rFonts w:cs="宋体"/>
                      <w:kern w:val="0"/>
                      <w:szCs w:val="22"/>
                    </w:rPr>
                  </w:pPr>
                  <w:r>
                    <w:rPr>
                      <w:rFonts w:hint="eastAsia" w:cs="宋体"/>
                      <w:kern w:val="0"/>
                      <w:szCs w:val="22"/>
                    </w:rPr>
                    <w:t>46.67</w:t>
                  </w:r>
                </w:p>
              </w:tc>
              <w:tc>
                <w:tcPr>
                  <w:tcW w:w="758" w:type="pct"/>
                  <w:noWrap/>
                  <w:vAlign w:val="center"/>
                </w:tcPr>
                <w:p w14:paraId="0C367663">
                  <w:pPr>
                    <w:widowControl/>
                    <w:jc w:val="center"/>
                    <w:rPr>
                      <w:rFonts w:cs="宋体"/>
                      <w:kern w:val="0"/>
                      <w:szCs w:val="22"/>
                    </w:rPr>
                  </w:pPr>
                  <w:r>
                    <w:rPr>
                      <w:rFonts w:hint="eastAsia" w:cs="宋体"/>
                      <w:kern w:val="0"/>
                      <w:szCs w:val="22"/>
                    </w:rPr>
                    <w:t>46.67</w:t>
                  </w:r>
                </w:p>
              </w:tc>
              <w:tc>
                <w:tcPr>
                  <w:tcW w:w="759" w:type="pct"/>
                  <w:vAlign w:val="center"/>
                </w:tcPr>
                <w:p w14:paraId="20685C21">
                  <w:pPr>
                    <w:widowControl/>
                    <w:jc w:val="center"/>
                    <w:rPr>
                      <w:rFonts w:cs="宋体"/>
                      <w:kern w:val="0"/>
                      <w:szCs w:val="22"/>
                    </w:rPr>
                  </w:pPr>
                  <w:r>
                    <w:rPr>
                      <w:rFonts w:hint="eastAsia" w:cs="宋体"/>
                      <w:kern w:val="0"/>
                      <w:szCs w:val="22"/>
                    </w:rPr>
                    <w:t>58</w:t>
                  </w:r>
                </w:p>
              </w:tc>
              <w:tc>
                <w:tcPr>
                  <w:tcW w:w="758" w:type="pct"/>
                  <w:noWrap/>
                  <w:vAlign w:val="center"/>
                </w:tcPr>
                <w:p w14:paraId="5EA31F40">
                  <w:pPr>
                    <w:widowControl/>
                    <w:jc w:val="center"/>
                    <w:rPr>
                      <w:rFonts w:cs="宋体"/>
                      <w:kern w:val="0"/>
                      <w:szCs w:val="22"/>
                    </w:rPr>
                  </w:pPr>
                  <w:r>
                    <w:rPr>
                      <w:rFonts w:hint="eastAsia" w:cs="宋体"/>
                      <w:kern w:val="0"/>
                      <w:szCs w:val="22"/>
                    </w:rPr>
                    <w:t>44</w:t>
                  </w:r>
                </w:p>
              </w:tc>
              <w:tc>
                <w:tcPr>
                  <w:tcW w:w="759" w:type="pct"/>
                  <w:vAlign w:val="center"/>
                </w:tcPr>
                <w:p w14:paraId="32F2BC1C">
                  <w:pPr>
                    <w:widowControl/>
                    <w:jc w:val="center"/>
                    <w:rPr>
                      <w:rFonts w:cs="宋体"/>
                      <w:kern w:val="0"/>
                      <w:szCs w:val="22"/>
                    </w:rPr>
                  </w:pPr>
                  <w:r>
                    <w:rPr>
                      <w:rFonts w:eastAsia="等线"/>
                    </w:rPr>
                    <w:t xml:space="preserve">58.31 </w:t>
                  </w:r>
                </w:p>
              </w:tc>
              <w:tc>
                <w:tcPr>
                  <w:tcW w:w="684" w:type="pct"/>
                  <w:noWrap/>
                  <w:vAlign w:val="center"/>
                </w:tcPr>
                <w:p w14:paraId="25273A31">
                  <w:pPr>
                    <w:widowControl/>
                    <w:jc w:val="center"/>
                    <w:rPr>
                      <w:rFonts w:cs="宋体"/>
                      <w:kern w:val="0"/>
                      <w:szCs w:val="22"/>
                    </w:rPr>
                  </w:pPr>
                  <w:r>
                    <w:rPr>
                      <w:rFonts w:eastAsia="等线"/>
                    </w:rPr>
                    <w:t xml:space="preserve">48.55 </w:t>
                  </w:r>
                </w:p>
              </w:tc>
            </w:tr>
            <w:tr w14:paraId="5F53F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24" w:type="pct"/>
                  <w:noWrap/>
                  <w:vAlign w:val="center"/>
                </w:tcPr>
                <w:p w14:paraId="55773DBF">
                  <w:pPr>
                    <w:widowControl/>
                    <w:jc w:val="center"/>
                    <w:rPr>
                      <w:rFonts w:cs="宋体"/>
                      <w:kern w:val="0"/>
                    </w:rPr>
                  </w:pPr>
                  <w:r>
                    <w:rPr>
                      <w:rFonts w:hint="eastAsia" w:cs="宋体"/>
                      <w:kern w:val="0"/>
                    </w:rPr>
                    <w:t>西厂界</w:t>
                  </w:r>
                </w:p>
              </w:tc>
              <w:tc>
                <w:tcPr>
                  <w:tcW w:w="758" w:type="pct"/>
                  <w:vAlign w:val="center"/>
                </w:tcPr>
                <w:p w14:paraId="5A889B08">
                  <w:pPr>
                    <w:widowControl/>
                    <w:jc w:val="center"/>
                    <w:rPr>
                      <w:rFonts w:cs="宋体"/>
                      <w:kern w:val="0"/>
                      <w:szCs w:val="22"/>
                    </w:rPr>
                  </w:pPr>
                  <w:r>
                    <w:rPr>
                      <w:rFonts w:hint="eastAsia" w:cs="宋体"/>
                      <w:kern w:val="0"/>
                      <w:szCs w:val="22"/>
                    </w:rPr>
                    <w:t>53.65</w:t>
                  </w:r>
                </w:p>
              </w:tc>
              <w:tc>
                <w:tcPr>
                  <w:tcW w:w="758" w:type="pct"/>
                  <w:noWrap/>
                  <w:vAlign w:val="center"/>
                </w:tcPr>
                <w:p w14:paraId="45B06928">
                  <w:pPr>
                    <w:widowControl/>
                    <w:jc w:val="center"/>
                    <w:rPr>
                      <w:rFonts w:cs="宋体"/>
                      <w:kern w:val="0"/>
                      <w:szCs w:val="22"/>
                    </w:rPr>
                  </w:pPr>
                  <w:r>
                    <w:rPr>
                      <w:rFonts w:hint="eastAsia" w:cs="宋体"/>
                      <w:kern w:val="0"/>
                      <w:szCs w:val="22"/>
                    </w:rPr>
                    <w:t>53.65</w:t>
                  </w:r>
                </w:p>
              </w:tc>
              <w:tc>
                <w:tcPr>
                  <w:tcW w:w="759" w:type="pct"/>
                  <w:vAlign w:val="center"/>
                </w:tcPr>
                <w:p w14:paraId="1BBF08E9">
                  <w:pPr>
                    <w:widowControl/>
                    <w:jc w:val="center"/>
                    <w:rPr>
                      <w:rFonts w:cs="宋体"/>
                      <w:kern w:val="0"/>
                      <w:szCs w:val="22"/>
                    </w:rPr>
                  </w:pPr>
                  <w:r>
                    <w:rPr>
                      <w:rFonts w:hint="eastAsia" w:cs="宋体"/>
                      <w:kern w:val="0"/>
                      <w:szCs w:val="22"/>
                    </w:rPr>
                    <w:t>57</w:t>
                  </w:r>
                </w:p>
              </w:tc>
              <w:tc>
                <w:tcPr>
                  <w:tcW w:w="758" w:type="pct"/>
                  <w:noWrap/>
                  <w:vAlign w:val="center"/>
                </w:tcPr>
                <w:p w14:paraId="0AC5A345">
                  <w:pPr>
                    <w:widowControl/>
                    <w:jc w:val="center"/>
                    <w:rPr>
                      <w:rFonts w:cs="宋体"/>
                      <w:kern w:val="0"/>
                      <w:szCs w:val="22"/>
                    </w:rPr>
                  </w:pPr>
                  <w:r>
                    <w:rPr>
                      <w:rFonts w:hint="eastAsia" w:cs="宋体"/>
                      <w:kern w:val="0"/>
                      <w:szCs w:val="22"/>
                    </w:rPr>
                    <w:t>45</w:t>
                  </w:r>
                </w:p>
              </w:tc>
              <w:tc>
                <w:tcPr>
                  <w:tcW w:w="759" w:type="pct"/>
                  <w:vAlign w:val="center"/>
                </w:tcPr>
                <w:p w14:paraId="5B1552A0">
                  <w:pPr>
                    <w:widowControl/>
                    <w:jc w:val="center"/>
                    <w:rPr>
                      <w:rFonts w:cs="宋体"/>
                      <w:kern w:val="0"/>
                      <w:szCs w:val="22"/>
                    </w:rPr>
                  </w:pPr>
                  <w:r>
                    <w:rPr>
                      <w:rFonts w:eastAsia="等线"/>
                    </w:rPr>
                    <w:t xml:space="preserve">58.65 </w:t>
                  </w:r>
                </w:p>
              </w:tc>
              <w:tc>
                <w:tcPr>
                  <w:tcW w:w="684" w:type="pct"/>
                  <w:noWrap/>
                  <w:vAlign w:val="center"/>
                </w:tcPr>
                <w:p w14:paraId="5C0FA5AE">
                  <w:pPr>
                    <w:widowControl/>
                    <w:jc w:val="center"/>
                    <w:rPr>
                      <w:rFonts w:cs="宋体"/>
                      <w:kern w:val="0"/>
                      <w:szCs w:val="22"/>
                    </w:rPr>
                  </w:pPr>
                  <w:r>
                    <w:rPr>
                      <w:rFonts w:eastAsia="等线"/>
                    </w:rPr>
                    <w:t xml:space="preserve">54.21 </w:t>
                  </w:r>
                </w:p>
              </w:tc>
            </w:tr>
            <w:tr w14:paraId="24171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24" w:type="pct"/>
                  <w:vAlign w:val="center"/>
                </w:tcPr>
                <w:p w14:paraId="3254898C">
                  <w:pPr>
                    <w:widowControl/>
                    <w:jc w:val="center"/>
                    <w:rPr>
                      <w:rFonts w:cs="宋体"/>
                      <w:kern w:val="0"/>
                    </w:rPr>
                  </w:pPr>
                  <w:r>
                    <w:rPr>
                      <w:rFonts w:hint="eastAsia" w:cs="宋体"/>
                      <w:kern w:val="0"/>
                    </w:rPr>
                    <w:t>南厂界</w:t>
                  </w:r>
                </w:p>
              </w:tc>
              <w:tc>
                <w:tcPr>
                  <w:tcW w:w="758" w:type="pct"/>
                  <w:vAlign w:val="center"/>
                </w:tcPr>
                <w:p w14:paraId="702D8E4F">
                  <w:pPr>
                    <w:widowControl/>
                    <w:jc w:val="center"/>
                    <w:rPr>
                      <w:rFonts w:cs="宋体"/>
                      <w:kern w:val="0"/>
                      <w:szCs w:val="22"/>
                    </w:rPr>
                  </w:pPr>
                  <w:r>
                    <w:rPr>
                      <w:rFonts w:hint="eastAsia" w:cs="宋体"/>
                      <w:kern w:val="0"/>
                      <w:szCs w:val="22"/>
                    </w:rPr>
                    <w:t>41.21</w:t>
                  </w:r>
                </w:p>
              </w:tc>
              <w:tc>
                <w:tcPr>
                  <w:tcW w:w="758" w:type="pct"/>
                  <w:noWrap/>
                  <w:vAlign w:val="center"/>
                </w:tcPr>
                <w:p w14:paraId="1EB94D5C">
                  <w:pPr>
                    <w:widowControl/>
                    <w:jc w:val="center"/>
                    <w:rPr>
                      <w:rFonts w:cs="宋体"/>
                      <w:kern w:val="0"/>
                      <w:szCs w:val="22"/>
                    </w:rPr>
                  </w:pPr>
                  <w:r>
                    <w:rPr>
                      <w:rFonts w:hint="eastAsia" w:cs="宋体"/>
                      <w:kern w:val="0"/>
                      <w:szCs w:val="22"/>
                    </w:rPr>
                    <w:t>41.21</w:t>
                  </w:r>
                </w:p>
              </w:tc>
              <w:tc>
                <w:tcPr>
                  <w:tcW w:w="759" w:type="pct"/>
                  <w:vAlign w:val="center"/>
                </w:tcPr>
                <w:p w14:paraId="45D98230">
                  <w:pPr>
                    <w:widowControl/>
                    <w:jc w:val="center"/>
                    <w:rPr>
                      <w:rFonts w:cs="宋体"/>
                      <w:kern w:val="0"/>
                      <w:szCs w:val="22"/>
                    </w:rPr>
                  </w:pPr>
                  <w:r>
                    <w:rPr>
                      <w:rFonts w:hint="eastAsia" w:cs="宋体"/>
                      <w:kern w:val="0"/>
                      <w:szCs w:val="22"/>
                    </w:rPr>
                    <w:t>58</w:t>
                  </w:r>
                </w:p>
              </w:tc>
              <w:tc>
                <w:tcPr>
                  <w:tcW w:w="758" w:type="pct"/>
                  <w:noWrap/>
                  <w:vAlign w:val="center"/>
                </w:tcPr>
                <w:p w14:paraId="44643504">
                  <w:pPr>
                    <w:widowControl/>
                    <w:jc w:val="center"/>
                    <w:rPr>
                      <w:rFonts w:cs="宋体"/>
                      <w:kern w:val="0"/>
                      <w:szCs w:val="22"/>
                    </w:rPr>
                  </w:pPr>
                  <w:r>
                    <w:rPr>
                      <w:rFonts w:hint="eastAsia" w:cs="宋体"/>
                      <w:kern w:val="0"/>
                      <w:szCs w:val="22"/>
                    </w:rPr>
                    <w:t>44</w:t>
                  </w:r>
                </w:p>
              </w:tc>
              <w:tc>
                <w:tcPr>
                  <w:tcW w:w="759" w:type="pct"/>
                  <w:vAlign w:val="center"/>
                </w:tcPr>
                <w:p w14:paraId="5352C287">
                  <w:pPr>
                    <w:widowControl/>
                    <w:jc w:val="center"/>
                    <w:rPr>
                      <w:rFonts w:cs="宋体"/>
                      <w:kern w:val="0"/>
                      <w:szCs w:val="22"/>
                    </w:rPr>
                  </w:pPr>
                  <w:r>
                    <w:rPr>
                      <w:rFonts w:eastAsia="等线"/>
                    </w:rPr>
                    <w:t xml:space="preserve">58.09 </w:t>
                  </w:r>
                </w:p>
              </w:tc>
              <w:tc>
                <w:tcPr>
                  <w:tcW w:w="684" w:type="pct"/>
                  <w:noWrap/>
                  <w:vAlign w:val="center"/>
                </w:tcPr>
                <w:p w14:paraId="28FD9A59">
                  <w:pPr>
                    <w:widowControl/>
                    <w:jc w:val="center"/>
                    <w:rPr>
                      <w:rFonts w:cs="宋体"/>
                      <w:kern w:val="0"/>
                      <w:szCs w:val="22"/>
                    </w:rPr>
                  </w:pPr>
                  <w:r>
                    <w:rPr>
                      <w:rFonts w:eastAsia="等线"/>
                    </w:rPr>
                    <w:t xml:space="preserve">45.84 </w:t>
                  </w:r>
                </w:p>
              </w:tc>
            </w:tr>
            <w:tr w14:paraId="178DA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524" w:type="pct"/>
                  <w:vAlign w:val="center"/>
                </w:tcPr>
                <w:p w14:paraId="27D9C003">
                  <w:pPr>
                    <w:widowControl/>
                    <w:jc w:val="center"/>
                    <w:rPr>
                      <w:rFonts w:cs="宋体"/>
                      <w:kern w:val="0"/>
                    </w:rPr>
                  </w:pPr>
                  <w:r>
                    <w:rPr>
                      <w:rFonts w:hint="eastAsia" w:cs="Calibri"/>
                      <w:kern w:val="0"/>
                      <w:szCs w:val="22"/>
                    </w:rPr>
                    <w:t>标准限值</w:t>
                  </w:r>
                </w:p>
              </w:tc>
              <w:tc>
                <w:tcPr>
                  <w:tcW w:w="758" w:type="pct"/>
                  <w:vAlign w:val="center"/>
                </w:tcPr>
                <w:p w14:paraId="67A80788">
                  <w:pPr>
                    <w:widowControl/>
                    <w:jc w:val="center"/>
                    <w:rPr>
                      <w:rFonts w:cs="宋体"/>
                      <w:kern w:val="0"/>
                      <w:szCs w:val="22"/>
                    </w:rPr>
                  </w:pPr>
                  <w:r>
                    <w:rPr>
                      <w:rFonts w:hint="eastAsia" w:cs="宋体"/>
                      <w:kern w:val="0"/>
                      <w:szCs w:val="22"/>
                    </w:rPr>
                    <w:t>60</w:t>
                  </w:r>
                </w:p>
              </w:tc>
              <w:tc>
                <w:tcPr>
                  <w:tcW w:w="758" w:type="pct"/>
                  <w:noWrap/>
                  <w:vAlign w:val="center"/>
                </w:tcPr>
                <w:p w14:paraId="3435E172">
                  <w:pPr>
                    <w:widowControl/>
                    <w:jc w:val="center"/>
                    <w:rPr>
                      <w:rFonts w:cs="宋体"/>
                      <w:kern w:val="0"/>
                      <w:szCs w:val="22"/>
                    </w:rPr>
                  </w:pPr>
                  <w:r>
                    <w:rPr>
                      <w:rFonts w:hint="eastAsia" w:cs="宋体"/>
                      <w:kern w:val="0"/>
                      <w:szCs w:val="22"/>
                    </w:rPr>
                    <w:t>50</w:t>
                  </w:r>
                </w:p>
              </w:tc>
              <w:tc>
                <w:tcPr>
                  <w:tcW w:w="759" w:type="pct"/>
                  <w:vAlign w:val="center"/>
                </w:tcPr>
                <w:p w14:paraId="1216A19E">
                  <w:pPr>
                    <w:widowControl/>
                    <w:jc w:val="center"/>
                    <w:rPr>
                      <w:rFonts w:cs="宋体"/>
                      <w:kern w:val="0"/>
                      <w:szCs w:val="22"/>
                    </w:rPr>
                  </w:pPr>
                  <w:r>
                    <w:rPr>
                      <w:rFonts w:hint="eastAsia" w:cs="宋体"/>
                      <w:kern w:val="0"/>
                      <w:szCs w:val="22"/>
                    </w:rPr>
                    <w:t>60</w:t>
                  </w:r>
                </w:p>
              </w:tc>
              <w:tc>
                <w:tcPr>
                  <w:tcW w:w="758" w:type="pct"/>
                  <w:noWrap/>
                  <w:vAlign w:val="center"/>
                </w:tcPr>
                <w:p w14:paraId="0942DDA7">
                  <w:pPr>
                    <w:widowControl/>
                    <w:jc w:val="center"/>
                    <w:rPr>
                      <w:rFonts w:cs="宋体"/>
                      <w:kern w:val="0"/>
                      <w:szCs w:val="22"/>
                    </w:rPr>
                  </w:pPr>
                  <w:r>
                    <w:rPr>
                      <w:rFonts w:hint="eastAsia" w:cs="宋体"/>
                      <w:kern w:val="0"/>
                      <w:szCs w:val="22"/>
                    </w:rPr>
                    <w:t>50</w:t>
                  </w:r>
                </w:p>
              </w:tc>
              <w:tc>
                <w:tcPr>
                  <w:tcW w:w="759" w:type="pct"/>
                  <w:vAlign w:val="center"/>
                </w:tcPr>
                <w:p w14:paraId="653E0C6F">
                  <w:pPr>
                    <w:widowControl/>
                    <w:jc w:val="center"/>
                    <w:rPr>
                      <w:rFonts w:cs="宋体"/>
                      <w:kern w:val="0"/>
                      <w:szCs w:val="22"/>
                    </w:rPr>
                  </w:pPr>
                  <w:r>
                    <w:rPr>
                      <w:rFonts w:hint="eastAsia" w:cs="宋体"/>
                      <w:kern w:val="0"/>
                      <w:szCs w:val="22"/>
                    </w:rPr>
                    <w:t>60</w:t>
                  </w:r>
                </w:p>
              </w:tc>
              <w:tc>
                <w:tcPr>
                  <w:tcW w:w="684" w:type="pct"/>
                  <w:noWrap/>
                  <w:vAlign w:val="center"/>
                </w:tcPr>
                <w:p w14:paraId="186FE414">
                  <w:pPr>
                    <w:widowControl/>
                    <w:jc w:val="center"/>
                    <w:rPr>
                      <w:rFonts w:cs="宋体"/>
                      <w:kern w:val="0"/>
                      <w:szCs w:val="22"/>
                    </w:rPr>
                  </w:pPr>
                  <w:r>
                    <w:rPr>
                      <w:rFonts w:hint="eastAsia" w:cs="宋体"/>
                      <w:kern w:val="0"/>
                      <w:szCs w:val="22"/>
                    </w:rPr>
                    <w:t>50</w:t>
                  </w:r>
                </w:p>
              </w:tc>
            </w:tr>
          </w:tbl>
          <w:p w14:paraId="73CC84D5">
            <w:pPr>
              <w:tabs>
                <w:tab w:val="left" w:pos="509"/>
                <w:tab w:val="left" w:pos="810"/>
                <w:tab w:val="left" w:pos="869"/>
              </w:tabs>
              <w:snapToGrid w:val="0"/>
              <w:spacing w:before="120" w:beforeLines="50" w:line="360" w:lineRule="auto"/>
              <w:ind w:firstLine="480" w:firstLineChars="200"/>
              <w:rPr>
                <w:bCs/>
                <w:sz w:val="24"/>
              </w:rPr>
            </w:pPr>
            <w:r>
              <w:rPr>
                <w:rFonts w:hint="eastAsia"/>
                <w:bCs/>
                <w:sz w:val="24"/>
              </w:rPr>
              <w:t>根据厂界噪声预测结果可知，项目运营期四周厂界噪声贡献值与预测值均可达到《工业企业厂界环境噪声排放标准》（GB12348-2008）2类昼间60dB（A）的标准要求。</w:t>
            </w:r>
          </w:p>
          <w:p w14:paraId="0810D2EC">
            <w:pPr>
              <w:tabs>
                <w:tab w:val="left" w:pos="509"/>
                <w:tab w:val="left" w:pos="810"/>
                <w:tab w:val="left" w:pos="869"/>
              </w:tabs>
              <w:snapToGrid w:val="0"/>
              <w:spacing w:line="360" w:lineRule="auto"/>
              <w:ind w:firstLine="482" w:firstLineChars="200"/>
              <w:rPr>
                <w:b/>
                <w:bCs/>
                <w:sz w:val="24"/>
              </w:rPr>
            </w:pPr>
            <w:r>
              <w:rPr>
                <w:b/>
                <w:bCs/>
                <w:sz w:val="24"/>
              </w:rPr>
              <w:t xml:space="preserve">3.3 </w:t>
            </w:r>
            <w:r>
              <w:rPr>
                <w:rFonts w:hint="eastAsia"/>
                <w:b/>
                <w:bCs/>
                <w:sz w:val="24"/>
              </w:rPr>
              <w:t>监测计划</w:t>
            </w:r>
          </w:p>
          <w:p w14:paraId="60B1E4CD">
            <w:pPr>
              <w:adjustRightInd w:val="0"/>
              <w:snapToGrid w:val="0"/>
              <w:spacing w:line="360" w:lineRule="auto"/>
              <w:ind w:firstLine="480" w:firstLineChars="200"/>
              <w:rPr>
                <w:sz w:val="24"/>
                <w:szCs w:val="24"/>
              </w:rPr>
            </w:pPr>
            <w:r>
              <w:rPr>
                <w:rFonts w:hint="eastAsia"/>
                <w:sz w:val="24"/>
                <w:szCs w:val="24"/>
              </w:rPr>
              <w:t>根据《排污单位自行监测技术指南总则》（HJ819-2017）、《排污单位自行监测技术指南 工业固体废物和危险废物治理》（HJ1250-2022）、《排污单位自行监测技术指南 火力发电及锅炉》（HJ820-2017）、《排污许可证申请与核发技术规范 工业固体废物和危险废物治理》（</w:t>
            </w:r>
            <w:r>
              <w:rPr>
                <w:sz w:val="24"/>
                <w:szCs w:val="24"/>
              </w:rPr>
              <w:t>HJ1033-2019</w:t>
            </w:r>
            <w:r>
              <w:rPr>
                <w:rFonts w:hint="eastAsia"/>
                <w:sz w:val="24"/>
                <w:szCs w:val="24"/>
              </w:rPr>
              <w:t>）、《排污许可证申请与核发技术规范 锅炉》、</w:t>
            </w:r>
            <w:r>
              <w:rPr>
                <w:rFonts w:hint="eastAsia"/>
                <w:bCs/>
                <w:sz w:val="24"/>
              </w:rPr>
              <w:t>《排污许可证申请与核发技术规范 工业噪声》（HJ 1301-2023）</w:t>
            </w:r>
            <w:r>
              <w:rPr>
                <w:rFonts w:hint="eastAsia"/>
                <w:sz w:val="24"/>
                <w:szCs w:val="24"/>
              </w:rPr>
              <w:t>等相关规定制定本项目噪声监测计划，见表4-18。</w:t>
            </w:r>
          </w:p>
          <w:p w14:paraId="0CD9F216">
            <w:pPr>
              <w:pStyle w:val="12"/>
              <w:spacing w:line="360" w:lineRule="auto"/>
              <w:ind w:left="0" w:leftChars="0" w:firstLine="0" w:firstLineChars="0"/>
              <w:jc w:val="center"/>
              <w:rPr>
                <w:b/>
              </w:rPr>
            </w:pPr>
            <w:r>
              <w:rPr>
                <w:b/>
              </w:rPr>
              <w:t>表</w:t>
            </w:r>
            <w:r>
              <w:rPr>
                <w:rFonts w:hint="eastAsia"/>
                <w:b/>
              </w:rPr>
              <w:t>4-18</w:t>
            </w:r>
            <w:r>
              <w:rPr>
                <w:b/>
              </w:rPr>
              <w:t xml:space="preserve"> 噪声监测计划</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1557"/>
              <w:gridCol w:w="2171"/>
              <w:gridCol w:w="3650"/>
            </w:tblGrid>
            <w:tr w14:paraId="48A1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87" w:type="pct"/>
                  <w:vAlign w:val="center"/>
                </w:tcPr>
                <w:p w14:paraId="2028E307">
                  <w:pPr>
                    <w:pStyle w:val="42"/>
                    <w:adjustRightInd/>
                    <w:jc w:val="center"/>
                    <w:rPr>
                      <w:rFonts w:hint="default" w:ascii="Times New Roman" w:hAnsi="Times New Roman" w:cs="宋体"/>
                      <w:bCs/>
                      <w:color w:val="auto"/>
                      <w:sz w:val="21"/>
                    </w:rPr>
                  </w:pPr>
                  <w:r>
                    <w:rPr>
                      <w:rFonts w:ascii="Times New Roman" w:hAnsi="Times New Roman" w:cs="宋体"/>
                      <w:bCs/>
                      <w:color w:val="auto"/>
                      <w:sz w:val="21"/>
                    </w:rPr>
                    <w:t>监测点位</w:t>
                  </w:r>
                </w:p>
              </w:tc>
              <w:tc>
                <w:tcPr>
                  <w:tcW w:w="910" w:type="pct"/>
                  <w:vAlign w:val="center"/>
                </w:tcPr>
                <w:p w14:paraId="5B9A3D63">
                  <w:pPr>
                    <w:pStyle w:val="42"/>
                    <w:adjustRightInd/>
                    <w:jc w:val="center"/>
                    <w:rPr>
                      <w:rFonts w:hint="default" w:ascii="Times New Roman" w:hAnsi="Times New Roman" w:cs="宋体"/>
                      <w:bCs/>
                      <w:color w:val="auto"/>
                      <w:sz w:val="21"/>
                    </w:rPr>
                  </w:pPr>
                  <w:r>
                    <w:rPr>
                      <w:rFonts w:ascii="Times New Roman" w:hAnsi="Times New Roman" w:cs="宋体"/>
                      <w:bCs/>
                      <w:color w:val="auto"/>
                      <w:sz w:val="21"/>
                    </w:rPr>
                    <w:t>监测指标</w:t>
                  </w:r>
                </w:p>
              </w:tc>
              <w:tc>
                <w:tcPr>
                  <w:tcW w:w="1269" w:type="pct"/>
                  <w:vAlign w:val="center"/>
                </w:tcPr>
                <w:p w14:paraId="4731E17F">
                  <w:pPr>
                    <w:pStyle w:val="42"/>
                    <w:adjustRightInd/>
                    <w:jc w:val="center"/>
                    <w:rPr>
                      <w:rFonts w:hint="default" w:ascii="Times New Roman" w:hAnsi="Times New Roman" w:cs="宋体"/>
                      <w:bCs/>
                      <w:color w:val="auto"/>
                      <w:sz w:val="21"/>
                    </w:rPr>
                  </w:pPr>
                  <w:r>
                    <w:rPr>
                      <w:rFonts w:ascii="Times New Roman" w:hAnsi="Times New Roman" w:cs="宋体"/>
                      <w:bCs/>
                      <w:color w:val="auto"/>
                      <w:sz w:val="21"/>
                    </w:rPr>
                    <w:t>监测频次</w:t>
                  </w:r>
                </w:p>
              </w:tc>
              <w:tc>
                <w:tcPr>
                  <w:tcW w:w="2134" w:type="pct"/>
                  <w:vAlign w:val="center"/>
                </w:tcPr>
                <w:p w14:paraId="5FA49981">
                  <w:pPr>
                    <w:pStyle w:val="42"/>
                    <w:adjustRightInd/>
                    <w:jc w:val="center"/>
                    <w:rPr>
                      <w:rFonts w:hint="default" w:ascii="Times New Roman" w:hAnsi="Times New Roman" w:cs="宋体"/>
                      <w:bCs/>
                      <w:color w:val="auto"/>
                      <w:sz w:val="21"/>
                    </w:rPr>
                  </w:pPr>
                  <w:r>
                    <w:rPr>
                      <w:rFonts w:ascii="Times New Roman" w:hAnsi="Times New Roman" w:cs="宋体"/>
                      <w:bCs/>
                      <w:color w:val="auto"/>
                      <w:sz w:val="21"/>
                    </w:rPr>
                    <w:t>执行排放标准</w:t>
                  </w:r>
                </w:p>
              </w:tc>
            </w:tr>
            <w:tr w14:paraId="7B08E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87" w:type="pct"/>
                  <w:vAlign w:val="center"/>
                </w:tcPr>
                <w:p w14:paraId="03E5BF26">
                  <w:pPr>
                    <w:pStyle w:val="42"/>
                    <w:adjustRightInd/>
                    <w:jc w:val="center"/>
                    <w:rPr>
                      <w:rFonts w:hint="default" w:ascii="Times New Roman" w:hAnsi="Times New Roman" w:cs="宋体"/>
                      <w:b w:val="0"/>
                      <w:color w:val="auto"/>
                      <w:sz w:val="21"/>
                    </w:rPr>
                  </w:pPr>
                  <w:r>
                    <w:rPr>
                      <w:rFonts w:ascii="Times New Roman" w:hAnsi="Times New Roman" w:cs="宋体"/>
                      <w:b w:val="0"/>
                      <w:color w:val="auto"/>
                      <w:sz w:val="21"/>
                    </w:rPr>
                    <w:t>四周厂界外1m处</w:t>
                  </w:r>
                </w:p>
              </w:tc>
              <w:tc>
                <w:tcPr>
                  <w:tcW w:w="910" w:type="pct"/>
                  <w:vAlign w:val="center"/>
                </w:tcPr>
                <w:p w14:paraId="1FE2C7AF">
                  <w:pPr>
                    <w:pStyle w:val="42"/>
                    <w:adjustRightInd/>
                    <w:jc w:val="center"/>
                    <w:rPr>
                      <w:rFonts w:hint="default" w:ascii="Times New Roman" w:hAnsi="Times New Roman" w:cs="宋体"/>
                      <w:b w:val="0"/>
                      <w:color w:val="auto"/>
                      <w:sz w:val="21"/>
                    </w:rPr>
                  </w:pPr>
                  <w:r>
                    <w:rPr>
                      <w:rFonts w:ascii="Times New Roman" w:hAnsi="Times New Roman" w:cs="宋体"/>
                      <w:b w:val="0"/>
                      <w:color w:val="auto"/>
                      <w:sz w:val="21"/>
                    </w:rPr>
                    <w:t>等效连续A声级</w:t>
                  </w:r>
                </w:p>
              </w:tc>
              <w:tc>
                <w:tcPr>
                  <w:tcW w:w="1269" w:type="pct"/>
                  <w:vAlign w:val="center"/>
                </w:tcPr>
                <w:p w14:paraId="5A1344DD">
                  <w:pPr>
                    <w:pStyle w:val="42"/>
                    <w:adjustRightInd/>
                    <w:jc w:val="center"/>
                    <w:rPr>
                      <w:rFonts w:hint="default" w:ascii="Times New Roman" w:hAnsi="Times New Roman" w:cs="宋体"/>
                      <w:b w:val="0"/>
                      <w:color w:val="auto"/>
                      <w:sz w:val="21"/>
                    </w:rPr>
                  </w:pPr>
                  <w:r>
                    <w:rPr>
                      <w:rFonts w:ascii="Times New Roman" w:hAnsi="Times New Roman" w:cs="宋体"/>
                      <w:b w:val="0"/>
                      <w:color w:val="auto"/>
                      <w:sz w:val="21"/>
                    </w:rPr>
                    <w:t>1次/季度，监测昼间、夜间噪声</w:t>
                  </w:r>
                </w:p>
              </w:tc>
              <w:tc>
                <w:tcPr>
                  <w:tcW w:w="2134" w:type="pct"/>
                  <w:vAlign w:val="center"/>
                </w:tcPr>
                <w:p w14:paraId="3045A648">
                  <w:pPr>
                    <w:pStyle w:val="42"/>
                    <w:adjustRightInd/>
                    <w:jc w:val="center"/>
                    <w:rPr>
                      <w:rFonts w:hint="default" w:ascii="Times New Roman" w:hAnsi="Times New Roman" w:cs="宋体"/>
                      <w:b w:val="0"/>
                      <w:color w:val="auto"/>
                      <w:sz w:val="21"/>
                    </w:rPr>
                  </w:pPr>
                  <w:r>
                    <w:rPr>
                      <w:rFonts w:ascii="Times New Roman" w:hAnsi="Times New Roman" w:cs="宋体"/>
                      <w:b w:val="0"/>
                      <w:color w:val="auto"/>
                      <w:sz w:val="21"/>
                    </w:rPr>
                    <w:t>《工业企业厂界环境噪声排放标准》(GB12348-2008)2类标准昼间标准值</w:t>
                  </w:r>
                </w:p>
              </w:tc>
            </w:tr>
          </w:tbl>
          <w:p w14:paraId="0D9CD42E">
            <w:pPr>
              <w:tabs>
                <w:tab w:val="left" w:pos="509"/>
                <w:tab w:val="left" w:pos="810"/>
                <w:tab w:val="left" w:pos="869"/>
              </w:tabs>
              <w:snapToGrid w:val="0"/>
              <w:spacing w:before="120" w:beforeLines="50" w:line="360" w:lineRule="auto"/>
              <w:ind w:firstLine="482" w:firstLineChars="200"/>
              <w:rPr>
                <w:b/>
                <w:sz w:val="24"/>
              </w:rPr>
            </w:pPr>
            <w:r>
              <w:rPr>
                <w:b/>
                <w:sz w:val="24"/>
              </w:rPr>
              <w:t>4.固体废物</w:t>
            </w:r>
          </w:p>
          <w:p w14:paraId="5484B3CA">
            <w:pPr>
              <w:adjustRightInd w:val="0"/>
              <w:snapToGrid w:val="0"/>
              <w:spacing w:line="360" w:lineRule="auto"/>
              <w:ind w:firstLine="482" w:firstLineChars="200"/>
              <w:rPr>
                <w:b/>
                <w:sz w:val="24"/>
              </w:rPr>
            </w:pPr>
            <w:r>
              <w:rPr>
                <w:b/>
                <w:sz w:val="24"/>
              </w:rPr>
              <w:t>4.1</w:t>
            </w:r>
            <w:r>
              <w:rPr>
                <w:b/>
                <w:bCs/>
                <w:sz w:val="24"/>
              </w:rPr>
              <w:t xml:space="preserve"> </w:t>
            </w:r>
            <w:r>
              <w:rPr>
                <w:rFonts w:hint="eastAsia"/>
                <w:b/>
                <w:sz w:val="24"/>
              </w:rPr>
              <w:t>固体废物产生情况</w:t>
            </w:r>
          </w:p>
          <w:p w14:paraId="01F22660">
            <w:pPr>
              <w:adjustRightInd w:val="0"/>
              <w:snapToGrid w:val="0"/>
              <w:spacing w:line="360" w:lineRule="auto"/>
              <w:ind w:firstLine="480" w:firstLineChars="200"/>
              <w:rPr>
                <w:bCs/>
                <w:sz w:val="24"/>
              </w:rPr>
            </w:pPr>
            <w:r>
              <w:rPr>
                <w:rFonts w:hint="eastAsia"/>
                <w:bCs/>
                <w:sz w:val="24"/>
              </w:rPr>
              <w:t>项目运营期产生的固体废物包括一般工业固体废物、危险废物和生活垃圾。一般工业固体废物主要有白土渣和炉渣，危险废物主要有废活性炭、含油手套及废抹布、废机油、废机油桶等。</w:t>
            </w:r>
          </w:p>
          <w:p w14:paraId="41B6EA1F">
            <w:pPr>
              <w:adjustRightInd w:val="0"/>
              <w:snapToGrid w:val="0"/>
              <w:spacing w:line="360" w:lineRule="auto"/>
              <w:ind w:firstLine="482" w:firstLineChars="200"/>
              <w:rPr>
                <w:b/>
                <w:sz w:val="24"/>
              </w:rPr>
            </w:pPr>
            <w:r>
              <w:rPr>
                <w:b/>
                <w:sz w:val="24"/>
              </w:rPr>
              <w:t>（1）一般工业固废</w:t>
            </w:r>
          </w:p>
          <w:p w14:paraId="2140786A">
            <w:pPr>
              <w:adjustRightInd w:val="0"/>
              <w:snapToGrid w:val="0"/>
              <w:spacing w:line="360" w:lineRule="auto"/>
              <w:ind w:firstLine="480" w:firstLineChars="200"/>
              <w:rPr>
                <w:kern w:val="18"/>
                <w:sz w:val="24"/>
              </w:rPr>
            </w:pPr>
            <w:r>
              <w:rPr>
                <w:rFonts w:hint="eastAsia"/>
                <w:kern w:val="18"/>
                <w:sz w:val="24"/>
              </w:rPr>
              <w:t>白土渣</w:t>
            </w:r>
            <w:r>
              <w:rPr>
                <w:kern w:val="18"/>
                <w:sz w:val="24"/>
              </w:rPr>
              <w:t>：</w:t>
            </w:r>
            <w:r>
              <w:rPr>
                <w:rFonts w:hint="eastAsia"/>
                <w:kern w:val="18"/>
                <w:sz w:val="24"/>
              </w:rPr>
              <w:t>废白土加工提取油脂后产生白土渣</w:t>
            </w:r>
            <w:r>
              <w:rPr>
                <w:kern w:val="18"/>
                <w:sz w:val="24"/>
              </w:rPr>
              <w:t>，</w:t>
            </w:r>
            <w:r>
              <w:rPr>
                <w:rFonts w:hint="eastAsia"/>
                <w:kern w:val="18"/>
                <w:sz w:val="24"/>
              </w:rPr>
              <w:t>根据物料平衡分析，白土渣产生</w:t>
            </w:r>
            <w:r>
              <w:rPr>
                <w:kern w:val="18"/>
                <w:sz w:val="24"/>
              </w:rPr>
              <w:t>量为</w:t>
            </w:r>
            <w:r>
              <w:rPr>
                <w:rFonts w:hint="eastAsia"/>
                <w:kern w:val="18"/>
                <w:sz w:val="24"/>
              </w:rPr>
              <w:t>28813</w:t>
            </w:r>
            <w:r>
              <w:rPr>
                <w:kern w:val="18"/>
                <w:sz w:val="24"/>
              </w:rPr>
              <w:t>t/a，属于《固体废物分类与代码目录》（生态环境部公告2024年第4号）SW</w:t>
            </w:r>
            <w:r>
              <w:rPr>
                <w:rFonts w:hint="eastAsia"/>
                <w:kern w:val="18"/>
                <w:sz w:val="24"/>
              </w:rPr>
              <w:t>59非特定行业产生的一般固体废物（类别代码</w:t>
            </w:r>
            <w:r>
              <w:rPr>
                <w:kern w:val="18"/>
                <w:sz w:val="24"/>
              </w:rPr>
              <w:t>900-099-S59</w:t>
            </w:r>
            <w:r>
              <w:rPr>
                <w:rFonts w:hint="eastAsia"/>
                <w:kern w:val="18"/>
                <w:sz w:val="24"/>
              </w:rPr>
              <w:t>）</w:t>
            </w:r>
            <w:r>
              <w:rPr>
                <w:kern w:val="18"/>
                <w:sz w:val="24"/>
              </w:rPr>
              <w:t>，统一收集并定期交由相关回收单位</w:t>
            </w:r>
            <w:r>
              <w:rPr>
                <w:rFonts w:hint="eastAsia"/>
                <w:kern w:val="18"/>
                <w:sz w:val="24"/>
              </w:rPr>
              <w:t>用于制造有机肥、陶粒、制砖等</w:t>
            </w:r>
            <w:r>
              <w:rPr>
                <w:kern w:val="18"/>
                <w:sz w:val="24"/>
              </w:rPr>
              <w:t>。</w:t>
            </w:r>
          </w:p>
          <w:p w14:paraId="428751E2">
            <w:pPr>
              <w:adjustRightInd w:val="0"/>
              <w:snapToGrid w:val="0"/>
              <w:spacing w:line="360" w:lineRule="auto"/>
              <w:ind w:firstLine="480" w:firstLineChars="200"/>
              <w:rPr>
                <w:kern w:val="18"/>
                <w:sz w:val="24"/>
              </w:rPr>
            </w:pPr>
            <w:r>
              <w:rPr>
                <w:rFonts w:hint="eastAsia"/>
                <w:kern w:val="18"/>
                <w:sz w:val="24"/>
              </w:rPr>
              <w:t>炉渣</w:t>
            </w:r>
            <w:r>
              <w:rPr>
                <w:kern w:val="18"/>
                <w:sz w:val="24"/>
              </w:rPr>
              <w:t>：</w:t>
            </w:r>
            <w:r>
              <w:rPr>
                <w:rFonts w:hint="eastAsia"/>
                <w:kern w:val="18"/>
                <w:sz w:val="24"/>
              </w:rPr>
              <w:t>生物质锅炉燃烧产生炉渣。根据《污染源源强核算技术指南锅炉》（</w:t>
            </w:r>
            <w:r>
              <w:rPr>
                <w:kern w:val="18"/>
                <w:sz w:val="24"/>
              </w:rPr>
              <w:t>HJ991-2018</w:t>
            </w:r>
            <w:r>
              <w:rPr>
                <w:rFonts w:hint="eastAsia"/>
                <w:kern w:val="18"/>
                <w:sz w:val="24"/>
              </w:rPr>
              <w:t>），燃生物质锅炉炉渣产生量可根据灰渣平衡按下式计算：</w:t>
            </w:r>
          </w:p>
          <w:p w14:paraId="3E7397C6">
            <w:pPr>
              <w:adjustRightInd w:val="0"/>
              <w:snapToGrid w:val="0"/>
              <w:spacing w:line="360" w:lineRule="auto"/>
              <w:jc w:val="center"/>
              <w:rPr>
                <w:kern w:val="18"/>
                <w:sz w:val="24"/>
              </w:rPr>
            </w:pPr>
            <w:r>
              <w:drawing>
                <wp:inline distT="0" distB="0" distL="0" distR="0">
                  <wp:extent cx="1936750" cy="499745"/>
                  <wp:effectExtent l="0" t="0" r="6350" b="0"/>
                  <wp:docPr id="14197443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744335" name="图片 1"/>
                          <pic:cNvPicPr>
                            <a:picLocks noChangeAspect="1"/>
                          </pic:cNvPicPr>
                        </pic:nvPicPr>
                        <pic:blipFill>
                          <a:blip r:embed="rId30"/>
                          <a:stretch>
                            <a:fillRect/>
                          </a:stretch>
                        </pic:blipFill>
                        <pic:spPr>
                          <a:xfrm>
                            <a:off x="0" y="0"/>
                            <a:ext cx="2009156" cy="518881"/>
                          </a:xfrm>
                          <a:prstGeom prst="rect">
                            <a:avLst/>
                          </a:prstGeom>
                        </pic:spPr>
                      </pic:pic>
                    </a:graphicData>
                  </a:graphic>
                </wp:inline>
              </w:drawing>
            </w:r>
          </w:p>
          <w:p w14:paraId="5C5D33B3">
            <w:pPr>
              <w:adjustRightInd w:val="0"/>
              <w:snapToGrid w:val="0"/>
              <w:spacing w:line="360" w:lineRule="auto"/>
              <w:ind w:firstLine="480" w:firstLineChars="200"/>
              <w:rPr>
                <w:kern w:val="18"/>
                <w:sz w:val="24"/>
              </w:rPr>
            </w:pPr>
            <w:r>
              <w:rPr>
                <w:rFonts w:hint="eastAsia"/>
                <w:kern w:val="18"/>
                <w:sz w:val="24"/>
              </w:rPr>
              <w:t>式中：</w:t>
            </w:r>
            <w:r>
              <w:rPr>
                <w:kern w:val="18"/>
                <w:sz w:val="24"/>
              </w:rPr>
              <w:t>E</w:t>
            </w:r>
            <w:r>
              <w:rPr>
                <w:kern w:val="18"/>
                <w:sz w:val="24"/>
                <w:vertAlign w:val="subscript"/>
              </w:rPr>
              <w:t>hz</w:t>
            </w:r>
            <w:r>
              <w:rPr>
                <w:rFonts w:hint="eastAsia"/>
                <w:kern w:val="18"/>
                <w:sz w:val="24"/>
              </w:rPr>
              <w:t>——核算时段内灰渣产生量，</w:t>
            </w:r>
            <w:r>
              <w:rPr>
                <w:kern w:val="18"/>
                <w:sz w:val="24"/>
              </w:rPr>
              <w:t>t</w:t>
            </w:r>
            <w:r>
              <w:rPr>
                <w:rFonts w:hint="eastAsia"/>
                <w:kern w:val="18"/>
                <w:sz w:val="24"/>
              </w:rPr>
              <w:t>；</w:t>
            </w:r>
          </w:p>
          <w:p w14:paraId="7E9549BE">
            <w:pPr>
              <w:adjustRightInd w:val="0"/>
              <w:snapToGrid w:val="0"/>
              <w:spacing w:line="360" w:lineRule="auto"/>
              <w:ind w:firstLine="480" w:firstLineChars="200"/>
              <w:rPr>
                <w:kern w:val="18"/>
                <w:sz w:val="24"/>
              </w:rPr>
            </w:pPr>
            <w:r>
              <w:rPr>
                <w:kern w:val="18"/>
                <w:sz w:val="24"/>
              </w:rPr>
              <w:t>R</w:t>
            </w:r>
            <w:r>
              <w:rPr>
                <w:rFonts w:hint="eastAsia"/>
                <w:kern w:val="18"/>
                <w:sz w:val="24"/>
              </w:rPr>
              <w:t>——核算时段内锅炉燃料耗量，</w:t>
            </w:r>
            <w:r>
              <w:rPr>
                <w:kern w:val="18"/>
                <w:sz w:val="24"/>
              </w:rPr>
              <w:t>t</w:t>
            </w:r>
            <w:r>
              <w:rPr>
                <w:rFonts w:hint="eastAsia"/>
                <w:kern w:val="18"/>
                <w:sz w:val="24"/>
              </w:rPr>
              <w:t>，本项目为3300</w:t>
            </w:r>
            <w:r>
              <w:rPr>
                <w:kern w:val="18"/>
                <w:sz w:val="24"/>
              </w:rPr>
              <w:t>t</w:t>
            </w:r>
            <w:r>
              <w:rPr>
                <w:rFonts w:hint="eastAsia"/>
                <w:kern w:val="18"/>
                <w:sz w:val="24"/>
              </w:rPr>
              <w:t>；</w:t>
            </w:r>
          </w:p>
          <w:p w14:paraId="403AF78F">
            <w:pPr>
              <w:adjustRightInd w:val="0"/>
              <w:snapToGrid w:val="0"/>
              <w:spacing w:line="360" w:lineRule="auto"/>
              <w:ind w:firstLine="480" w:firstLineChars="200"/>
              <w:rPr>
                <w:kern w:val="18"/>
                <w:sz w:val="24"/>
              </w:rPr>
            </w:pPr>
            <w:r>
              <w:rPr>
                <w:kern w:val="18"/>
                <w:sz w:val="24"/>
              </w:rPr>
              <w:t>A</w:t>
            </w:r>
            <w:r>
              <w:rPr>
                <w:kern w:val="18"/>
                <w:sz w:val="24"/>
                <w:vertAlign w:val="subscript"/>
              </w:rPr>
              <w:t>ar</w:t>
            </w:r>
            <w:r>
              <w:rPr>
                <w:rFonts w:hint="eastAsia"/>
                <w:kern w:val="18"/>
                <w:sz w:val="24"/>
              </w:rPr>
              <w:t>——收到基灰分的质量分数，</w:t>
            </w:r>
            <w:r>
              <w:rPr>
                <w:kern w:val="18"/>
                <w:sz w:val="24"/>
              </w:rPr>
              <w:t>%</w:t>
            </w:r>
            <w:r>
              <w:rPr>
                <w:rFonts w:hint="eastAsia"/>
                <w:kern w:val="18"/>
                <w:sz w:val="24"/>
              </w:rPr>
              <w:t>，本项目取1</w:t>
            </w:r>
            <w:r>
              <w:rPr>
                <w:kern w:val="18"/>
                <w:sz w:val="24"/>
              </w:rPr>
              <w:t>.</w:t>
            </w:r>
            <w:r>
              <w:rPr>
                <w:rFonts w:hint="eastAsia"/>
                <w:kern w:val="18"/>
                <w:sz w:val="24"/>
              </w:rPr>
              <w:t>56</w:t>
            </w:r>
            <w:r>
              <w:rPr>
                <w:kern w:val="18"/>
                <w:sz w:val="24"/>
              </w:rPr>
              <w:t>%</w:t>
            </w:r>
            <w:r>
              <w:rPr>
                <w:rFonts w:hint="eastAsia"/>
                <w:kern w:val="18"/>
                <w:sz w:val="24"/>
              </w:rPr>
              <w:t>；</w:t>
            </w:r>
          </w:p>
          <w:p w14:paraId="3137F467">
            <w:pPr>
              <w:adjustRightInd w:val="0"/>
              <w:snapToGrid w:val="0"/>
              <w:spacing w:line="360" w:lineRule="auto"/>
              <w:ind w:firstLine="480" w:firstLineChars="200"/>
              <w:rPr>
                <w:kern w:val="18"/>
                <w:sz w:val="24"/>
              </w:rPr>
            </w:pPr>
            <w:r>
              <w:rPr>
                <w:kern w:val="18"/>
                <w:sz w:val="24"/>
              </w:rPr>
              <w:t>q</w:t>
            </w:r>
            <w:r>
              <w:rPr>
                <w:kern w:val="18"/>
                <w:sz w:val="24"/>
                <w:vertAlign w:val="subscript"/>
              </w:rPr>
              <w:t>4</w:t>
            </w:r>
            <w:r>
              <w:rPr>
                <w:rFonts w:hint="eastAsia"/>
                <w:kern w:val="18"/>
                <w:sz w:val="24"/>
              </w:rPr>
              <w:t>——锅炉机械不完全燃烧热损失，</w:t>
            </w:r>
            <w:r>
              <w:rPr>
                <w:kern w:val="18"/>
                <w:sz w:val="24"/>
              </w:rPr>
              <w:t>%</w:t>
            </w:r>
            <w:r>
              <w:rPr>
                <w:rFonts w:hint="eastAsia"/>
                <w:kern w:val="18"/>
                <w:sz w:val="24"/>
              </w:rPr>
              <w:t>，本项目取</w:t>
            </w:r>
            <w:r>
              <w:rPr>
                <w:kern w:val="18"/>
                <w:sz w:val="24"/>
              </w:rPr>
              <w:t>10</w:t>
            </w:r>
            <w:r>
              <w:rPr>
                <w:rFonts w:hint="eastAsia"/>
                <w:kern w:val="18"/>
                <w:sz w:val="24"/>
              </w:rPr>
              <w:t>；</w:t>
            </w:r>
          </w:p>
          <w:p w14:paraId="4AA7E9E3">
            <w:pPr>
              <w:adjustRightInd w:val="0"/>
              <w:snapToGrid w:val="0"/>
              <w:spacing w:line="360" w:lineRule="auto"/>
              <w:ind w:firstLine="480" w:firstLineChars="200"/>
              <w:rPr>
                <w:kern w:val="18"/>
                <w:sz w:val="24"/>
              </w:rPr>
            </w:pPr>
            <w:r>
              <w:rPr>
                <w:kern w:val="18"/>
                <w:sz w:val="24"/>
              </w:rPr>
              <w:t>Q</w:t>
            </w:r>
            <w:r>
              <w:rPr>
                <w:kern w:val="18"/>
                <w:sz w:val="24"/>
                <w:vertAlign w:val="subscript"/>
              </w:rPr>
              <w:t>net,ar</w:t>
            </w:r>
            <w:r>
              <w:rPr>
                <w:rFonts w:hint="eastAsia"/>
                <w:kern w:val="18"/>
                <w:sz w:val="24"/>
              </w:rPr>
              <w:t>——收到基低位发热量，</w:t>
            </w:r>
            <w:r>
              <w:rPr>
                <w:kern w:val="18"/>
                <w:sz w:val="24"/>
              </w:rPr>
              <w:t>kJ/kg</w:t>
            </w:r>
            <w:r>
              <w:rPr>
                <w:rFonts w:hint="eastAsia"/>
                <w:kern w:val="18"/>
                <w:sz w:val="24"/>
              </w:rPr>
              <w:t>，本项目为17210</w:t>
            </w:r>
            <w:r>
              <w:rPr>
                <w:kern w:val="18"/>
                <w:sz w:val="24"/>
              </w:rPr>
              <w:t>kJ/kg</w:t>
            </w:r>
            <w:r>
              <w:rPr>
                <w:rFonts w:hint="eastAsia"/>
                <w:kern w:val="18"/>
                <w:sz w:val="24"/>
              </w:rPr>
              <w:t>。</w:t>
            </w:r>
          </w:p>
          <w:p w14:paraId="41377C65">
            <w:pPr>
              <w:adjustRightInd w:val="0"/>
              <w:snapToGrid w:val="0"/>
              <w:spacing w:line="360" w:lineRule="auto"/>
              <w:ind w:firstLine="480" w:firstLineChars="200"/>
              <w:rPr>
                <w:kern w:val="18"/>
                <w:sz w:val="24"/>
              </w:rPr>
            </w:pPr>
            <w:r>
              <w:rPr>
                <w:rFonts w:hint="eastAsia"/>
                <w:kern w:val="18"/>
                <w:sz w:val="24"/>
              </w:rPr>
              <w:t>经计算，本项目产生的锅炉灰渣总量为219</w:t>
            </w:r>
            <w:r>
              <w:rPr>
                <w:kern w:val="18"/>
                <w:sz w:val="24"/>
              </w:rPr>
              <w:t>t/a</w:t>
            </w:r>
            <w:r>
              <w:rPr>
                <w:rFonts w:hint="eastAsia"/>
                <w:kern w:val="18"/>
                <w:sz w:val="24"/>
              </w:rPr>
              <w:t>，</w:t>
            </w:r>
            <w:r>
              <w:rPr>
                <w:kern w:val="18"/>
                <w:sz w:val="24"/>
              </w:rPr>
              <w:t>属于《固体废物分类与代码目录》（生态环境部公告2024年第4号）SW</w:t>
            </w:r>
            <w:r>
              <w:rPr>
                <w:rFonts w:hint="eastAsia"/>
                <w:kern w:val="18"/>
                <w:sz w:val="24"/>
              </w:rPr>
              <w:t>59非特定行业产生的一般固体废物（类别代码</w:t>
            </w:r>
            <w:r>
              <w:rPr>
                <w:kern w:val="18"/>
                <w:sz w:val="24"/>
              </w:rPr>
              <w:t>900-099-S03</w:t>
            </w:r>
            <w:r>
              <w:rPr>
                <w:rFonts w:hint="eastAsia"/>
                <w:kern w:val="18"/>
                <w:sz w:val="24"/>
              </w:rPr>
              <w:t>），</w:t>
            </w:r>
            <w:r>
              <w:rPr>
                <w:kern w:val="18"/>
                <w:sz w:val="24"/>
              </w:rPr>
              <w:t>统一收集并定期交由相关回收单位</w:t>
            </w:r>
            <w:r>
              <w:rPr>
                <w:rFonts w:hint="eastAsia"/>
                <w:kern w:val="18"/>
                <w:sz w:val="24"/>
              </w:rPr>
              <w:t>用于制造有机肥、陶粒、制砖等</w:t>
            </w:r>
            <w:r>
              <w:rPr>
                <w:kern w:val="18"/>
                <w:sz w:val="24"/>
              </w:rPr>
              <w:t>。</w:t>
            </w:r>
          </w:p>
          <w:p w14:paraId="5D26895D">
            <w:pPr>
              <w:adjustRightInd w:val="0"/>
              <w:snapToGrid w:val="0"/>
              <w:spacing w:line="360" w:lineRule="auto"/>
              <w:ind w:firstLine="482" w:firstLineChars="200"/>
              <w:rPr>
                <w:b/>
                <w:sz w:val="24"/>
              </w:rPr>
            </w:pPr>
            <w:r>
              <w:rPr>
                <w:b/>
                <w:sz w:val="24"/>
              </w:rPr>
              <w:t>（2）危</w:t>
            </w:r>
            <w:r>
              <w:rPr>
                <w:rFonts w:hint="eastAsia"/>
                <w:b/>
                <w:sz w:val="24"/>
              </w:rPr>
              <w:t>险</w:t>
            </w:r>
            <w:r>
              <w:rPr>
                <w:b/>
                <w:sz w:val="24"/>
              </w:rPr>
              <w:t>废物</w:t>
            </w:r>
          </w:p>
          <w:p w14:paraId="2A708E53">
            <w:pPr>
              <w:adjustRightInd w:val="0"/>
              <w:snapToGrid w:val="0"/>
              <w:spacing w:line="360" w:lineRule="auto"/>
              <w:ind w:firstLine="480" w:firstLineChars="200"/>
              <w:rPr>
                <w:kern w:val="18"/>
                <w:sz w:val="24"/>
              </w:rPr>
            </w:pPr>
            <w:r>
              <w:rPr>
                <w:kern w:val="18"/>
                <w:sz w:val="24"/>
              </w:rPr>
              <w:t>项目</w:t>
            </w:r>
            <w:r>
              <w:rPr>
                <w:rFonts w:hint="eastAsia"/>
                <w:kern w:val="18"/>
                <w:sz w:val="24"/>
              </w:rPr>
              <w:t>产生的</w:t>
            </w:r>
            <w:r>
              <w:rPr>
                <w:kern w:val="18"/>
                <w:sz w:val="24"/>
              </w:rPr>
              <w:t>危险废物有废活性炭、</w:t>
            </w:r>
            <w:r>
              <w:rPr>
                <w:rFonts w:hint="eastAsia"/>
                <w:bCs/>
                <w:sz w:val="24"/>
              </w:rPr>
              <w:t>含油手套及废抹布、废机油、废机油桶等</w:t>
            </w:r>
            <w:r>
              <w:rPr>
                <w:rFonts w:hint="eastAsia"/>
                <w:kern w:val="18"/>
                <w:sz w:val="24"/>
              </w:rPr>
              <w:t>，</w:t>
            </w:r>
            <w:r>
              <w:rPr>
                <w:kern w:val="18"/>
                <w:sz w:val="24"/>
              </w:rPr>
              <w:t>储存在危废暂存间内，定期交由具有危险废物处理资质的处理单位处理。</w:t>
            </w:r>
          </w:p>
          <w:p w14:paraId="3B10E251">
            <w:pPr>
              <w:adjustRightInd w:val="0"/>
              <w:snapToGrid w:val="0"/>
              <w:spacing w:line="360" w:lineRule="auto"/>
              <w:ind w:firstLine="480" w:firstLineChars="200"/>
              <w:rPr>
                <w:kern w:val="18"/>
                <w:sz w:val="24"/>
              </w:rPr>
            </w:pPr>
            <w:r>
              <w:rPr>
                <w:kern w:val="18"/>
                <w:sz w:val="24"/>
              </w:rPr>
              <w:t>废活性炭：项目设</w:t>
            </w:r>
            <w:r>
              <w:rPr>
                <w:rFonts w:hint="eastAsia"/>
                <w:kern w:val="18"/>
                <w:sz w:val="24"/>
              </w:rPr>
              <w:t>1套</w:t>
            </w:r>
            <w:r>
              <w:rPr>
                <w:kern w:val="18"/>
                <w:sz w:val="24"/>
              </w:rPr>
              <w:t>废气处理设施（二级活性炭吸附装置）处理有机废气，</w:t>
            </w:r>
            <w:r>
              <w:rPr>
                <w:rFonts w:hint="eastAsia"/>
                <w:kern w:val="18"/>
                <w:sz w:val="24"/>
              </w:rPr>
              <w:t>会产生危险废物废活性炭</w:t>
            </w:r>
            <w:r>
              <w:rPr>
                <w:kern w:val="18"/>
                <w:sz w:val="24"/>
              </w:rPr>
              <w:t>。</w:t>
            </w:r>
            <w:r>
              <w:rPr>
                <w:rFonts w:hint="eastAsia"/>
                <w:kern w:val="18"/>
                <w:sz w:val="24"/>
              </w:rPr>
              <w:t>根据前文废气污染源分析，项目非甲烷总烃和臭气有组织吸附量约0.61</w:t>
            </w:r>
            <w:r>
              <w:rPr>
                <w:kern w:val="18"/>
                <w:sz w:val="24"/>
              </w:rPr>
              <w:t>t/a</w:t>
            </w:r>
            <w:r>
              <w:rPr>
                <w:rFonts w:hint="eastAsia"/>
                <w:kern w:val="18"/>
                <w:sz w:val="24"/>
              </w:rPr>
              <w:t>。选用蜂窝活性炭，根据《广东省生态环境厅关于印发工业源挥发性有机物和氮氧化物减排量核算方法的通知》（粤环函</w:t>
            </w:r>
            <w:r>
              <w:rPr>
                <w:kern w:val="18"/>
                <w:sz w:val="24"/>
              </w:rPr>
              <w:t>〔2023〕538</w:t>
            </w:r>
            <w:r>
              <w:rPr>
                <w:rFonts w:hint="eastAsia"/>
                <w:kern w:val="18"/>
                <w:sz w:val="24"/>
              </w:rPr>
              <w:t>号），蜂窝活性炭的吸附比例取</w:t>
            </w:r>
            <w:r>
              <w:rPr>
                <w:kern w:val="18"/>
                <w:sz w:val="24"/>
              </w:rPr>
              <w:t>15%</w:t>
            </w:r>
            <w:r>
              <w:rPr>
                <w:rFonts w:hint="eastAsia"/>
                <w:kern w:val="18"/>
                <w:sz w:val="24"/>
              </w:rPr>
              <w:t>，则项目活性炭理论用量为4.07</w:t>
            </w:r>
            <w:r>
              <w:rPr>
                <w:kern w:val="18"/>
                <w:sz w:val="24"/>
              </w:rPr>
              <w:t>t/a</w:t>
            </w:r>
            <w:r>
              <w:rPr>
                <w:rFonts w:hint="eastAsia"/>
                <w:kern w:val="18"/>
                <w:sz w:val="24"/>
              </w:rPr>
              <w:t>。</w:t>
            </w:r>
          </w:p>
          <w:p w14:paraId="11C700F0">
            <w:pPr>
              <w:adjustRightInd w:val="0"/>
              <w:snapToGrid w:val="0"/>
              <w:spacing w:line="360" w:lineRule="auto"/>
              <w:ind w:firstLine="480" w:firstLineChars="200"/>
              <w:rPr>
                <w:kern w:val="18"/>
                <w:sz w:val="24"/>
              </w:rPr>
            </w:pPr>
            <w:r>
              <w:rPr>
                <w:rFonts w:hint="eastAsia"/>
                <w:kern w:val="18"/>
                <w:sz w:val="24"/>
              </w:rPr>
              <w:t>本项目活性炭吸附装置设计参数及计算见表4-19。</w:t>
            </w:r>
          </w:p>
          <w:p w14:paraId="1A7BC3EB">
            <w:pPr>
              <w:adjustRightInd w:val="0"/>
              <w:snapToGrid w:val="0"/>
              <w:spacing w:line="360" w:lineRule="auto"/>
              <w:ind w:firstLine="480" w:firstLineChars="200"/>
              <w:rPr>
                <w:sz w:val="24"/>
                <w:szCs w:val="24"/>
              </w:rPr>
            </w:pPr>
            <w:r>
              <w:rPr>
                <w:rFonts w:hint="eastAsia"/>
                <w:sz w:val="24"/>
                <w:szCs w:val="24"/>
              </w:rPr>
              <w:t>由表4-19可知，项目活性炭的年更换量为11.08</w:t>
            </w:r>
            <w:r>
              <w:rPr>
                <w:sz w:val="24"/>
              </w:rPr>
              <w:t>t/a</w:t>
            </w:r>
            <w:r>
              <w:rPr>
                <w:rFonts w:hint="eastAsia"/>
                <w:sz w:val="24"/>
              </w:rPr>
              <w:t>，</w:t>
            </w:r>
            <w:r>
              <w:rPr>
                <w:rFonts w:hint="eastAsia"/>
                <w:sz w:val="24"/>
                <w:szCs w:val="24"/>
              </w:rPr>
              <w:t>大于活性炭理论用量4.07t/a，是可行的。故本项目产生的废活性炭量为实际活性炭更换量与本项目削减非甲烷总烃量之和，约为11.17t/a。根据《国家危险废物名录（2025年版）》，废活性炭属于危险废物（HW49其他废物，900-039-49），收集后交由有危险废物处理资质的单位回收处理。</w:t>
            </w:r>
          </w:p>
          <w:p w14:paraId="1917C1D9">
            <w:pPr>
              <w:pStyle w:val="12"/>
              <w:spacing w:line="360" w:lineRule="auto"/>
              <w:ind w:left="0" w:leftChars="0" w:firstLine="0" w:firstLineChars="0"/>
              <w:jc w:val="center"/>
              <w:rPr>
                <w:b/>
              </w:rPr>
            </w:pPr>
            <w:r>
              <w:rPr>
                <w:b/>
              </w:rPr>
              <w:t>表</w:t>
            </w:r>
            <w:r>
              <w:rPr>
                <w:rFonts w:hint="eastAsia"/>
                <w:b/>
              </w:rPr>
              <w:t>4-19</w:t>
            </w:r>
            <w:r>
              <w:rPr>
                <w:b/>
              </w:rPr>
              <w:t xml:space="preserve"> 活性炭吸附装置参数一览表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1"/>
              <w:gridCol w:w="1858"/>
              <w:gridCol w:w="4305"/>
            </w:tblGrid>
            <w:tr w14:paraId="2B57D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3F747381">
                  <w:pPr>
                    <w:pStyle w:val="45"/>
                    <w:ind w:firstLine="0" w:firstLineChars="0"/>
                    <w:jc w:val="center"/>
                    <w:rPr>
                      <w:rFonts w:cs="Times New Roman"/>
                      <w:b/>
                      <w:kern w:val="2"/>
                    </w:rPr>
                  </w:pPr>
                  <w:r>
                    <w:rPr>
                      <w:rFonts w:hint="eastAsia" w:cs="Times New Roman"/>
                      <w:b/>
                      <w:bCs/>
                      <w:lang w:eastAsia="zh-CN"/>
                    </w:rPr>
                    <w:t>指标</w:t>
                  </w:r>
                </w:p>
              </w:tc>
              <w:tc>
                <w:tcPr>
                  <w:tcW w:w="1086" w:type="pct"/>
                  <w:vAlign w:val="center"/>
                </w:tcPr>
                <w:p w14:paraId="717FF540">
                  <w:pPr>
                    <w:pStyle w:val="45"/>
                    <w:ind w:firstLine="0" w:firstLineChars="0"/>
                    <w:jc w:val="center"/>
                    <w:rPr>
                      <w:rFonts w:cs="Times New Roman"/>
                      <w:b/>
                      <w:bCs/>
                    </w:rPr>
                  </w:pPr>
                  <w:r>
                    <w:rPr>
                      <w:rFonts w:hint="eastAsia" w:cs="Times New Roman"/>
                      <w:b/>
                      <w:bCs/>
                      <w:lang w:eastAsia="zh-CN"/>
                    </w:rPr>
                    <w:t>设计参数</w:t>
                  </w:r>
                </w:p>
              </w:tc>
              <w:tc>
                <w:tcPr>
                  <w:tcW w:w="2516" w:type="pct"/>
                  <w:vAlign w:val="center"/>
                </w:tcPr>
                <w:p w14:paraId="54F08CD6">
                  <w:pPr>
                    <w:pStyle w:val="45"/>
                    <w:ind w:firstLine="0" w:firstLineChars="0"/>
                    <w:jc w:val="center"/>
                    <w:rPr>
                      <w:rFonts w:cs="Times New Roman"/>
                      <w:b/>
                      <w:bCs/>
                    </w:rPr>
                  </w:pPr>
                  <w:r>
                    <w:rPr>
                      <w:rFonts w:cs="Times New Roman"/>
                      <w:b/>
                      <w:bCs/>
                    </w:rPr>
                    <w:t>备注</w:t>
                  </w:r>
                </w:p>
              </w:tc>
            </w:tr>
            <w:tr w14:paraId="6CFBC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6533C6E6">
                  <w:pPr>
                    <w:pStyle w:val="45"/>
                    <w:ind w:firstLine="0" w:firstLineChars="0"/>
                    <w:jc w:val="center"/>
                    <w:rPr>
                      <w:rFonts w:cs="Times New Roman"/>
                      <w:lang w:eastAsia="zh-CN"/>
                    </w:rPr>
                  </w:pPr>
                  <w:r>
                    <w:rPr>
                      <w:rFonts w:hint="eastAsia" w:cs="Times New Roman"/>
                    </w:rPr>
                    <w:t>设计处理风量</w:t>
                  </w:r>
                  <w:r>
                    <w:rPr>
                      <w:rFonts w:hint="eastAsia" w:cs="Times New Roman"/>
                      <w:lang w:eastAsia="zh-CN"/>
                    </w:rPr>
                    <w:t>Q</w:t>
                  </w:r>
                </w:p>
              </w:tc>
              <w:tc>
                <w:tcPr>
                  <w:tcW w:w="1086" w:type="pct"/>
                  <w:vAlign w:val="center"/>
                </w:tcPr>
                <w:p w14:paraId="0E624671">
                  <w:pPr>
                    <w:pStyle w:val="45"/>
                    <w:ind w:firstLine="0" w:firstLineChars="0"/>
                    <w:jc w:val="center"/>
                    <w:rPr>
                      <w:rFonts w:cs="Times New Roman"/>
                      <w:lang w:eastAsia="zh-CN"/>
                    </w:rPr>
                  </w:pPr>
                  <w:r>
                    <w:rPr>
                      <w:rFonts w:hint="eastAsia" w:cs="Times New Roman"/>
                      <w:lang w:eastAsia="zh-CN"/>
                    </w:rPr>
                    <w:t>27300</w:t>
                  </w:r>
                  <w:r>
                    <w:rPr>
                      <w:rFonts w:cs="Times New Roman"/>
                    </w:rPr>
                    <w:t xml:space="preserve"> m</w:t>
                  </w:r>
                  <w:r>
                    <w:rPr>
                      <w:rFonts w:cs="Times New Roman"/>
                      <w:vertAlign w:val="superscript"/>
                    </w:rPr>
                    <w:t>3</w:t>
                  </w:r>
                  <w:r>
                    <w:rPr>
                      <w:rFonts w:cs="Times New Roman"/>
                    </w:rPr>
                    <w:t>/h</w:t>
                  </w:r>
                </w:p>
              </w:tc>
              <w:tc>
                <w:tcPr>
                  <w:tcW w:w="2516" w:type="pct"/>
                  <w:vAlign w:val="center"/>
                </w:tcPr>
                <w:p w14:paraId="6B350B34">
                  <w:pPr>
                    <w:pStyle w:val="45"/>
                    <w:ind w:firstLine="0" w:firstLineChars="0"/>
                    <w:jc w:val="center"/>
                    <w:rPr>
                      <w:rFonts w:cs="Times New Roman"/>
                    </w:rPr>
                  </w:pPr>
                </w:p>
              </w:tc>
            </w:tr>
            <w:tr w14:paraId="75979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11E3D3B6">
                  <w:pPr>
                    <w:pStyle w:val="45"/>
                    <w:ind w:firstLine="0" w:firstLineChars="0"/>
                    <w:jc w:val="center"/>
                    <w:rPr>
                      <w:rFonts w:cs="Times New Roman"/>
                      <w:lang w:eastAsia="zh-CN"/>
                    </w:rPr>
                  </w:pPr>
                  <w:r>
                    <w:rPr>
                      <w:rFonts w:hint="eastAsia" w:cs="Times New Roman"/>
                      <w:lang w:eastAsia="zh-CN"/>
                    </w:rPr>
                    <w:t>活性炭类型</w:t>
                  </w:r>
                </w:p>
              </w:tc>
              <w:tc>
                <w:tcPr>
                  <w:tcW w:w="1086" w:type="pct"/>
                  <w:vAlign w:val="center"/>
                </w:tcPr>
                <w:p w14:paraId="6C3DA7C9">
                  <w:pPr>
                    <w:pStyle w:val="45"/>
                    <w:ind w:firstLine="0" w:firstLineChars="0"/>
                    <w:jc w:val="center"/>
                    <w:rPr>
                      <w:rFonts w:cs="Times New Roman"/>
                      <w:lang w:eastAsia="zh-CN"/>
                    </w:rPr>
                  </w:pPr>
                  <w:r>
                    <w:rPr>
                      <w:rFonts w:hint="eastAsia" w:cs="Times New Roman"/>
                      <w:lang w:eastAsia="zh-CN"/>
                    </w:rPr>
                    <w:t>蜂窝状</w:t>
                  </w:r>
                </w:p>
              </w:tc>
              <w:tc>
                <w:tcPr>
                  <w:tcW w:w="2516" w:type="pct"/>
                  <w:vAlign w:val="center"/>
                </w:tcPr>
                <w:p w14:paraId="145AAC7A">
                  <w:pPr>
                    <w:pStyle w:val="45"/>
                    <w:ind w:firstLine="0" w:firstLineChars="0"/>
                    <w:jc w:val="center"/>
                    <w:rPr>
                      <w:rFonts w:cs="Times New Roman"/>
                    </w:rPr>
                  </w:pPr>
                </w:p>
              </w:tc>
            </w:tr>
            <w:tr w14:paraId="20D34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52C3F1C6">
                  <w:pPr>
                    <w:pStyle w:val="45"/>
                    <w:ind w:firstLine="0" w:firstLineChars="0"/>
                    <w:jc w:val="center"/>
                  </w:pPr>
                  <w:r>
                    <w:rPr>
                      <w:rFonts w:hint="eastAsia"/>
                    </w:rPr>
                    <w:t>单个炭箱尺寸</w:t>
                  </w:r>
                </w:p>
                <w:p w14:paraId="421F2A26">
                  <w:pPr>
                    <w:pStyle w:val="45"/>
                    <w:ind w:firstLine="0" w:firstLineChars="0"/>
                    <w:jc w:val="center"/>
                    <w:rPr>
                      <w:rFonts w:cs="Times New Roman"/>
                    </w:rPr>
                  </w:pPr>
                  <w:r>
                    <w:rPr>
                      <w:rFonts w:hint="eastAsia" w:cs="Times New Roman"/>
                      <w:lang w:eastAsia="zh-CN"/>
                    </w:rPr>
                    <w:t>（</w:t>
                  </w:r>
                  <w:r>
                    <w:rPr>
                      <w:rFonts w:cs="Times New Roman"/>
                      <w:lang w:eastAsia="zh-CN"/>
                    </w:rPr>
                    <w:t>L</w:t>
                  </w:r>
                  <w:r>
                    <w:rPr>
                      <w:rFonts w:hint="eastAsia" w:cs="Times New Roman"/>
                      <w:lang w:eastAsia="zh-CN"/>
                    </w:rPr>
                    <w:t>×</w:t>
                  </w:r>
                  <w:r>
                    <w:rPr>
                      <w:rFonts w:cs="Times New Roman"/>
                      <w:lang w:eastAsia="zh-CN"/>
                    </w:rPr>
                    <w:t>B</w:t>
                  </w:r>
                  <w:r>
                    <w:rPr>
                      <w:rFonts w:hint="eastAsia" w:cs="Times New Roman"/>
                      <w:lang w:eastAsia="zh-CN"/>
                    </w:rPr>
                    <w:t>×</w:t>
                  </w:r>
                  <w:r>
                    <w:rPr>
                      <w:rFonts w:cs="Times New Roman"/>
                      <w:lang w:eastAsia="zh-CN"/>
                    </w:rPr>
                    <w:t>H</w:t>
                  </w:r>
                  <w:r>
                    <w:rPr>
                      <w:rFonts w:hint="eastAsia" w:cs="Times New Roman"/>
                      <w:lang w:eastAsia="zh-CN"/>
                    </w:rPr>
                    <w:t>）</w:t>
                  </w:r>
                </w:p>
              </w:tc>
              <w:tc>
                <w:tcPr>
                  <w:tcW w:w="1086" w:type="pct"/>
                  <w:vAlign w:val="center"/>
                </w:tcPr>
                <w:p w14:paraId="40A0B8E4">
                  <w:pPr>
                    <w:pStyle w:val="45"/>
                    <w:ind w:firstLine="0" w:firstLineChars="0"/>
                    <w:jc w:val="center"/>
                    <w:rPr>
                      <w:rFonts w:cs="Times New Roman"/>
                      <w:lang w:eastAsia="zh-CN"/>
                    </w:rPr>
                  </w:pPr>
                  <w:r>
                    <w:rPr>
                      <w:rFonts w:hint="eastAsia" w:cs="Times New Roman"/>
                      <w:lang w:eastAsia="zh-CN"/>
                    </w:rPr>
                    <w:t>3.8m×1.8m×1.5m</w:t>
                  </w:r>
                </w:p>
              </w:tc>
              <w:tc>
                <w:tcPr>
                  <w:tcW w:w="2516" w:type="pct"/>
                  <w:vAlign w:val="center"/>
                </w:tcPr>
                <w:p w14:paraId="70E1C86F">
                  <w:pPr>
                    <w:pStyle w:val="45"/>
                    <w:ind w:firstLine="0" w:firstLineChars="0"/>
                    <w:jc w:val="center"/>
                    <w:rPr>
                      <w:rFonts w:cs="Times New Roman"/>
                      <w:lang w:eastAsia="zh-CN"/>
                    </w:rPr>
                  </w:pPr>
                  <w:r>
                    <w:rPr>
                      <w:rFonts w:hint="eastAsia" w:cs="Times New Roman"/>
                      <w:lang w:eastAsia="zh-CN"/>
                    </w:rPr>
                    <w:t>2个炭箱尺寸相同</w:t>
                  </w:r>
                </w:p>
              </w:tc>
            </w:tr>
            <w:tr w14:paraId="47E24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63665FA8">
                  <w:pPr>
                    <w:pStyle w:val="45"/>
                    <w:ind w:firstLine="0" w:firstLineChars="0"/>
                    <w:jc w:val="center"/>
                    <w:rPr>
                      <w:rFonts w:cs="Times New Roman"/>
                      <w:lang w:eastAsia="zh-CN"/>
                    </w:rPr>
                  </w:pPr>
                  <w:r>
                    <w:rPr>
                      <w:rFonts w:cs="Times New Roman"/>
                    </w:rPr>
                    <w:t>单级活性炭箱设计炭层层数</w:t>
                  </w:r>
                  <w:r>
                    <w:rPr>
                      <w:rFonts w:hint="eastAsia" w:cs="Times New Roman"/>
                      <w:lang w:eastAsia="zh-CN"/>
                    </w:rPr>
                    <w:t>q</w:t>
                  </w:r>
                </w:p>
              </w:tc>
              <w:tc>
                <w:tcPr>
                  <w:tcW w:w="1086" w:type="pct"/>
                  <w:vAlign w:val="center"/>
                </w:tcPr>
                <w:p w14:paraId="69708C31">
                  <w:pPr>
                    <w:pStyle w:val="45"/>
                    <w:ind w:firstLine="0" w:firstLineChars="0"/>
                    <w:jc w:val="center"/>
                    <w:rPr>
                      <w:rFonts w:cs="Times New Roman"/>
                    </w:rPr>
                  </w:pPr>
                  <w:r>
                    <w:rPr>
                      <w:rFonts w:hint="eastAsia" w:cs="Times New Roman"/>
                      <w:lang w:eastAsia="zh-CN"/>
                    </w:rPr>
                    <w:t>2</w:t>
                  </w:r>
                  <w:r>
                    <w:rPr>
                      <w:rFonts w:cs="Times New Roman"/>
                    </w:rPr>
                    <w:t>层</w:t>
                  </w:r>
                </w:p>
              </w:tc>
              <w:tc>
                <w:tcPr>
                  <w:tcW w:w="2516" w:type="pct"/>
                  <w:vAlign w:val="center"/>
                </w:tcPr>
                <w:p w14:paraId="1DBF1DAD">
                  <w:pPr>
                    <w:pStyle w:val="45"/>
                    <w:ind w:firstLine="0" w:firstLineChars="0"/>
                    <w:jc w:val="center"/>
                    <w:rPr>
                      <w:rFonts w:cs="Times New Roman"/>
                    </w:rPr>
                  </w:pPr>
                  <w:r>
                    <w:rPr>
                      <w:rFonts w:cs="Times New Roman"/>
                    </w:rPr>
                    <w:t>/</w:t>
                  </w:r>
                </w:p>
              </w:tc>
            </w:tr>
            <w:tr w14:paraId="2433F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4E20DB3E">
                  <w:pPr>
                    <w:pStyle w:val="45"/>
                    <w:ind w:firstLine="0" w:firstLineChars="0"/>
                    <w:jc w:val="center"/>
                    <w:rPr>
                      <w:rFonts w:cs="Times New Roman"/>
                    </w:rPr>
                  </w:pPr>
                  <w:r>
                    <w:rPr>
                      <w:rFonts w:hint="eastAsia" w:cs="Times New Roman"/>
                      <w:lang w:eastAsia="zh-CN"/>
                    </w:rPr>
                    <w:t>炭层每层高度h</w:t>
                  </w:r>
                </w:p>
              </w:tc>
              <w:tc>
                <w:tcPr>
                  <w:tcW w:w="1086" w:type="pct"/>
                  <w:vAlign w:val="center"/>
                </w:tcPr>
                <w:p w14:paraId="5D87AB32">
                  <w:pPr>
                    <w:pStyle w:val="45"/>
                    <w:ind w:firstLine="0" w:firstLineChars="0"/>
                    <w:jc w:val="center"/>
                    <w:rPr>
                      <w:rFonts w:cs="Times New Roman"/>
                    </w:rPr>
                  </w:pPr>
                  <w:r>
                    <w:rPr>
                      <w:rFonts w:hint="eastAsia" w:cs="Times New Roman"/>
                      <w:lang w:eastAsia="zh-CN"/>
                    </w:rPr>
                    <w:t>0.3m</w:t>
                  </w:r>
                </w:p>
              </w:tc>
              <w:tc>
                <w:tcPr>
                  <w:tcW w:w="2516" w:type="pct"/>
                  <w:vAlign w:val="center"/>
                </w:tcPr>
                <w:p w14:paraId="38BF768E">
                  <w:pPr>
                    <w:pStyle w:val="45"/>
                    <w:ind w:firstLine="0" w:firstLineChars="0"/>
                    <w:jc w:val="center"/>
                    <w:rPr>
                      <w:rFonts w:cs="Times New Roman"/>
                    </w:rPr>
                  </w:pPr>
                </w:p>
              </w:tc>
            </w:tr>
            <w:tr w14:paraId="73500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781D3E50">
                  <w:pPr>
                    <w:pStyle w:val="45"/>
                    <w:ind w:firstLine="0" w:firstLineChars="0"/>
                    <w:jc w:val="center"/>
                    <w:rPr>
                      <w:rFonts w:cs="Times New Roman"/>
                      <w:lang w:eastAsia="zh-CN"/>
                    </w:rPr>
                  </w:pPr>
                  <w:r>
                    <w:rPr>
                      <w:rFonts w:hint="eastAsia" w:cs="Times New Roman"/>
                      <w:lang w:eastAsia="zh-CN"/>
                    </w:rPr>
                    <w:t>过滤风速v</w:t>
                  </w:r>
                </w:p>
              </w:tc>
              <w:tc>
                <w:tcPr>
                  <w:tcW w:w="1086" w:type="pct"/>
                  <w:vAlign w:val="center"/>
                </w:tcPr>
                <w:p w14:paraId="14EC7568">
                  <w:pPr>
                    <w:pStyle w:val="45"/>
                    <w:ind w:firstLine="0" w:firstLineChars="0"/>
                    <w:jc w:val="center"/>
                    <w:rPr>
                      <w:rFonts w:cs="Times New Roman"/>
                    </w:rPr>
                  </w:pPr>
                  <w:r>
                    <w:rPr>
                      <w:rFonts w:hint="eastAsia" w:cs="Times New Roman"/>
                      <w:lang w:eastAsia="zh-CN"/>
                    </w:rPr>
                    <w:t>1.1</w:t>
                  </w:r>
                  <w:r>
                    <w:rPr>
                      <w:rFonts w:cs="Times New Roman"/>
                    </w:rPr>
                    <w:t>m/s</w:t>
                  </w:r>
                </w:p>
              </w:tc>
              <w:tc>
                <w:tcPr>
                  <w:tcW w:w="2516" w:type="pct"/>
                  <w:vAlign w:val="center"/>
                </w:tcPr>
                <w:p w14:paraId="4E60D173">
                  <w:pPr>
                    <w:pStyle w:val="45"/>
                    <w:ind w:firstLine="0" w:firstLineChars="0"/>
                    <w:jc w:val="center"/>
                    <w:rPr>
                      <w:rFonts w:cs="Times New Roman"/>
                    </w:rPr>
                  </w:pPr>
                  <w:r>
                    <w:rPr>
                      <w:rFonts w:hint="eastAsia"/>
                      <w:lang w:eastAsia="zh-CN"/>
                    </w:rPr>
                    <w:t>v</w:t>
                  </w:r>
                  <w:r>
                    <w:rPr>
                      <w:rFonts w:hint="eastAsia"/>
                    </w:rPr>
                    <w:t>=Q/3600/（B</w:t>
                  </w:r>
                  <w:r>
                    <w:rPr>
                      <w:rFonts w:hint="eastAsia" w:cs="Times New Roman"/>
                      <w:lang w:eastAsia="zh-CN"/>
                    </w:rPr>
                    <w:t>×</w:t>
                  </w:r>
                  <w:r>
                    <w:rPr>
                      <w:rFonts w:hint="eastAsia"/>
                    </w:rPr>
                    <w:t>L)，根据《广东省生态环境厅关于印发工业源挥发性有机物和氮氧化物减排量核算方法的通知》（粤环函</w:t>
                  </w:r>
                  <w:r>
                    <w:rPr>
                      <w:rFonts w:hint="eastAsia" w:cs="Times New Roman"/>
                    </w:rPr>
                    <w:t>〔2023〕538号），蜂窝</w:t>
                  </w:r>
                  <w:r>
                    <w:rPr>
                      <w:rFonts w:hint="eastAsia" w:cs="Times New Roman"/>
                      <w:lang w:eastAsia="zh-CN"/>
                    </w:rPr>
                    <w:t>状</w:t>
                  </w:r>
                  <w:r>
                    <w:rPr>
                      <w:rFonts w:hint="eastAsia" w:cs="Times New Roman"/>
                    </w:rPr>
                    <w:t>活性炭风速小于1.2m/s</w:t>
                  </w:r>
                </w:p>
              </w:tc>
            </w:tr>
            <w:tr w14:paraId="50FB2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60CBCA32">
                  <w:pPr>
                    <w:pStyle w:val="45"/>
                    <w:ind w:firstLine="0" w:firstLineChars="0"/>
                    <w:jc w:val="center"/>
                    <w:rPr>
                      <w:rFonts w:cs="Times New Roman"/>
                      <w:lang w:eastAsia="zh-CN"/>
                    </w:rPr>
                  </w:pPr>
                  <w:r>
                    <w:rPr>
                      <w:rFonts w:cs="Times New Roman"/>
                    </w:rPr>
                    <w:t>设计活性炭停留时间</w:t>
                  </w:r>
                  <w:r>
                    <w:rPr>
                      <w:rFonts w:hint="eastAsia" w:cs="Times New Roman"/>
                      <w:lang w:eastAsia="zh-CN"/>
                    </w:rPr>
                    <w:t>T</w:t>
                  </w:r>
                </w:p>
              </w:tc>
              <w:tc>
                <w:tcPr>
                  <w:tcW w:w="1086" w:type="pct"/>
                  <w:vAlign w:val="center"/>
                </w:tcPr>
                <w:p w14:paraId="0518D26F">
                  <w:pPr>
                    <w:pStyle w:val="45"/>
                    <w:ind w:firstLine="0" w:firstLineChars="0"/>
                    <w:jc w:val="center"/>
                    <w:rPr>
                      <w:rFonts w:cs="Times New Roman"/>
                    </w:rPr>
                  </w:pPr>
                  <w:r>
                    <w:rPr>
                      <w:rFonts w:hint="eastAsia" w:cs="Times New Roman"/>
                      <w:lang w:eastAsia="zh-CN"/>
                    </w:rPr>
                    <w:t>0.6</w:t>
                  </w:r>
                  <w:r>
                    <w:rPr>
                      <w:rFonts w:cs="Times New Roman"/>
                    </w:rPr>
                    <w:t>s</w:t>
                  </w:r>
                </w:p>
              </w:tc>
              <w:tc>
                <w:tcPr>
                  <w:tcW w:w="2516" w:type="pct"/>
                  <w:vAlign w:val="center"/>
                </w:tcPr>
                <w:p w14:paraId="244D9FE0">
                  <w:pPr>
                    <w:pStyle w:val="45"/>
                    <w:ind w:firstLine="0" w:firstLineChars="0"/>
                    <w:jc w:val="center"/>
                    <w:rPr>
                      <w:rFonts w:cs="Times New Roman"/>
                    </w:rPr>
                  </w:pPr>
                  <w:r>
                    <w:rPr>
                      <w:rFonts w:hint="eastAsia" w:cs="Times New Roman"/>
                    </w:rPr>
                    <w:t>T=</w:t>
                  </w:r>
                  <w:r>
                    <w:rPr>
                      <w:rFonts w:hint="eastAsia" w:cs="Times New Roman"/>
                      <w:lang w:eastAsia="zh-CN"/>
                    </w:rPr>
                    <w:t>qh</w:t>
                  </w:r>
                  <w:r>
                    <w:rPr>
                      <w:rFonts w:hint="eastAsia" w:cs="Times New Roman"/>
                    </w:rPr>
                    <w:t>/</w:t>
                  </w:r>
                  <w:r>
                    <w:rPr>
                      <w:rFonts w:hint="eastAsia" w:cs="Times New Roman"/>
                      <w:lang w:eastAsia="zh-CN"/>
                    </w:rPr>
                    <w:t>v</w:t>
                  </w:r>
                </w:p>
              </w:tc>
            </w:tr>
            <w:tr w14:paraId="6D4FB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4EFAC7B9">
                  <w:pPr>
                    <w:pStyle w:val="45"/>
                    <w:ind w:firstLine="0" w:firstLineChars="0"/>
                    <w:jc w:val="center"/>
                    <w:rPr>
                      <w:rFonts w:cs="Times New Roman"/>
                    </w:rPr>
                  </w:pPr>
                  <w:r>
                    <w:rPr>
                      <w:rFonts w:cs="Times New Roman"/>
                    </w:rPr>
                    <w:t>设计堆积密度ρ</w:t>
                  </w:r>
                </w:p>
              </w:tc>
              <w:tc>
                <w:tcPr>
                  <w:tcW w:w="1086" w:type="pct"/>
                  <w:vAlign w:val="center"/>
                </w:tcPr>
                <w:p w14:paraId="05CCD2D0">
                  <w:pPr>
                    <w:pStyle w:val="45"/>
                    <w:ind w:firstLine="0" w:firstLineChars="0"/>
                    <w:jc w:val="center"/>
                    <w:rPr>
                      <w:rFonts w:cs="Times New Roman"/>
                      <w:lang w:eastAsia="zh-CN"/>
                    </w:rPr>
                  </w:pPr>
                  <w:r>
                    <w:rPr>
                      <w:rFonts w:hint="eastAsia"/>
                    </w:rPr>
                    <w:t>0.</w:t>
                  </w:r>
                  <w:r>
                    <w:rPr>
                      <w:rFonts w:hint="eastAsia"/>
                      <w:lang w:eastAsia="zh-CN"/>
                    </w:rPr>
                    <w:t>45</w:t>
                  </w:r>
                  <w:r>
                    <w:t>g/cm</w:t>
                  </w:r>
                  <w:r>
                    <w:rPr>
                      <w:vertAlign w:val="superscript"/>
                    </w:rPr>
                    <w:t>3</w:t>
                  </w:r>
                </w:p>
              </w:tc>
              <w:tc>
                <w:tcPr>
                  <w:tcW w:w="2516" w:type="pct"/>
                  <w:vAlign w:val="center"/>
                </w:tcPr>
                <w:p w14:paraId="1DC0176F">
                  <w:pPr>
                    <w:pStyle w:val="45"/>
                    <w:ind w:firstLine="0" w:firstLineChars="0"/>
                    <w:jc w:val="center"/>
                    <w:rPr>
                      <w:rFonts w:cs="Times New Roman"/>
                    </w:rPr>
                  </w:pPr>
                  <w:r>
                    <w:rPr>
                      <w:rStyle w:val="55"/>
                      <w:color w:val="auto"/>
                      <w:u w:val="none"/>
                    </w:rPr>
                    <w:t>/</w:t>
                  </w:r>
                </w:p>
              </w:tc>
            </w:tr>
            <w:tr w14:paraId="5BDEB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25D3F36C">
                  <w:pPr>
                    <w:pStyle w:val="45"/>
                    <w:ind w:firstLine="0" w:firstLineChars="0"/>
                    <w:jc w:val="center"/>
                    <w:rPr>
                      <w:rFonts w:cs="Times New Roman"/>
                    </w:rPr>
                  </w:pPr>
                  <w:r>
                    <w:rPr>
                      <w:rFonts w:cs="Times New Roman"/>
                    </w:rPr>
                    <w:t>二级活性炭箱体单次填装量</w:t>
                  </w:r>
                </w:p>
              </w:tc>
              <w:tc>
                <w:tcPr>
                  <w:tcW w:w="1086" w:type="pct"/>
                  <w:vAlign w:val="center"/>
                </w:tcPr>
                <w:p w14:paraId="4F2E394B">
                  <w:pPr>
                    <w:pStyle w:val="45"/>
                    <w:ind w:firstLine="0" w:firstLineChars="0"/>
                    <w:jc w:val="center"/>
                    <w:rPr>
                      <w:rFonts w:cs="Times New Roman"/>
                    </w:rPr>
                  </w:pPr>
                  <w:r>
                    <w:rPr>
                      <w:rFonts w:hint="eastAsia" w:cs="Times New Roman"/>
                      <w:lang w:eastAsia="zh-CN"/>
                    </w:rPr>
                    <w:t>3.69t</w:t>
                  </w:r>
                </w:p>
              </w:tc>
              <w:tc>
                <w:tcPr>
                  <w:tcW w:w="2516" w:type="pct"/>
                  <w:vAlign w:val="center"/>
                </w:tcPr>
                <w:p w14:paraId="3B58E1E4">
                  <w:pPr>
                    <w:pStyle w:val="45"/>
                    <w:ind w:firstLine="0" w:firstLineChars="0"/>
                    <w:jc w:val="center"/>
                    <w:rPr>
                      <w:rFonts w:cs="Times New Roman"/>
                      <w:lang w:eastAsia="zh-CN"/>
                    </w:rPr>
                  </w:pPr>
                  <w:r>
                    <w:rPr>
                      <w:rFonts w:hint="eastAsia" w:cs="Times New Roman"/>
                      <w:lang w:eastAsia="zh-CN"/>
                    </w:rPr>
                    <w:t>单个炭箱装填量=B×L×h×q×</w:t>
                  </w:r>
                  <w:r>
                    <w:rPr>
                      <w:rFonts w:cs="Times New Roman"/>
                      <w:lang w:eastAsia="zh-CN"/>
                    </w:rPr>
                    <w:t>ρ</w:t>
                  </w:r>
                </w:p>
              </w:tc>
            </w:tr>
            <w:tr w14:paraId="1DA31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09AD6655">
                  <w:pPr>
                    <w:pStyle w:val="45"/>
                    <w:ind w:firstLine="0" w:firstLineChars="0"/>
                    <w:jc w:val="center"/>
                    <w:rPr>
                      <w:rFonts w:cs="Times New Roman"/>
                      <w:bCs/>
                    </w:rPr>
                  </w:pPr>
                  <w:r>
                    <w:rPr>
                      <w:rFonts w:cs="Times New Roman"/>
                    </w:rPr>
                    <w:t>每年更换次数</w:t>
                  </w:r>
                </w:p>
              </w:tc>
              <w:tc>
                <w:tcPr>
                  <w:tcW w:w="1086" w:type="pct"/>
                  <w:vAlign w:val="center"/>
                </w:tcPr>
                <w:p w14:paraId="5C3B9309">
                  <w:pPr>
                    <w:pStyle w:val="45"/>
                    <w:ind w:firstLine="0" w:firstLineChars="0"/>
                    <w:jc w:val="center"/>
                    <w:rPr>
                      <w:rFonts w:cs="Times New Roman"/>
                    </w:rPr>
                  </w:pPr>
                  <w:r>
                    <w:rPr>
                      <w:rFonts w:hint="eastAsia" w:cs="Times New Roman"/>
                      <w:lang w:eastAsia="zh-CN"/>
                    </w:rPr>
                    <w:t>4</w:t>
                  </w:r>
                  <w:r>
                    <w:rPr>
                      <w:rFonts w:cs="Times New Roman"/>
                    </w:rPr>
                    <w:t>次</w:t>
                  </w:r>
                </w:p>
              </w:tc>
              <w:tc>
                <w:tcPr>
                  <w:tcW w:w="2516" w:type="pct"/>
                  <w:vAlign w:val="center"/>
                </w:tcPr>
                <w:p w14:paraId="74849709">
                  <w:pPr>
                    <w:pStyle w:val="45"/>
                    <w:ind w:firstLine="0" w:firstLineChars="0"/>
                    <w:jc w:val="center"/>
                    <w:rPr>
                      <w:rFonts w:cs="Times New Roman"/>
                      <w:lang w:eastAsia="zh-CN"/>
                    </w:rPr>
                  </w:pPr>
                  <w:r>
                    <w:rPr>
                      <w:rFonts w:hint="eastAsia" w:cs="Times New Roman"/>
                      <w:lang w:eastAsia="zh-CN"/>
                    </w:rPr>
                    <w:t>每四个月更换一次</w:t>
                  </w:r>
                </w:p>
              </w:tc>
            </w:tr>
            <w:tr w14:paraId="633EC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1555436B">
                  <w:pPr>
                    <w:pStyle w:val="45"/>
                    <w:ind w:firstLine="0" w:firstLineChars="0"/>
                    <w:jc w:val="center"/>
                    <w:rPr>
                      <w:rFonts w:cs="Times New Roman"/>
                    </w:rPr>
                  </w:pPr>
                  <w:r>
                    <w:rPr>
                      <w:rFonts w:cs="Times New Roman"/>
                    </w:rPr>
                    <w:t>活性炭更换量</w:t>
                  </w:r>
                </w:p>
              </w:tc>
              <w:tc>
                <w:tcPr>
                  <w:tcW w:w="1086" w:type="pct"/>
                  <w:vAlign w:val="center"/>
                </w:tcPr>
                <w:p w14:paraId="030825B5">
                  <w:pPr>
                    <w:pStyle w:val="45"/>
                    <w:ind w:firstLine="0" w:firstLineChars="0"/>
                    <w:jc w:val="center"/>
                    <w:rPr>
                      <w:rFonts w:cs="Times New Roman"/>
                    </w:rPr>
                  </w:pPr>
                  <w:r>
                    <w:rPr>
                      <w:rFonts w:hint="eastAsia" w:cs="Times New Roman"/>
                      <w:lang w:eastAsia="zh-CN"/>
                    </w:rPr>
                    <w:t>11.08</w:t>
                  </w:r>
                  <w:r>
                    <w:rPr>
                      <w:rFonts w:cs="Times New Roman"/>
                    </w:rPr>
                    <w:t>t/a</w:t>
                  </w:r>
                </w:p>
              </w:tc>
              <w:tc>
                <w:tcPr>
                  <w:tcW w:w="2516" w:type="pct"/>
                  <w:vAlign w:val="center"/>
                </w:tcPr>
                <w:p w14:paraId="6A9B4F51">
                  <w:pPr>
                    <w:pStyle w:val="45"/>
                    <w:ind w:firstLine="0" w:firstLineChars="0"/>
                    <w:jc w:val="center"/>
                    <w:rPr>
                      <w:rFonts w:cs="Times New Roman"/>
                    </w:rPr>
                  </w:pPr>
                  <w:r>
                    <w:rPr>
                      <w:rFonts w:cs="Times New Roman"/>
                    </w:rPr>
                    <w:t>更换量=填装量×更换次数</w:t>
                  </w:r>
                </w:p>
              </w:tc>
            </w:tr>
            <w:tr w14:paraId="3FF52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7AD6FD04">
                  <w:pPr>
                    <w:pStyle w:val="45"/>
                    <w:ind w:firstLine="0" w:firstLineChars="0"/>
                    <w:jc w:val="center"/>
                    <w:rPr>
                      <w:rFonts w:cs="Times New Roman"/>
                    </w:rPr>
                  </w:pPr>
                  <w:r>
                    <w:rPr>
                      <w:rStyle w:val="55"/>
                      <w:color w:val="auto"/>
                      <w:u w:val="none"/>
                    </w:rPr>
                    <w:t>项目所需</w:t>
                  </w:r>
                  <w:r>
                    <w:rPr>
                      <w:rStyle w:val="58"/>
                      <w:rFonts w:hint="default" w:ascii="Times New Roman" w:hAnsi="Times New Roman" w:cs="Times New Roman"/>
                      <w:b w:val="0"/>
                      <w:bCs w:val="0"/>
                      <w:color w:val="auto"/>
                    </w:rPr>
                    <w:t>削减</w:t>
                  </w:r>
                  <w:r>
                    <w:rPr>
                      <w:rStyle w:val="55"/>
                      <w:color w:val="auto"/>
                      <w:u w:val="none"/>
                    </w:rPr>
                    <w:t>VOCs</w:t>
                  </w:r>
                  <w:r>
                    <w:rPr>
                      <w:rStyle w:val="58"/>
                      <w:rFonts w:hint="default" w:ascii="Times New Roman" w:hAnsi="Times New Roman" w:cs="Times New Roman"/>
                      <w:b w:val="0"/>
                      <w:bCs w:val="0"/>
                      <w:color w:val="auto"/>
                    </w:rPr>
                    <w:t>量</w:t>
                  </w:r>
                </w:p>
              </w:tc>
              <w:tc>
                <w:tcPr>
                  <w:tcW w:w="1086" w:type="pct"/>
                  <w:vAlign w:val="center"/>
                </w:tcPr>
                <w:p w14:paraId="24B57F10">
                  <w:pPr>
                    <w:pStyle w:val="45"/>
                    <w:ind w:firstLine="0" w:firstLineChars="0"/>
                    <w:jc w:val="center"/>
                    <w:rPr>
                      <w:rFonts w:cs="Times New Roman"/>
                    </w:rPr>
                  </w:pPr>
                  <w:r>
                    <w:rPr>
                      <w:rFonts w:hint="eastAsia" w:cs="Times New Roman"/>
                      <w:lang w:eastAsia="zh-CN"/>
                    </w:rPr>
                    <w:t>0.63</w:t>
                  </w:r>
                  <w:r>
                    <w:rPr>
                      <w:rFonts w:cs="Times New Roman"/>
                    </w:rPr>
                    <w:t xml:space="preserve">t/a </w:t>
                  </w:r>
                </w:p>
              </w:tc>
              <w:tc>
                <w:tcPr>
                  <w:tcW w:w="2516" w:type="pct"/>
                  <w:vAlign w:val="center"/>
                </w:tcPr>
                <w:p w14:paraId="61D83EFC">
                  <w:pPr>
                    <w:pStyle w:val="45"/>
                    <w:ind w:firstLine="0" w:firstLineChars="0"/>
                    <w:jc w:val="center"/>
                    <w:rPr>
                      <w:rFonts w:cs="Times New Roman"/>
                      <w:b/>
                      <w:bCs/>
                    </w:rPr>
                  </w:pPr>
                </w:p>
              </w:tc>
            </w:tr>
            <w:tr w14:paraId="317F8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98" w:type="pct"/>
                  <w:vAlign w:val="center"/>
                </w:tcPr>
                <w:p w14:paraId="3C3B690A">
                  <w:pPr>
                    <w:pStyle w:val="45"/>
                    <w:ind w:firstLine="0" w:firstLineChars="0"/>
                    <w:jc w:val="center"/>
                    <w:rPr>
                      <w:rFonts w:cs="Times New Roman"/>
                    </w:rPr>
                  </w:pPr>
                  <w:r>
                    <w:rPr>
                      <w:rFonts w:cs="Times New Roman"/>
                    </w:rPr>
                    <w:t>废活性炭产生量</w:t>
                  </w:r>
                </w:p>
              </w:tc>
              <w:tc>
                <w:tcPr>
                  <w:tcW w:w="1086" w:type="pct"/>
                  <w:vAlign w:val="center"/>
                </w:tcPr>
                <w:p w14:paraId="4E398058">
                  <w:pPr>
                    <w:pStyle w:val="45"/>
                    <w:ind w:firstLine="0" w:firstLineChars="0"/>
                    <w:jc w:val="center"/>
                    <w:rPr>
                      <w:rFonts w:cs="Times New Roman"/>
                    </w:rPr>
                  </w:pPr>
                  <w:r>
                    <w:rPr>
                      <w:rFonts w:hint="eastAsia" w:cs="Times New Roman"/>
                      <w:lang w:eastAsia="zh-CN"/>
                    </w:rPr>
                    <w:t>11.17</w:t>
                  </w:r>
                  <w:r>
                    <w:rPr>
                      <w:rFonts w:cs="Times New Roman"/>
                    </w:rPr>
                    <w:t>/a</w:t>
                  </w:r>
                </w:p>
              </w:tc>
              <w:tc>
                <w:tcPr>
                  <w:tcW w:w="2516" w:type="pct"/>
                  <w:vAlign w:val="center"/>
                </w:tcPr>
                <w:p w14:paraId="0EFD9666">
                  <w:pPr>
                    <w:pStyle w:val="45"/>
                    <w:ind w:firstLine="0" w:firstLineChars="0"/>
                    <w:jc w:val="center"/>
                    <w:rPr>
                      <w:rFonts w:cs="Times New Roman"/>
                    </w:rPr>
                  </w:pPr>
                  <w:r>
                    <w:rPr>
                      <w:rFonts w:cs="Times New Roman"/>
                    </w:rPr>
                    <w:t>活性炭更换量+项目VOCs削减量</w:t>
                  </w:r>
                </w:p>
              </w:tc>
            </w:tr>
          </w:tbl>
          <w:p w14:paraId="287C46B6">
            <w:pPr>
              <w:adjustRightInd w:val="0"/>
              <w:snapToGrid w:val="0"/>
              <w:spacing w:before="120" w:beforeLines="50" w:line="360" w:lineRule="auto"/>
              <w:ind w:firstLine="480" w:firstLineChars="200"/>
              <w:rPr>
                <w:bCs/>
                <w:sz w:val="24"/>
                <w:szCs w:val="24"/>
                <w:lang w:bidi="ar"/>
              </w:rPr>
            </w:pPr>
            <w:r>
              <w:rPr>
                <w:bCs/>
                <w:sz w:val="24"/>
                <w:szCs w:val="24"/>
                <w:lang w:bidi="ar"/>
              </w:rPr>
              <w:t>废机油：项目生产机械需要定期检修、保养，会产生更换的废机油危险废物，预计年产生量</w:t>
            </w:r>
            <w:r>
              <w:rPr>
                <w:rFonts w:hint="eastAsia"/>
                <w:bCs/>
                <w:sz w:val="24"/>
                <w:szCs w:val="24"/>
                <w:lang w:bidi="ar"/>
              </w:rPr>
              <w:t>0.05</w:t>
            </w:r>
            <w:r>
              <w:rPr>
                <w:bCs/>
                <w:sz w:val="24"/>
                <w:szCs w:val="24"/>
                <w:lang w:bidi="ar"/>
              </w:rPr>
              <w:t>t</w:t>
            </w:r>
            <w:r>
              <w:rPr>
                <w:rFonts w:hint="eastAsia"/>
                <w:bCs/>
                <w:sz w:val="24"/>
                <w:szCs w:val="24"/>
                <w:lang w:bidi="ar"/>
              </w:rPr>
              <w:t>。根据</w:t>
            </w:r>
            <w:r>
              <w:rPr>
                <w:bCs/>
                <w:sz w:val="24"/>
                <w:szCs w:val="24"/>
                <w:lang w:bidi="ar"/>
              </w:rPr>
              <w:t>《国家危险废物名录》（</w:t>
            </w:r>
            <w:r>
              <w:rPr>
                <w:rFonts w:hint="eastAsia"/>
                <w:bCs/>
                <w:sz w:val="24"/>
                <w:szCs w:val="24"/>
                <w:lang w:bidi="ar"/>
              </w:rPr>
              <w:t>2025</w:t>
            </w:r>
            <w:r>
              <w:rPr>
                <w:bCs/>
                <w:sz w:val="24"/>
                <w:szCs w:val="24"/>
                <w:lang w:bidi="ar"/>
              </w:rPr>
              <w:t>年版）</w:t>
            </w:r>
            <w:r>
              <w:rPr>
                <w:rFonts w:hint="eastAsia"/>
                <w:bCs/>
                <w:sz w:val="24"/>
                <w:szCs w:val="24"/>
                <w:lang w:bidi="ar"/>
              </w:rPr>
              <w:t>，</w:t>
            </w:r>
            <w:r>
              <w:rPr>
                <w:bCs/>
                <w:sz w:val="24"/>
                <w:szCs w:val="24"/>
                <w:lang w:bidi="ar"/>
              </w:rPr>
              <w:t>废机油</w:t>
            </w:r>
            <w:r>
              <w:rPr>
                <w:rFonts w:hint="eastAsia"/>
                <w:sz w:val="24"/>
                <w:szCs w:val="24"/>
              </w:rPr>
              <w:t>属于危险废物（</w:t>
            </w:r>
            <w:r>
              <w:rPr>
                <w:bCs/>
                <w:sz w:val="24"/>
                <w:szCs w:val="24"/>
                <w:lang w:bidi="ar"/>
              </w:rPr>
              <w:t>HW08废矿物质油与含矿物油废物</w:t>
            </w:r>
            <w:r>
              <w:rPr>
                <w:rFonts w:hint="eastAsia"/>
                <w:sz w:val="24"/>
                <w:szCs w:val="24"/>
              </w:rPr>
              <w:t>，</w:t>
            </w:r>
            <w:r>
              <w:rPr>
                <w:bCs/>
                <w:sz w:val="24"/>
                <w:szCs w:val="24"/>
                <w:lang w:bidi="ar"/>
              </w:rPr>
              <w:t>900-214-08</w:t>
            </w:r>
            <w:r>
              <w:rPr>
                <w:rFonts w:hint="eastAsia"/>
                <w:sz w:val="24"/>
                <w:szCs w:val="24"/>
              </w:rPr>
              <w:t>），收集后交由有危险废物处理资质的单位回收处理</w:t>
            </w:r>
            <w:r>
              <w:rPr>
                <w:bCs/>
                <w:sz w:val="24"/>
                <w:szCs w:val="24"/>
                <w:lang w:bidi="ar"/>
              </w:rPr>
              <w:t>。</w:t>
            </w:r>
          </w:p>
          <w:p w14:paraId="42B16FAF">
            <w:pPr>
              <w:adjustRightInd w:val="0"/>
              <w:snapToGrid w:val="0"/>
              <w:spacing w:line="360" w:lineRule="auto"/>
              <w:ind w:firstLine="480" w:firstLineChars="200"/>
              <w:rPr>
                <w:bCs/>
                <w:sz w:val="24"/>
                <w:szCs w:val="24"/>
                <w:lang w:bidi="ar"/>
              </w:rPr>
            </w:pPr>
            <w:r>
              <w:rPr>
                <w:bCs/>
                <w:sz w:val="24"/>
                <w:szCs w:val="24"/>
                <w:lang w:bidi="ar"/>
              </w:rPr>
              <w:t>废机油桶：</w:t>
            </w:r>
            <w:r>
              <w:rPr>
                <w:rFonts w:hint="eastAsia"/>
                <w:bCs/>
                <w:sz w:val="24"/>
                <w:szCs w:val="24"/>
                <w:lang w:bidi="ar"/>
              </w:rPr>
              <w:t>使用机油时</w:t>
            </w:r>
            <w:r>
              <w:rPr>
                <w:bCs/>
                <w:sz w:val="24"/>
                <w:szCs w:val="24"/>
                <w:lang w:bidi="ar"/>
              </w:rPr>
              <w:t>会产生废机油包装桶，产生量为0.0</w:t>
            </w:r>
            <w:r>
              <w:rPr>
                <w:rFonts w:hint="eastAsia"/>
                <w:bCs/>
                <w:sz w:val="24"/>
                <w:szCs w:val="24"/>
                <w:lang w:bidi="ar"/>
              </w:rPr>
              <w:t>1</w:t>
            </w:r>
            <w:r>
              <w:rPr>
                <w:bCs/>
                <w:sz w:val="24"/>
                <w:szCs w:val="24"/>
                <w:lang w:bidi="ar"/>
              </w:rPr>
              <w:t>t/a</w:t>
            </w:r>
            <w:r>
              <w:rPr>
                <w:rFonts w:hint="eastAsia"/>
                <w:bCs/>
                <w:sz w:val="24"/>
                <w:szCs w:val="24"/>
                <w:lang w:bidi="ar"/>
              </w:rPr>
              <w:t>。根据</w:t>
            </w:r>
            <w:r>
              <w:rPr>
                <w:bCs/>
                <w:sz w:val="24"/>
                <w:szCs w:val="24"/>
                <w:lang w:bidi="ar"/>
              </w:rPr>
              <w:t>《国家危险废物名录》（</w:t>
            </w:r>
            <w:r>
              <w:rPr>
                <w:rFonts w:hint="eastAsia"/>
                <w:bCs/>
                <w:sz w:val="24"/>
                <w:szCs w:val="24"/>
                <w:lang w:bidi="ar"/>
              </w:rPr>
              <w:t>2025</w:t>
            </w:r>
            <w:r>
              <w:rPr>
                <w:bCs/>
                <w:sz w:val="24"/>
                <w:szCs w:val="24"/>
                <w:lang w:bidi="ar"/>
              </w:rPr>
              <w:t>年版）</w:t>
            </w:r>
            <w:r>
              <w:rPr>
                <w:rFonts w:hint="eastAsia"/>
                <w:bCs/>
                <w:sz w:val="24"/>
                <w:szCs w:val="24"/>
                <w:lang w:bidi="ar"/>
              </w:rPr>
              <w:t>，</w:t>
            </w:r>
            <w:r>
              <w:rPr>
                <w:bCs/>
                <w:sz w:val="24"/>
                <w:szCs w:val="24"/>
                <w:lang w:bidi="ar"/>
              </w:rPr>
              <w:t>废机油桶</w:t>
            </w:r>
            <w:r>
              <w:rPr>
                <w:rFonts w:hint="eastAsia"/>
                <w:sz w:val="24"/>
                <w:szCs w:val="24"/>
              </w:rPr>
              <w:t>属于危险废物（</w:t>
            </w:r>
            <w:r>
              <w:rPr>
                <w:bCs/>
                <w:sz w:val="24"/>
                <w:szCs w:val="24"/>
                <w:lang w:bidi="ar"/>
              </w:rPr>
              <w:t>HW08废矿物质油与含矿物油废物</w:t>
            </w:r>
            <w:r>
              <w:rPr>
                <w:rFonts w:hint="eastAsia"/>
                <w:sz w:val="24"/>
                <w:szCs w:val="24"/>
              </w:rPr>
              <w:t>，</w:t>
            </w:r>
            <w:r>
              <w:rPr>
                <w:bCs/>
                <w:sz w:val="24"/>
                <w:szCs w:val="24"/>
                <w:lang w:bidi="ar"/>
              </w:rPr>
              <w:t>900-214-08</w:t>
            </w:r>
            <w:r>
              <w:rPr>
                <w:rFonts w:hint="eastAsia"/>
                <w:sz w:val="24"/>
                <w:szCs w:val="24"/>
              </w:rPr>
              <w:t>），收集后交由有危险废物处理资质的单位回收处理</w:t>
            </w:r>
            <w:r>
              <w:rPr>
                <w:bCs/>
                <w:sz w:val="24"/>
                <w:szCs w:val="24"/>
                <w:lang w:bidi="ar"/>
              </w:rPr>
              <w:t>。</w:t>
            </w:r>
          </w:p>
          <w:p w14:paraId="2C1675ED">
            <w:pPr>
              <w:spacing w:line="360" w:lineRule="auto"/>
              <w:ind w:firstLine="480" w:firstLineChars="200"/>
              <w:rPr>
                <w:bCs/>
                <w:sz w:val="24"/>
                <w:szCs w:val="24"/>
                <w:lang w:bidi="ar"/>
              </w:rPr>
            </w:pPr>
            <w:r>
              <w:rPr>
                <w:rFonts w:hint="eastAsia"/>
                <w:bCs/>
                <w:sz w:val="24"/>
              </w:rPr>
              <w:t>含油手套及废抹布：</w:t>
            </w:r>
            <w:r>
              <w:rPr>
                <w:rFonts w:hint="eastAsia" w:cs="宋体"/>
                <w:bCs/>
                <w:kern w:val="0"/>
                <w:sz w:val="24"/>
                <w:szCs w:val="24"/>
                <w:lang w:bidi="ar"/>
              </w:rPr>
              <w:t>项目设备检修过程中会产生少量沾有机油的抹布和手套，根据同类型项目经验值，产生量约为0.01t/a.根据《国家危险废物名录》（2025年版），</w:t>
            </w:r>
            <w:r>
              <w:rPr>
                <w:rFonts w:hint="eastAsia"/>
                <w:bCs/>
                <w:sz w:val="24"/>
              </w:rPr>
              <w:t>含油手套及废抹布危险废物（</w:t>
            </w:r>
            <w:r>
              <w:rPr>
                <w:rFonts w:hint="eastAsia" w:cs="宋体"/>
                <w:bCs/>
                <w:kern w:val="0"/>
                <w:sz w:val="24"/>
                <w:szCs w:val="24"/>
                <w:lang w:bidi="ar"/>
              </w:rPr>
              <w:t>HW49类其他废物，900-041-49），</w:t>
            </w:r>
            <w:r>
              <w:rPr>
                <w:rFonts w:hint="eastAsia"/>
                <w:sz w:val="24"/>
                <w:szCs w:val="24"/>
              </w:rPr>
              <w:t>收集后交由有危险废物处理资质的单位回收处理</w:t>
            </w:r>
            <w:r>
              <w:rPr>
                <w:bCs/>
                <w:sz w:val="24"/>
                <w:szCs w:val="24"/>
                <w:lang w:bidi="ar"/>
              </w:rPr>
              <w:t>。</w:t>
            </w:r>
          </w:p>
          <w:p w14:paraId="74B6C768">
            <w:pPr>
              <w:spacing w:line="360" w:lineRule="auto"/>
              <w:ind w:firstLine="480" w:firstLineChars="200"/>
              <w:rPr>
                <w:bCs/>
                <w:sz w:val="24"/>
                <w:szCs w:val="24"/>
                <w:lang w:bidi="ar"/>
              </w:rPr>
            </w:pPr>
            <w:r>
              <w:rPr>
                <w:rFonts w:hint="eastAsia"/>
                <w:bCs/>
                <w:sz w:val="24"/>
                <w:szCs w:val="24"/>
                <w:lang w:bidi="ar"/>
              </w:rPr>
              <w:t>项目危险废物产生情况汇总见表4-20，危险废物贮存场所基本情况见表4-21。</w:t>
            </w:r>
          </w:p>
          <w:p w14:paraId="230CD778">
            <w:pPr>
              <w:pStyle w:val="12"/>
              <w:spacing w:line="360" w:lineRule="auto"/>
              <w:ind w:left="0" w:leftChars="0" w:firstLine="0" w:firstLineChars="0"/>
              <w:jc w:val="center"/>
              <w:rPr>
                <w:b/>
              </w:rPr>
            </w:pPr>
            <w:r>
              <w:rPr>
                <w:rFonts w:hint="eastAsia"/>
                <w:b/>
              </w:rPr>
              <w:t>表4-20 危险废物产生情况汇总表</w:t>
            </w:r>
          </w:p>
          <w:tbl>
            <w:tblPr>
              <w:tblStyle w:val="35"/>
              <w:tblW w:w="8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08"/>
              <w:gridCol w:w="800"/>
              <w:gridCol w:w="1379"/>
              <w:gridCol w:w="1062"/>
              <w:gridCol w:w="816"/>
              <w:gridCol w:w="816"/>
              <w:gridCol w:w="533"/>
              <w:gridCol w:w="550"/>
              <w:gridCol w:w="533"/>
              <w:gridCol w:w="603"/>
              <w:gridCol w:w="344"/>
              <w:gridCol w:w="824"/>
            </w:tblGrid>
            <w:tr w14:paraId="181D5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179" w:type="pct"/>
                  <w:vAlign w:val="center"/>
                </w:tcPr>
                <w:p w14:paraId="3EB2E5A5">
                  <w:pPr>
                    <w:widowControl/>
                    <w:topLinePunct/>
                    <w:adjustRightInd w:val="0"/>
                    <w:snapToGrid w:val="0"/>
                    <w:jc w:val="center"/>
                    <w:rPr>
                      <w:b/>
                      <w:bCs/>
                      <w:kern w:val="0"/>
                      <w:lang w:bidi="ar"/>
                    </w:rPr>
                  </w:pPr>
                  <w:r>
                    <w:rPr>
                      <w:rFonts w:hint="eastAsia"/>
                      <w:b/>
                      <w:bCs/>
                      <w:kern w:val="0"/>
                      <w:lang w:bidi="ar"/>
                    </w:rPr>
                    <w:t>序号</w:t>
                  </w:r>
                </w:p>
              </w:tc>
              <w:tc>
                <w:tcPr>
                  <w:tcW w:w="467" w:type="pct"/>
                  <w:vAlign w:val="center"/>
                </w:tcPr>
                <w:p w14:paraId="7020B69E">
                  <w:pPr>
                    <w:widowControl/>
                    <w:topLinePunct/>
                    <w:adjustRightInd w:val="0"/>
                    <w:snapToGrid w:val="0"/>
                    <w:jc w:val="center"/>
                    <w:rPr>
                      <w:b/>
                      <w:bCs/>
                      <w:kern w:val="0"/>
                      <w:lang w:bidi="ar"/>
                    </w:rPr>
                  </w:pPr>
                  <w:r>
                    <w:rPr>
                      <w:b/>
                      <w:bCs/>
                      <w:kern w:val="0"/>
                      <w:lang w:bidi="ar"/>
                    </w:rPr>
                    <w:t>危废</w:t>
                  </w:r>
                </w:p>
                <w:p w14:paraId="320AB6C6">
                  <w:pPr>
                    <w:widowControl/>
                    <w:topLinePunct/>
                    <w:adjustRightInd w:val="0"/>
                    <w:snapToGrid w:val="0"/>
                    <w:jc w:val="center"/>
                    <w:rPr>
                      <w:b/>
                      <w:bCs/>
                      <w:kern w:val="0"/>
                    </w:rPr>
                  </w:pPr>
                  <w:r>
                    <w:rPr>
                      <w:b/>
                      <w:bCs/>
                      <w:kern w:val="0"/>
                      <w:lang w:bidi="ar"/>
                    </w:rPr>
                    <w:t>名称</w:t>
                  </w:r>
                </w:p>
              </w:tc>
              <w:tc>
                <w:tcPr>
                  <w:tcW w:w="805" w:type="pct"/>
                  <w:vAlign w:val="center"/>
                </w:tcPr>
                <w:p w14:paraId="601288A5">
                  <w:pPr>
                    <w:widowControl/>
                    <w:topLinePunct/>
                    <w:adjustRightInd w:val="0"/>
                    <w:snapToGrid w:val="0"/>
                    <w:jc w:val="center"/>
                    <w:rPr>
                      <w:b/>
                      <w:bCs/>
                      <w:kern w:val="0"/>
                    </w:rPr>
                  </w:pPr>
                  <w:r>
                    <w:rPr>
                      <w:rFonts w:hint="eastAsia"/>
                      <w:b/>
                      <w:bCs/>
                      <w:kern w:val="0"/>
                      <w:lang w:bidi="ar"/>
                    </w:rPr>
                    <w:t>危废类别</w:t>
                  </w:r>
                </w:p>
              </w:tc>
              <w:tc>
                <w:tcPr>
                  <w:tcW w:w="620" w:type="pct"/>
                  <w:vAlign w:val="center"/>
                </w:tcPr>
                <w:p w14:paraId="4210FD0E">
                  <w:pPr>
                    <w:widowControl/>
                    <w:topLinePunct/>
                    <w:adjustRightInd w:val="0"/>
                    <w:snapToGrid w:val="0"/>
                    <w:jc w:val="center"/>
                    <w:rPr>
                      <w:b/>
                      <w:bCs/>
                      <w:kern w:val="0"/>
                      <w:lang w:bidi="ar"/>
                    </w:rPr>
                  </w:pPr>
                  <w:r>
                    <w:rPr>
                      <w:rFonts w:hint="eastAsia"/>
                      <w:b/>
                      <w:bCs/>
                      <w:kern w:val="0"/>
                      <w:lang w:bidi="ar"/>
                    </w:rPr>
                    <w:t>危废</w:t>
                  </w:r>
                  <w:r>
                    <w:rPr>
                      <w:b/>
                      <w:bCs/>
                      <w:kern w:val="0"/>
                      <w:lang w:bidi="ar"/>
                    </w:rPr>
                    <w:t>代码</w:t>
                  </w:r>
                </w:p>
              </w:tc>
              <w:tc>
                <w:tcPr>
                  <w:tcW w:w="476" w:type="pct"/>
                  <w:vAlign w:val="center"/>
                </w:tcPr>
                <w:p w14:paraId="20C8D722">
                  <w:pPr>
                    <w:widowControl/>
                    <w:topLinePunct/>
                    <w:adjustRightInd w:val="0"/>
                    <w:snapToGrid w:val="0"/>
                    <w:jc w:val="center"/>
                    <w:rPr>
                      <w:b/>
                      <w:bCs/>
                      <w:kern w:val="0"/>
                      <w:lang w:bidi="ar"/>
                    </w:rPr>
                  </w:pPr>
                  <w:r>
                    <w:rPr>
                      <w:rFonts w:hint="eastAsia"/>
                      <w:b/>
                      <w:bCs/>
                      <w:kern w:val="0"/>
                      <w:lang w:bidi="ar"/>
                    </w:rPr>
                    <w:t>产污</w:t>
                  </w:r>
                </w:p>
                <w:p w14:paraId="53F1ED0C">
                  <w:pPr>
                    <w:widowControl/>
                    <w:topLinePunct/>
                    <w:adjustRightInd w:val="0"/>
                    <w:snapToGrid w:val="0"/>
                    <w:jc w:val="center"/>
                    <w:rPr>
                      <w:b/>
                      <w:bCs/>
                      <w:kern w:val="0"/>
                      <w:lang w:bidi="ar"/>
                    </w:rPr>
                  </w:pPr>
                  <w:r>
                    <w:rPr>
                      <w:rFonts w:hint="eastAsia"/>
                      <w:b/>
                      <w:bCs/>
                      <w:kern w:val="0"/>
                      <w:lang w:bidi="ar"/>
                    </w:rPr>
                    <w:t>环节</w:t>
                  </w:r>
                </w:p>
              </w:tc>
              <w:tc>
                <w:tcPr>
                  <w:tcW w:w="476" w:type="pct"/>
                  <w:vAlign w:val="center"/>
                </w:tcPr>
                <w:p w14:paraId="031FB9F5">
                  <w:pPr>
                    <w:widowControl/>
                    <w:topLinePunct/>
                    <w:adjustRightInd w:val="0"/>
                    <w:snapToGrid w:val="0"/>
                    <w:jc w:val="center"/>
                    <w:rPr>
                      <w:b/>
                      <w:bCs/>
                      <w:kern w:val="0"/>
                      <w:lang w:bidi="ar"/>
                    </w:rPr>
                  </w:pPr>
                  <w:r>
                    <w:rPr>
                      <w:b/>
                      <w:bCs/>
                      <w:kern w:val="0"/>
                      <w:lang w:bidi="ar"/>
                    </w:rPr>
                    <w:t>产生量</w:t>
                  </w:r>
                </w:p>
                <w:p w14:paraId="732DA240">
                  <w:pPr>
                    <w:widowControl/>
                    <w:topLinePunct/>
                    <w:adjustRightInd w:val="0"/>
                    <w:snapToGrid w:val="0"/>
                    <w:jc w:val="center"/>
                    <w:rPr>
                      <w:b/>
                      <w:bCs/>
                      <w:kern w:val="0"/>
                      <w:lang w:bidi="ar"/>
                    </w:rPr>
                  </w:pPr>
                  <w:r>
                    <w:rPr>
                      <w:rFonts w:hint="eastAsia"/>
                      <w:b/>
                      <w:bCs/>
                      <w:kern w:val="0"/>
                      <w:lang w:bidi="ar"/>
                    </w:rPr>
                    <w:t>（</w:t>
                  </w:r>
                  <w:r>
                    <w:rPr>
                      <w:b/>
                      <w:bCs/>
                      <w:kern w:val="0"/>
                      <w:lang w:bidi="ar"/>
                    </w:rPr>
                    <w:t>t/a</w:t>
                  </w:r>
                  <w:r>
                    <w:rPr>
                      <w:rFonts w:hint="eastAsia"/>
                      <w:b/>
                      <w:bCs/>
                      <w:kern w:val="0"/>
                      <w:lang w:bidi="ar"/>
                    </w:rPr>
                    <w:t>）</w:t>
                  </w:r>
                </w:p>
              </w:tc>
              <w:tc>
                <w:tcPr>
                  <w:tcW w:w="311" w:type="pct"/>
                  <w:vAlign w:val="center"/>
                </w:tcPr>
                <w:p w14:paraId="38B65E93">
                  <w:pPr>
                    <w:widowControl/>
                    <w:topLinePunct/>
                    <w:adjustRightInd w:val="0"/>
                    <w:snapToGrid w:val="0"/>
                    <w:jc w:val="center"/>
                    <w:rPr>
                      <w:b/>
                      <w:bCs/>
                      <w:kern w:val="0"/>
                    </w:rPr>
                  </w:pPr>
                  <w:r>
                    <w:rPr>
                      <w:rFonts w:hint="eastAsia"/>
                      <w:b/>
                      <w:bCs/>
                      <w:kern w:val="0"/>
                      <w:lang w:bidi="ar"/>
                    </w:rPr>
                    <w:t>物理性状</w:t>
                  </w:r>
                </w:p>
              </w:tc>
              <w:tc>
                <w:tcPr>
                  <w:tcW w:w="321" w:type="pct"/>
                  <w:vAlign w:val="center"/>
                </w:tcPr>
                <w:p w14:paraId="4756F868">
                  <w:pPr>
                    <w:widowControl/>
                    <w:topLinePunct/>
                    <w:adjustRightInd w:val="0"/>
                    <w:snapToGrid w:val="0"/>
                    <w:jc w:val="center"/>
                    <w:rPr>
                      <w:b/>
                      <w:bCs/>
                      <w:kern w:val="0"/>
                    </w:rPr>
                  </w:pPr>
                  <w:r>
                    <w:rPr>
                      <w:b/>
                      <w:bCs/>
                      <w:kern w:val="0"/>
                      <w:lang w:bidi="ar"/>
                    </w:rPr>
                    <w:t>主要成分</w:t>
                  </w:r>
                </w:p>
              </w:tc>
              <w:tc>
                <w:tcPr>
                  <w:tcW w:w="311" w:type="pct"/>
                  <w:vAlign w:val="center"/>
                </w:tcPr>
                <w:p w14:paraId="6E8480CD">
                  <w:pPr>
                    <w:widowControl/>
                    <w:topLinePunct/>
                    <w:adjustRightInd w:val="0"/>
                    <w:snapToGrid w:val="0"/>
                    <w:jc w:val="center"/>
                    <w:rPr>
                      <w:b/>
                      <w:bCs/>
                      <w:kern w:val="0"/>
                    </w:rPr>
                  </w:pPr>
                  <w:r>
                    <w:rPr>
                      <w:rFonts w:hint="eastAsia"/>
                      <w:b/>
                      <w:bCs/>
                      <w:kern w:val="0"/>
                      <w:lang w:bidi="ar"/>
                    </w:rPr>
                    <w:t>主要</w:t>
                  </w:r>
                  <w:r>
                    <w:rPr>
                      <w:b/>
                      <w:bCs/>
                      <w:kern w:val="0"/>
                      <w:lang w:bidi="ar"/>
                    </w:rPr>
                    <w:t>有害成分</w:t>
                  </w:r>
                </w:p>
              </w:tc>
              <w:tc>
                <w:tcPr>
                  <w:tcW w:w="352" w:type="pct"/>
                  <w:vAlign w:val="center"/>
                </w:tcPr>
                <w:p w14:paraId="6C4E1C33">
                  <w:pPr>
                    <w:widowControl/>
                    <w:topLinePunct/>
                    <w:adjustRightInd w:val="0"/>
                    <w:snapToGrid w:val="0"/>
                    <w:jc w:val="center"/>
                    <w:rPr>
                      <w:b/>
                      <w:bCs/>
                      <w:kern w:val="0"/>
                      <w:lang w:bidi="ar"/>
                    </w:rPr>
                  </w:pPr>
                  <w:r>
                    <w:rPr>
                      <w:b/>
                      <w:bCs/>
                      <w:kern w:val="0"/>
                      <w:lang w:bidi="ar"/>
                    </w:rPr>
                    <w:t>产废</w:t>
                  </w:r>
                </w:p>
                <w:p w14:paraId="0B9CC7BE">
                  <w:pPr>
                    <w:widowControl/>
                    <w:topLinePunct/>
                    <w:adjustRightInd w:val="0"/>
                    <w:snapToGrid w:val="0"/>
                    <w:jc w:val="center"/>
                    <w:rPr>
                      <w:b/>
                      <w:bCs/>
                      <w:kern w:val="0"/>
                    </w:rPr>
                  </w:pPr>
                  <w:r>
                    <w:rPr>
                      <w:b/>
                      <w:bCs/>
                      <w:kern w:val="0"/>
                      <w:lang w:bidi="ar"/>
                    </w:rPr>
                    <w:t>周期</w:t>
                  </w:r>
                </w:p>
              </w:tc>
              <w:tc>
                <w:tcPr>
                  <w:tcW w:w="201" w:type="pct"/>
                  <w:vAlign w:val="center"/>
                </w:tcPr>
                <w:p w14:paraId="18A77734">
                  <w:pPr>
                    <w:widowControl/>
                    <w:topLinePunct/>
                    <w:adjustRightInd w:val="0"/>
                    <w:snapToGrid w:val="0"/>
                    <w:jc w:val="center"/>
                    <w:rPr>
                      <w:b/>
                      <w:bCs/>
                      <w:kern w:val="0"/>
                    </w:rPr>
                  </w:pPr>
                  <w:r>
                    <w:rPr>
                      <w:b/>
                      <w:bCs/>
                      <w:kern w:val="0"/>
                      <w:lang w:bidi="ar"/>
                    </w:rPr>
                    <w:t>危险</w:t>
                  </w:r>
                </w:p>
                <w:p w14:paraId="6B94BBB0">
                  <w:pPr>
                    <w:widowControl/>
                    <w:topLinePunct/>
                    <w:adjustRightInd w:val="0"/>
                    <w:snapToGrid w:val="0"/>
                    <w:jc w:val="center"/>
                    <w:rPr>
                      <w:b/>
                      <w:bCs/>
                      <w:kern w:val="0"/>
                    </w:rPr>
                  </w:pPr>
                  <w:r>
                    <w:rPr>
                      <w:b/>
                      <w:bCs/>
                      <w:kern w:val="0"/>
                      <w:lang w:bidi="ar"/>
                    </w:rPr>
                    <w:t>特性</w:t>
                  </w:r>
                </w:p>
              </w:tc>
              <w:tc>
                <w:tcPr>
                  <w:tcW w:w="481" w:type="pct"/>
                  <w:vAlign w:val="center"/>
                </w:tcPr>
                <w:p w14:paraId="43F138D0">
                  <w:pPr>
                    <w:widowControl/>
                    <w:topLinePunct/>
                    <w:adjustRightInd w:val="0"/>
                    <w:snapToGrid w:val="0"/>
                    <w:jc w:val="center"/>
                    <w:rPr>
                      <w:b/>
                      <w:bCs/>
                      <w:kern w:val="0"/>
                    </w:rPr>
                  </w:pPr>
                  <w:r>
                    <w:rPr>
                      <w:rFonts w:hint="eastAsia"/>
                      <w:b/>
                      <w:bCs/>
                      <w:kern w:val="0"/>
                    </w:rPr>
                    <w:t>处置方式和去向</w:t>
                  </w:r>
                </w:p>
              </w:tc>
            </w:tr>
            <w:tr w14:paraId="7E92F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179" w:type="pct"/>
                  <w:vAlign w:val="center"/>
                </w:tcPr>
                <w:p w14:paraId="37A0E098">
                  <w:pPr>
                    <w:autoSpaceDE w:val="0"/>
                    <w:autoSpaceDN w:val="0"/>
                    <w:adjustRightInd w:val="0"/>
                    <w:snapToGrid w:val="0"/>
                    <w:jc w:val="center"/>
                    <w:textAlignment w:val="baseline"/>
                  </w:pPr>
                  <w:r>
                    <w:rPr>
                      <w:rFonts w:hint="eastAsia"/>
                    </w:rPr>
                    <w:t>1</w:t>
                  </w:r>
                </w:p>
              </w:tc>
              <w:tc>
                <w:tcPr>
                  <w:tcW w:w="467" w:type="pct"/>
                  <w:vAlign w:val="center"/>
                </w:tcPr>
                <w:p w14:paraId="31D4F4C5">
                  <w:pPr>
                    <w:autoSpaceDE w:val="0"/>
                    <w:autoSpaceDN w:val="0"/>
                    <w:adjustRightInd w:val="0"/>
                    <w:snapToGrid w:val="0"/>
                    <w:jc w:val="center"/>
                    <w:textAlignment w:val="baseline"/>
                  </w:pPr>
                  <w:r>
                    <w:t>废活性炭</w:t>
                  </w:r>
                </w:p>
              </w:tc>
              <w:tc>
                <w:tcPr>
                  <w:tcW w:w="805" w:type="pct"/>
                  <w:vAlign w:val="center"/>
                </w:tcPr>
                <w:p w14:paraId="51BF0354">
                  <w:pPr>
                    <w:widowControl/>
                    <w:adjustRightInd w:val="0"/>
                    <w:snapToGrid w:val="0"/>
                    <w:jc w:val="center"/>
                    <w:rPr>
                      <w:lang w:bidi="ar"/>
                    </w:rPr>
                  </w:pPr>
                  <w:r>
                    <w:rPr>
                      <w:lang w:bidi="ar"/>
                    </w:rPr>
                    <w:t>HW49</w:t>
                  </w:r>
                </w:p>
                <w:p w14:paraId="27EF9E96">
                  <w:pPr>
                    <w:widowControl/>
                    <w:adjustRightInd w:val="0"/>
                    <w:snapToGrid w:val="0"/>
                    <w:jc w:val="center"/>
                  </w:pPr>
                  <w:r>
                    <w:rPr>
                      <w:lang w:bidi="ar"/>
                    </w:rPr>
                    <w:t>其他废物</w:t>
                  </w:r>
                </w:p>
              </w:tc>
              <w:tc>
                <w:tcPr>
                  <w:tcW w:w="620" w:type="pct"/>
                  <w:vAlign w:val="center"/>
                </w:tcPr>
                <w:p w14:paraId="2EA397A4">
                  <w:pPr>
                    <w:widowControl/>
                    <w:topLinePunct/>
                    <w:adjustRightInd w:val="0"/>
                    <w:snapToGrid w:val="0"/>
                    <w:jc w:val="center"/>
                  </w:pPr>
                  <w:r>
                    <w:rPr>
                      <w:kern w:val="0"/>
                      <w:lang w:bidi="ar"/>
                    </w:rPr>
                    <w:t>900-039-49</w:t>
                  </w:r>
                </w:p>
              </w:tc>
              <w:tc>
                <w:tcPr>
                  <w:tcW w:w="476" w:type="pct"/>
                  <w:vAlign w:val="center"/>
                </w:tcPr>
                <w:p w14:paraId="54FD3C6D">
                  <w:pPr>
                    <w:widowControl/>
                    <w:adjustRightInd w:val="0"/>
                    <w:snapToGrid w:val="0"/>
                    <w:jc w:val="center"/>
                    <w:textAlignment w:val="center"/>
                    <w:rPr>
                      <w:kern w:val="0"/>
                      <w:lang w:bidi="ar"/>
                    </w:rPr>
                  </w:pPr>
                  <w:r>
                    <w:rPr>
                      <w:kern w:val="0"/>
                      <w:lang w:bidi="ar"/>
                    </w:rPr>
                    <w:t>废气</w:t>
                  </w:r>
                  <w:r>
                    <w:rPr>
                      <w:rFonts w:hint="eastAsia"/>
                      <w:kern w:val="0"/>
                      <w:lang w:bidi="ar"/>
                    </w:rPr>
                    <w:t>处理</w:t>
                  </w:r>
                  <w:r>
                    <w:rPr>
                      <w:kern w:val="0"/>
                      <w:lang w:bidi="ar"/>
                    </w:rPr>
                    <w:t>设施</w:t>
                  </w:r>
                </w:p>
              </w:tc>
              <w:tc>
                <w:tcPr>
                  <w:tcW w:w="476" w:type="pct"/>
                  <w:vAlign w:val="center"/>
                </w:tcPr>
                <w:p w14:paraId="1204173D">
                  <w:pPr>
                    <w:widowControl/>
                    <w:adjustRightInd w:val="0"/>
                    <w:snapToGrid w:val="0"/>
                    <w:jc w:val="center"/>
                    <w:textAlignment w:val="center"/>
                    <w:rPr>
                      <w:kern w:val="0"/>
                      <w:lang w:bidi="ar"/>
                    </w:rPr>
                  </w:pPr>
                  <w:r>
                    <w:rPr>
                      <w:rFonts w:hint="eastAsia"/>
                    </w:rPr>
                    <w:t>11.17</w:t>
                  </w:r>
                </w:p>
              </w:tc>
              <w:tc>
                <w:tcPr>
                  <w:tcW w:w="311" w:type="pct"/>
                  <w:vAlign w:val="center"/>
                </w:tcPr>
                <w:p w14:paraId="41FC3961">
                  <w:pPr>
                    <w:widowControl/>
                    <w:topLinePunct/>
                    <w:adjustRightInd w:val="0"/>
                    <w:snapToGrid w:val="0"/>
                    <w:jc w:val="center"/>
                    <w:rPr>
                      <w:kern w:val="0"/>
                    </w:rPr>
                  </w:pPr>
                  <w:r>
                    <w:rPr>
                      <w:kern w:val="0"/>
                      <w:lang w:bidi="ar"/>
                    </w:rPr>
                    <w:t>固态</w:t>
                  </w:r>
                </w:p>
              </w:tc>
              <w:tc>
                <w:tcPr>
                  <w:tcW w:w="321" w:type="pct"/>
                  <w:vAlign w:val="center"/>
                </w:tcPr>
                <w:p w14:paraId="04321D40">
                  <w:pPr>
                    <w:widowControl/>
                    <w:topLinePunct/>
                    <w:adjustRightInd w:val="0"/>
                    <w:snapToGrid w:val="0"/>
                    <w:jc w:val="center"/>
                    <w:rPr>
                      <w:kern w:val="0"/>
                    </w:rPr>
                  </w:pPr>
                  <w:r>
                    <w:rPr>
                      <w:rFonts w:hint="eastAsia"/>
                      <w:kern w:val="0"/>
                      <w:lang w:bidi="ar"/>
                    </w:rPr>
                    <w:t>活性炭</w:t>
                  </w:r>
                </w:p>
              </w:tc>
              <w:tc>
                <w:tcPr>
                  <w:tcW w:w="311" w:type="pct"/>
                  <w:vAlign w:val="center"/>
                </w:tcPr>
                <w:p w14:paraId="1198E004">
                  <w:pPr>
                    <w:widowControl/>
                    <w:topLinePunct/>
                    <w:adjustRightInd w:val="0"/>
                    <w:snapToGrid w:val="0"/>
                    <w:jc w:val="center"/>
                    <w:rPr>
                      <w:kern w:val="0"/>
                    </w:rPr>
                  </w:pPr>
                  <w:r>
                    <w:rPr>
                      <w:kern w:val="0"/>
                      <w:lang w:bidi="ar"/>
                    </w:rPr>
                    <w:t>有机物</w:t>
                  </w:r>
                </w:p>
              </w:tc>
              <w:tc>
                <w:tcPr>
                  <w:tcW w:w="352" w:type="pct"/>
                  <w:vAlign w:val="center"/>
                </w:tcPr>
                <w:p w14:paraId="30D6C309">
                  <w:pPr>
                    <w:widowControl/>
                    <w:topLinePunct/>
                    <w:adjustRightInd w:val="0"/>
                    <w:snapToGrid w:val="0"/>
                    <w:jc w:val="center"/>
                    <w:rPr>
                      <w:kern w:val="0"/>
                    </w:rPr>
                  </w:pPr>
                  <w:r>
                    <w:rPr>
                      <w:rFonts w:hint="eastAsia"/>
                      <w:kern w:val="0"/>
                      <w:lang w:bidi="ar"/>
                    </w:rPr>
                    <w:t>3</w:t>
                  </w:r>
                  <w:r>
                    <w:rPr>
                      <w:kern w:val="0"/>
                      <w:lang w:bidi="ar"/>
                    </w:rPr>
                    <w:t>个月</w:t>
                  </w:r>
                </w:p>
              </w:tc>
              <w:tc>
                <w:tcPr>
                  <w:tcW w:w="201" w:type="pct"/>
                  <w:vAlign w:val="center"/>
                </w:tcPr>
                <w:p w14:paraId="3A04F1FB">
                  <w:pPr>
                    <w:widowControl/>
                    <w:topLinePunct/>
                    <w:adjustRightInd w:val="0"/>
                    <w:snapToGrid w:val="0"/>
                    <w:jc w:val="center"/>
                    <w:rPr>
                      <w:kern w:val="0"/>
                    </w:rPr>
                  </w:pPr>
                  <w:r>
                    <w:rPr>
                      <w:kern w:val="0"/>
                    </w:rPr>
                    <w:t>T</w:t>
                  </w:r>
                </w:p>
              </w:tc>
              <w:tc>
                <w:tcPr>
                  <w:tcW w:w="481" w:type="pct"/>
                  <w:vMerge w:val="restart"/>
                  <w:vAlign w:val="center"/>
                </w:tcPr>
                <w:p w14:paraId="6AC40F7C">
                  <w:pPr>
                    <w:widowControl/>
                    <w:topLinePunct/>
                    <w:adjustRightInd w:val="0"/>
                    <w:snapToGrid w:val="0"/>
                    <w:jc w:val="center"/>
                    <w:rPr>
                      <w:kern w:val="0"/>
                    </w:rPr>
                  </w:pPr>
                  <w:r>
                    <w:rPr>
                      <w:rFonts w:hint="eastAsia"/>
                      <w:kern w:val="0"/>
                    </w:rPr>
                    <w:t>暂存于危险废物间，</w:t>
                  </w:r>
                  <w:r>
                    <w:rPr>
                      <w:kern w:val="0"/>
                    </w:rPr>
                    <w:t>定期</w:t>
                  </w:r>
                  <w:r>
                    <w:rPr>
                      <w:rFonts w:hint="eastAsia"/>
                      <w:kern w:val="0"/>
                    </w:rPr>
                    <w:t>交由</w:t>
                  </w:r>
                  <w:r>
                    <w:rPr>
                      <w:kern w:val="0"/>
                    </w:rPr>
                    <w:t>有危险废物处理资质的单位处理</w:t>
                  </w:r>
                </w:p>
              </w:tc>
            </w:tr>
            <w:tr w14:paraId="19694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179" w:type="pct"/>
                  <w:vAlign w:val="center"/>
                </w:tcPr>
                <w:p w14:paraId="600A7BDA">
                  <w:pPr>
                    <w:autoSpaceDE w:val="0"/>
                    <w:autoSpaceDN w:val="0"/>
                    <w:adjustRightInd w:val="0"/>
                    <w:snapToGrid w:val="0"/>
                    <w:jc w:val="center"/>
                    <w:textAlignment w:val="baseline"/>
                  </w:pPr>
                  <w:r>
                    <w:rPr>
                      <w:rFonts w:hint="eastAsia"/>
                    </w:rPr>
                    <w:t>2</w:t>
                  </w:r>
                </w:p>
              </w:tc>
              <w:tc>
                <w:tcPr>
                  <w:tcW w:w="467" w:type="pct"/>
                  <w:vAlign w:val="center"/>
                </w:tcPr>
                <w:p w14:paraId="0D3E3C21">
                  <w:pPr>
                    <w:autoSpaceDE w:val="0"/>
                    <w:autoSpaceDN w:val="0"/>
                    <w:adjustRightInd w:val="0"/>
                    <w:snapToGrid w:val="0"/>
                    <w:jc w:val="center"/>
                    <w:textAlignment w:val="baseline"/>
                  </w:pPr>
                  <w:r>
                    <w:t>废机油</w:t>
                  </w:r>
                </w:p>
              </w:tc>
              <w:tc>
                <w:tcPr>
                  <w:tcW w:w="805" w:type="pct"/>
                  <w:vAlign w:val="center"/>
                </w:tcPr>
                <w:p w14:paraId="279580FA">
                  <w:pPr>
                    <w:widowControl/>
                    <w:adjustRightInd w:val="0"/>
                    <w:snapToGrid w:val="0"/>
                    <w:jc w:val="center"/>
                  </w:pPr>
                  <w:r>
                    <w:t>HW08</w:t>
                  </w:r>
                </w:p>
                <w:p w14:paraId="2D81B922">
                  <w:pPr>
                    <w:widowControl/>
                    <w:adjustRightInd w:val="0"/>
                    <w:snapToGrid w:val="0"/>
                    <w:jc w:val="center"/>
                  </w:pPr>
                  <w:r>
                    <w:t>废矿物质油与含矿物油废物</w:t>
                  </w:r>
                </w:p>
              </w:tc>
              <w:tc>
                <w:tcPr>
                  <w:tcW w:w="620" w:type="pct"/>
                  <w:vAlign w:val="center"/>
                </w:tcPr>
                <w:p w14:paraId="64A81DAC">
                  <w:pPr>
                    <w:widowControl/>
                    <w:topLinePunct/>
                    <w:adjustRightInd w:val="0"/>
                    <w:snapToGrid w:val="0"/>
                    <w:jc w:val="center"/>
                  </w:pPr>
                  <w:r>
                    <w:t>900-214-08</w:t>
                  </w:r>
                </w:p>
              </w:tc>
              <w:tc>
                <w:tcPr>
                  <w:tcW w:w="476" w:type="pct"/>
                  <w:vAlign w:val="center"/>
                </w:tcPr>
                <w:p w14:paraId="208744E6">
                  <w:pPr>
                    <w:widowControl/>
                    <w:adjustRightInd w:val="0"/>
                    <w:snapToGrid w:val="0"/>
                    <w:jc w:val="center"/>
                    <w:textAlignment w:val="center"/>
                    <w:rPr>
                      <w:kern w:val="0"/>
                      <w:lang w:bidi="ar"/>
                    </w:rPr>
                  </w:pPr>
                  <w:r>
                    <w:rPr>
                      <w:kern w:val="0"/>
                      <w:lang w:bidi="ar"/>
                    </w:rPr>
                    <w:t>设备维修保养</w:t>
                  </w:r>
                </w:p>
              </w:tc>
              <w:tc>
                <w:tcPr>
                  <w:tcW w:w="476" w:type="pct"/>
                  <w:vAlign w:val="center"/>
                </w:tcPr>
                <w:p w14:paraId="006AF73D">
                  <w:pPr>
                    <w:widowControl/>
                    <w:adjustRightInd w:val="0"/>
                    <w:snapToGrid w:val="0"/>
                    <w:jc w:val="center"/>
                    <w:textAlignment w:val="center"/>
                    <w:rPr>
                      <w:kern w:val="0"/>
                      <w:lang w:bidi="ar"/>
                    </w:rPr>
                  </w:pPr>
                  <w:r>
                    <w:rPr>
                      <w:kern w:val="0"/>
                      <w:lang w:bidi="ar"/>
                    </w:rPr>
                    <w:t>0.</w:t>
                  </w:r>
                  <w:r>
                    <w:rPr>
                      <w:rFonts w:hint="eastAsia"/>
                      <w:kern w:val="0"/>
                      <w:lang w:bidi="ar"/>
                    </w:rPr>
                    <w:t>05</w:t>
                  </w:r>
                </w:p>
              </w:tc>
              <w:tc>
                <w:tcPr>
                  <w:tcW w:w="311" w:type="pct"/>
                  <w:vAlign w:val="center"/>
                </w:tcPr>
                <w:p w14:paraId="229B7DCF">
                  <w:pPr>
                    <w:widowControl/>
                    <w:topLinePunct/>
                    <w:adjustRightInd w:val="0"/>
                    <w:snapToGrid w:val="0"/>
                    <w:jc w:val="center"/>
                    <w:rPr>
                      <w:kern w:val="0"/>
                    </w:rPr>
                  </w:pPr>
                  <w:r>
                    <w:rPr>
                      <w:kern w:val="0"/>
                    </w:rPr>
                    <w:t>液态</w:t>
                  </w:r>
                </w:p>
              </w:tc>
              <w:tc>
                <w:tcPr>
                  <w:tcW w:w="321" w:type="pct"/>
                  <w:vAlign w:val="center"/>
                </w:tcPr>
                <w:p w14:paraId="42362CD7">
                  <w:pPr>
                    <w:widowControl/>
                    <w:topLinePunct/>
                    <w:adjustRightInd w:val="0"/>
                    <w:snapToGrid w:val="0"/>
                    <w:jc w:val="center"/>
                    <w:rPr>
                      <w:kern w:val="0"/>
                    </w:rPr>
                  </w:pPr>
                  <w:r>
                    <w:rPr>
                      <w:kern w:val="0"/>
                    </w:rPr>
                    <w:t>矿物油</w:t>
                  </w:r>
                </w:p>
              </w:tc>
              <w:tc>
                <w:tcPr>
                  <w:tcW w:w="311" w:type="pct"/>
                  <w:vAlign w:val="center"/>
                </w:tcPr>
                <w:p w14:paraId="336313C1">
                  <w:pPr>
                    <w:widowControl/>
                    <w:topLinePunct/>
                    <w:adjustRightInd w:val="0"/>
                    <w:snapToGrid w:val="0"/>
                    <w:jc w:val="center"/>
                    <w:rPr>
                      <w:kern w:val="0"/>
                    </w:rPr>
                  </w:pPr>
                  <w:r>
                    <w:rPr>
                      <w:kern w:val="0"/>
                    </w:rPr>
                    <w:t>矿物油</w:t>
                  </w:r>
                </w:p>
              </w:tc>
              <w:tc>
                <w:tcPr>
                  <w:tcW w:w="352" w:type="pct"/>
                  <w:vAlign w:val="center"/>
                </w:tcPr>
                <w:p w14:paraId="7AF99499">
                  <w:pPr>
                    <w:widowControl/>
                    <w:topLinePunct/>
                    <w:adjustRightInd w:val="0"/>
                    <w:snapToGrid w:val="0"/>
                    <w:jc w:val="center"/>
                    <w:rPr>
                      <w:kern w:val="0"/>
                    </w:rPr>
                  </w:pPr>
                  <w:r>
                    <w:rPr>
                      <w:rFonts w:hint="eastAsia"/>
                      <w:kern w:val="0"/>
                      <w:lang w:bidi="ar"/>
                    </w:rPr>
                    <w:t>1</w:t>
                  </w:r>
                  <w:r>
                    <w:rPr>
                      <w:kern w:val="0"/>
                      <w:lang w:bidi="ar"/>
                    </w:rPr>
                    <w:t>个月</w:t>
                  </w:r>
                </w:p>
              </w:tc>
              <w:tc>
                <w:tcPr>
                  <w:tcW w:w="201" w:type="pct"/>
                  <w:vAlign w:val="center"/>
                </w:tcPr>
                <w:p w14:paraId="53C6A858">
                  <w:pPr>
                    <w:widowControl/>
                    <w:topLinePunct/>
                    <w:adjustRightInd w:val="0"/>
                    <w:snapToGrid w:val="0"/>
                    <w:jc w:val="center"/>
                    <w:rPr>
                      <w:kern w:val="0"/>
                    </w:rPr>
                  </w:pPr>
                  <w:r>
                    <w:rPr>
                      <w:kern w:val="0"/>
                    </w:rPr>
                    <w:t>T，I</w:t>
                  </w:r>
                </w:p>
              </w:tc>
              <w:tc>
                <w:tcPr>
                  <w:tcW w:w="481" w:type="pct"/>
                  <w:vMerge w:val="continue"/>
                  <w:vAlign w:val="center"/>
                </w:tcPr>
                <w:p w14:paraId="07350E11">
                  <w:pPr>
                    <w:adjustRightInd w:val="0"/>
                    <w:snapToGrid w:val="0"/>
                    <w:jc w:val="center"/>
                  </w:pPr>
                </w:p>
              </w:tc>
            </w:tr>
            <w:tr w14:paraId="16ACE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179" w:type="pct"/>
                  <w:vAlign w:val="center"/>
                </w:tcPr>
                <w:p w14:paraId="7755ACDD">
                  <w:pPr>
                    <w:autoSpaceDE w:val="0"/>
                    <w:autoSpaceDN w:val="0"/>
                    <w:adjustRightInd w:val="0"/>
                    <w:snapToGrid w:val="0"/>
                    <w:jc w:val="center"/>
                    <w:textAlignment w:val="baseline"/>
                  </w:pPr>
                  <w:r>
                    <w:rPr>
                      <w:rFonts w:hint="eastAsia"/>
                    </w:rPr>
                    <w:t>3</w:t>
                  </w:r>
                </w:p>
              </w:tc>
              <w:tc>
                <w:tcPr>
                  <w:tcW w:w="467" w:type="pct"/>
                  <w:vAlign w:val="center"/>
                </w:tcPr>
                <w:p w14:paraId="2CD5A282">
                  <w:pPr>
                    <w:autoSpaceDE w:val="0"/>
                    <w:autoSpaceDN w:val="0"/>
                    <w:adjustRightInd w:val="0"/>
                    <w:snapToGrid w:val="0"/>
                    <w:jc w:val="center"/>
                    <w:textAlignment w:val="baseline"/>
                  </w:pPr>
                  <w:r>
                    <w:t>废机油桶</w:t>
                  </w:r>
                </w:p>
              </w:tc>
              <w:tc>
                <w:tcPr>
                  <w:tcW w:w="805" w:type="pct"/>
                  <w:vAlign w:val="center"/>
                </w:tcPr>
                <w:p w14:paraId="1AC81166">
                  <w:pPr>
                    <w:widowControl/>
                    <w:adjustRightInd w:val="0"/>
                    <w:snapToGrid w:val="0"/>
                    <w:jc w:val="center"/>
                    <w:rPr>
                      <w:lang w:bidi="ar"/>
                    </w:rPr>
                  </w:pPr>
                  <w:r>
                    <w:rPr>
                      <w:lang w:bidi="ar"/>
                    </w:rPr>
                    <w:t>HW08</w:t>
                  </w:r>
                </w:p>
                <w:p w14:paraId="08502410">
                  <w:pPr>
                    <w:widowControl/>
                    <w:adjustRightInd w:val="0"/>
                    <w:snapToGrid w:val="0"/>
                    <w:jc w:val="center"/>
                  </w:pPr>
                  <w:r>
                    <w:t>废矿物质油与含矿物油废物</w:t>
                  </w:r>
                </w:p>
              </w:tc>
              <w:tc>
                <w:tcPr>
                  <w:tcW w:w="620" w:type="pct"/>
                  <w:vAlign w:val="center"/>
                </w:tcPr>
                <w:p w14:paraId="05844186">
                  <w:pPr>
                    <w:widowControl/>
                    <w:topLinePunct/>
                    <w:adjustRightInd w:val="0"/>
                    <w:snapToGrid w:val="0"/>
                    <w:jc w:val="center"/>
                  </w:pPr>
                  <w:r>
                    <w:rPr>
                      <w:kern w:val="0"/>
                      <w:lang w:bidi="ar"/>
                    </w:rPr>
                    <w:t>900</w:t>
                  </w:r>
                  <w:r>
                    <w:rPr>
                      <w:rFonts w:hint="eastAsia"/>
                      <w:spacing w:val="-2"/>
                    </w:rPr>
                    <w:t>-</w:t>
                  </w:r>
                  <w:r>
                    <w:rPr>
                      <w:kern w:val="0"/>
                      <w:lang w:bidi="ar"/>
                    </w:rPr>
                    <w:t>249</w:t>
                  </w:r>
                  <w:r>
                    <w:rPr>
                      <w:rFonts w:hint="eastAsia"/>
                      <w:spacing w:val="-2"/>
                    </w:rPr>
                    <w:t>-</w:t>
                  </w:r>
                  <w:r>
                    <w:rPr>
                      <w:kern w:val="0"/>
                      <w:lang w:bidi="ar"/>
                    </w:rPr>
                    <w:t>08</w:t>
                  </w:r>
                </w:p>
              </w:tc>
              <w:tc>
                <w:tcPr>
                  <w:tcW w:w="476" w:type="pct"/>
                  <w:vAlign w:val="center"/>
                </w:tcPr>
                <w:p w14:paraId="3DD25EA3">
                  <w:pPr>
                    <w:widowControl/>
                    <w:adjustRightInd w:val="0"/>
                    <w:snapToGrid w:val="0"/>
                    <w:jc w:val="center"/>
                    <w:textAlignment w:val="center"/>
                    <w:rPr>
                      <w:kern w:val="0"/>
                      <w:lang w:bidi="ar"/>
                    </w:rPr>
                  </w:pPr>
                  <w:r>
                    <w:rPr>
                      <w:kern w:val="0"/>
                      <w:lang w:bidi="ar"/>
                    </w:rPr>
                    <w:t>设备维修保养</w:t>
                  </w:r>
                </w:p>
              </w:tc>
              <w:tc>
                <w:tcPr>
                  <w:tcW w:w="476" w:type="pct"/>
                  <w:vAlign w:val="center"/>
                </w:tcPr>
                <w:p w14:paraId="4A856C74">
                  <w:pPr>
                    <w:widowControl/>
                    <w:adjustRightInd w:val="0"/>
                    <w:snapToGrid w:val="0"/>
                    <w:jc w:val="center"/>
                    <w:textAlignment w:val="center"/>
                    <w:rPr>
                      <w:kern w:val="0"/>
                      <w:lang w:bidi="ar"/>
                    </w:rPr>
                  </w:pPr>
                  <w:r>
                    <w:rPr>
                      <w:kern w:val="0"/>
                      <w:lang w:bidi="ar"/>
                    </w:rPr>
                    <w:t>0.0</w:t>
                  </w:r>
                  <w:r>
                    <w:rPr>
                      <w:rFonts w:hint="eastAsia"/>
                      <w:kern w:val="0"/>
                      <w:lang w:bidi="ar"/>
                    </w:rPr>
                    <w:t>1</w:t>
                  </w:r>
                </w:p>
              </w:tc>
              <w:tc>
                <w:tcPr>
                  <w:tcW w:w="311" w:type="pct"/>
                  <w:vAlign w:val="center"/>
                </w:tcPr>
                <w:p w14:paraId="7B9E84CA">
                  <w:pPr>
                    <w:widowControl/>
                    <w:topLinePunct/>
                    <w:adjustRightInd w:val="0"/>
                    <w:snapToGrid w:val="0"/>
                    <w:jc w:val="center"/>
                    <w:rPr>
                      <w:kern w:val="0"/>
                    </w:rPr>
                  </w:pPr>
                  <w:r>
                    <w:rPr>
                      <w:kern w:val="0"/>
                    </w:rPr>
                    <w:t>固态</w:t>
                  </w:r>
                </w:p>
              </w:tc>
              <w:tc>
                <w:tcPr>
                  <w:tcW w:w="321" w:type="pct"/>
                  <w:vAlign w:val="center"/>
                </w:tcPr>
                <w:p w14:paraId="0B5933BF">
                  <w:pPr>
                    <w:widowControl/>
                    <w:topLinePunct/>
                    <w:adjustRightInd w:val="0"/>
                    <w:snapToGrid w:val="0"/>
                    <w:jc w:val="center"/>
                    <w:rPr>
                      <w:kern w:val="0"/>
                    </w:rPr>
                  </w:pPr>
                  <w:r>
                    <w:rPr>
                      <w:kern w:val="0"/>
                    </w:rPr>
                    <w:t>矿物油</w:t>
                  </w:r>
                </w:p>
              </w:tc>
              <w:tc>
                <w:tcPr>
                  <w:tcW w:w="311" w:type="pct"/>
                  <w:vAlign w:val="center"/>
                </w:tcPr>
                <w:p w14:paraId="7822CB53">
                  <w:pPr>
                    <w:widowControl/>
                    <w:topLinePunct/>
                    <w:adjustRightInd w:val="0"/>
                    <w:snapToGrid w:val="0"/>
                    <w:jc w:val="center"/>
                    <w:rPr>
                      <w:kern w:val="0"/>
                    </w:rPr>
                  </w:pPr>
                  <w:r>
                    <w:rPr>
                      <w:kern w:val="0"/>
                    </w:rPr>
                    <w:t>矿物油</w:t>
                  </w:r>
                </w:p>
              </w:tc>
              <w:tc>
                <w:tcPr>
                  <w:tcW w:w="352" w:type="pct"/>
                  <w:vAlign w:val="center"/>
                </w:tcPr>
                <w:p w14:paraId="69DF1E0B">
                  <w:pPr>
                    <w:widowControl/>
                    <w:topLinePunct/>
                    <w:adjustRightInd w:val="0"/>
                    <w:snapToGrid w:val="0"/>
                    <w:jc w:val="center"/>
                    <w:rPr>
                      <w:kern w:val="0"/>
                    </w:rPr>
                  </w:pPr>
                  <w:r>
                    <w:rPr>
                      <w:rFonts w:hint="eastAsia"/>
                      <w:kern w:val="0"/>
                      <w:lang w:bidi="ar"/>
                    </w:rPr>
                    <w:t>1</w:t>
                  </w:r>
                  <w:r>
                    <w:rPr>
                      <w:kern w:val="0"/>
                      <w:lang w:bidi="ar"/>
                    </w:rPr>
                    <w:t>个月</w:t>
                  </w:r>
                </w:p>
              </w:tc>
              <w:tc>
                <w:tcPr>
                  <w:tcW w:w="201" w:type="pct"/>
                  <w:vAlign w:val="center"/>
                </w:tcPr>
                <w:p w14:paraId="2F90859B">
                  <w:pPr>
                    <w:widowControl/>
                    <w:topLinePunct/>
                    <w:adjustRightInd w:val="0"/>
                    <w:snapToGrid w:val="0"/>
                    <w:jc w:val="center"/>
                    <w:rPr>
                      <w:kern w:val="0"/>
                    </w:rPr>
                  </w:pPr>
                  <w:r>
                    <w:rPr>
                      <w:kern w:val="0"/>
                    </w:rPr>
                    <w:t>T，I</w:t>
                  </w:r>
                </w:p>
              </w:tc>
              <w:tc>
                <w:tcPr>
                  <w:tcW w:w="481" w:type="pct"/>
                  <w:vMerge w:val="continue"/>
                  <w:vAlign w:val="center"/>
                </w:tcPr>
                <w:p w14:paraId="56625D94">
                  <w:pPr>
                    <w:widowControl/>
                    <w:topLinePunct/>
                    <w:adjustRightInd w:val="0"/>
                    <w:snapToGrid w:val="0"/>
                    <w:jc w:val="center"/>
                    <w:rPr>
                      <w:b/>
                      <w:bCs/>
                    </w:rPr>
                  </w:pPr>
                </w:p>
              </w:tc>
            </w:tr>
            <w:tr w14:paraId="730D9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179" w:type="pct"/>
                  <w:vAlign w:val="center"/>
                </w:tcPr>
                <w:p w14:paraId="01553EC2">
                  <w:pPr>
                    <w:autoSpaceDE w:val="0"/>
                    <w:autoSpaceDN w:val="0"/>
                    <w:adjustRightInd w:val="0"/>
                    <w:snapToGrid w:val="0"/>
                    <w:jc w:val="center"/>
                    <w:textAlignment w:val="baseline"/>
                    <w:rPr>
                      <w:bCs/>
                    </w:rPr>
                  </w:pPr>
                  <w:r>
                    <w:rPr>
                      <w:rFonts w:hint="eastAsia"/>
                      <w:bCs/>
                    </w:rPr>
                    <w:t>4</w:t>
                  </w:r>
                </w:p>
              </w:tc>
              <w:tc>
                <w:tcPr>
                  <w:tcW w:w="467" w:type="pct"/>
                  <w:vAlign w:val="center"/>
                </w:tcPr>
                <w:p w14:paraId="3E5540DD">
                  <w:pPr>
                    <w:autoSpaceDE w:val="0"/>
                    <w:autoSpaceDN w:val="0"/>
                    <w:adjustRightInd w:val="0"/>
                    <w:snapToGrid w:val="0"/>
                    <w:jc w:val="center"/>
                    <w:textAlignment w:val="baseline"/>
                  </w:pPr>
                  <w:r>
                    <w:rPr>
                      <w:rFonts w:hint="eastAsia"/>
                      <w:bCs/>
                    </w:rPr>
                    <w:t>含油手套及废抹布</w:t>
                  </w:r>
                </w:p>
              </w:tc>
              <w:tc>
                <w:tcPr>
                  <w:tcW w:w="805" w:type="pct"/>
                  <w:vAlign w:val="center"/>
                </w:tcPr>
                <w:p w14:paraId="67A63474">
                  <w:pPr>
                    <w:widowControl/>
                    <w:adjustRightInd w:val="0"/>
                    <w:snapToGrid w:val="0"/>
                    <w:jc w:val="center"/>
                    <w:rPr>
                      <w:lang w:bidi="ar"/>
                    </w:rPr>
                  </w:pPr>
                  <w:r>
                    <w:rPr>
                      <w:lang w:bidi="ar"/>
                    </w:rPr>
                    <w:t>HW49</w:t>
                  </w:r>
                </w:p>
                <w:p w14:paraId="6E372718">
                  <w:pPr>
                    <w:widowControl/>
                    <w:adjustRightInd w:val="0"/>
                    <w:snapToGrid w:val="0"/>
                    <w:jc w:val="center"/>
                    <w:rPr>
                      <w:lang w:bidi="ar"/>
                    </w:rPr>
                  </w:pPr>
                  <w:r>
                    <w:rPr>
                      <w:lang w:bidi="ar"/>
                    </w:rPr>
                    <w:t>其他废物</w:t>
                  </w:r>
                </w:p>
              </w:tc>
              <w:tc>
                <w:tcPr>
                  <w:tcW w:w="620" w:type="pct"/>
                  <w:vAlign w:val="center"/>
                </w:tcPr>
                <w:p w14:paraId="54E3C592">
                  <w:pPr>
                    <w:widowControl/>
                    <w:topLinePunct/>
                    <w:adjustRightInd w:val="0"/>
                    <w:snapToGrid w:val="0"/>
                    <w:jc w:val="center"/>
                    <w:rPr>
                      <w:kern w:val="0"/>
                      <w:lang w:bidi="ar"/>
                    </w:rPr>
                  </w:pPr>
                  <w:r>
                    <w:rPr>
                      <w:rFonts w:hint="eastAsia"/>
                      <w:spacing w:val="-2"/>
                    </w:rPr>
                    <w:t>900-041-49</w:t>
                  </w:r>
                </w:p>
              </w:tc>
              <w:tc>
                <w:tcPr>
                  <w:tcW w:w="476" w:type="pct"/>
                  <w:vAlign w:val="center"/>
                </w:tcPr>
                <w:p w14:paraId="411F43A3">
                  <w:pPr>
                    <w:widowControl/>
                    <w:topLinePunct/>
                    <w:adjustRightInd w:val="0"/>
                    <w:snapToGrid w:val="0"/>
                    <w:jc w:val="center"/>
                    <w:rPr>
                      <w:kern w:val="0"/>
                      <w:lang w:bidi="ar"/>
                    </w:rPr>
                  </w:pPr>
                  <w:r>
                    <w:rPr>
                      <w:kern w:val="0"/>
                      <w:lang w:bidi="ar"/>
                    </w:rPr>
                    <w:t>设备维修保养</w:t>
                  </w:r>
                </w:p>
              </w:tc>
              <w:tc>
                <w:tcPr>
                  <w:tcW w:w="476" w:type="pct"/>
                  <w:vAlign w:val="center"/>
                </w:tcPr>
                <w:p w14:paraId="677296A2">
                  <w:pPr>
                    <w:widowControl/>
                    <w:topLinePunct/>
                    <w:adjustRightInd w:val="0"/>
                    <w:snapToGrid w:val="0"/>
                    <w:jc w:val="center"/>
                    <w:rPr>
                      <w:kern w:val="0"/>
                      <w:lang w:bidi="ar"/>
                    </w:rPr>
                  </w:pPr>
                  <w:r>
                    <w:rPr>
                      <w:rFonts w:hint="eastAsia"/>
                      <w:kern w:val="0"/>
                      <w:lang w:bidi="ar"/>
                    </w:rPr>
                    <w:t>0.01</w:t>
                  </w:r>
                </w:p>
              </w:tc>
              <w:tc>
                <w:tcPr>
                  <w:tcW w:w="311" w:type="pct"/>
                  <w:vAlign w:val="center"/>
                </w:tcPr>
                <w:p w14:paraId="3209BD90">
                  <w:pPr>
                    <w:widowControl/>
                    <w:topLinePunct/>
                    <w:adjustRightInd w:val="0"/>
                    <w:snapToGrid w:val="0"/>
                    <w:jc w:val="center"/>
                    <w:rPr>
                      <w:kern w:val="0"/>
                      <w:lang w:bidi="ar"/>
                    </w:rPr>
                  </w:pPr>
                  <w:r>
                    <w:rPr>
                      <w:kern w:val="0"/>
                    </w:rPr>
                    <w:t>固态</w:t>
                  </w:r>
                </w:p>
              </w:tc>
              <w:tc>
                <w:tcPr>
                  <w:tcW w:w="321" w:type="pct"/>
                  <w:vAlign w:val="center"/>
                </w:tcPr>
                <w:p w14:paraId="3ABA08B1">
                  <w:pPr>
                    <w:widowControl/>
                    <w:topLinePunct/>
                    <w:adjustRightInd w:val="0"/>
                    <w:snapToGrid w:val="0"/>
                    <w:jc w:val="center"/>
                    <w:rPr>
                      <w:kern w:val="0"/>
                      <w:lang w:bidi="ar"/>
                    </w:rPr>
                  </w:pPr>
                  <w:r>
                    <w:rPr>
                      <w:rFonts w:hint="eastAsia"/>
                      <w:kern w:val="0"/>
                    </w:rPr>
                    <w:t>布、棉等</w:t>
                  </w:r>
                </w:p>
              </w:tc>
              <w:tc>
                <w:tcPr>
                  <w:tcW w:w="311" w:type="pct"/>
                  <w:vAlign w:val="center"/>
                </w:tcPr>
                <w:p w14:paraId="0DEC3DCE">
                  <w:pPr>
                    <w:widowControl/>
                    <w:topLinePunct/>
                    <w:adjustRightInd w:val="0"/>
                    <w:snapToGrid w:val="0"/>
                    <w:jc w:val="center"/>
                    <w:rPr>
                      <w:kern w:val="0"/>
                      <w:lang w:bidi="ar"/>
                    </w:rPr>
                  </w:pPr>
                  <w:r>
                    <w:rPr>
                      <w:kern w:val="0"/>
                    </w:rPr>
                    <w:t>矿物油</w:t>
                  </w:r>
                </w:p>
              </w:tc>
              <w:tc>
                <w:tcPr>
                  <w:tcW w:w="352" w:type="pct"/>
                  <w:vAlign w:val="center"/>
                </w:tcPr>
                <w:p w14:paraId="3B0BB099">
                  <w:pPr>
                    <w:widowControl/>
                    <w:topLinePunct/>
                    <w:adjustRightInd w:val="0"/>
                    <w:snapToGrid w:val="0"/>
                    <w:jc w:val="center"/>
                    <w:rPr>
                      <w:kern w:val="0"/>
                      <w:lang w:bidi="ar"/>
                    </w:rPr>
                  </w:pPr>
                  <w:r>
                    <w:rPr>
                      <w:rFonts w:hint="eastAsia"/>
                      <w:kern w:val="0"/>
                      <w:lang w:bidi="ar"/>
                    </w:rPr>
                    <w:t>日常</w:t>
                  </w:r>
                </w:p>
              </w:tc>
              <w:tc>
                <w:tcPr>
                  <w:tcW w:w="201" w:type="pct"/>
                  <w:vAlign w:val="center"/>
                </w:tcPr>
                <w:p w14:paraId="4A82B03A">
                  <w:pPr>
                    <w:widowControl/>
                    <w:topLinePunct/>
                    <w:adjustRightInd w:val="0"/>
                    <w:snapToGrid w:val="0"/>
                    <w:jc w:val="center"/>
                    <w:rPr>
                      <w:kern w:val="0"/>
                    </w:rPr>
                  </w:pPr>
                  <w:r>
                    <w:rPr>
                      <w:kern w:val="0"/>
                    </w:rPr>
                    <w:t>T，I</w:t>
                  </w:r>
                </w:p>
              </w:tc>
              <w:tc>
                <w:tcPr>
                  <w:tcW w:w="481" w:type="pct"/>
                  <w:vMerge w:val="continue"/>
                  <w:vAlign w:val="center"/>
                </w:tcPr>
                <w:p w14:paraId="12AF8853">
                  <w:pPr>
                    <w:widowControl/>
                    <w:topLinePunct/>
                    <w:adjustRightInd w:val="0"/>
                    <w:snapToGrid w:val="0"/>
                    <w:jc w:val="center"/>
                    <w:rPr>
                      <w:b/>
                      <w:bCs/>
                    </w:rPr>
                  </w:pPr>
                </w:p>
              </w:tc>
            </w:tr>
          </w:tbl>
          <w:p w14:paraId="03D44300">
            <w:pPr>
              <w:pStyle w:val="12"/>
              <w:spacing w:before="120" w:beforeLines="50" w:line="360" w:lineRule="auto"/>
              <w:ind w:left="0" w:leftChars="0" w:firstLine="0" w:firstLineChars="0"/>
              <w:jc w:val="center"/>
              <w:rPr>
                <w:b/>
              </w:rPr>
            </w:pPr>
          </w:p>
          <w:p w14:paraId="06FD4A05">
            <w:pPr>
              <w:pStyle w:val="12"/>
              <w:spacing w:before="120" w:beforeLines="50" w:line="360" w:lineRule="auto"/>
              <w:ind w:left="0" w:leftChars="0" w:firstLine="0" w:firstLineChars="0"/>
              <w:jc w:val="center"/>
              <w:rPr>
                <w:b/>
              </w:rPr>
            </w:pPr>
          </w:p>
          <w:p w14:paraId="20E157AC">
            <w:pPr>
              <w:pStyle w:val="12"/>
              <w:spacing w:before="120" w:beforeLines="50" w:line="360" w:lineRule="auto"/>
              <w:ind w:left="0" w:leftChars="0" w:firstLine="0" w:firstLineChars="0"/>
              <w:jc w:val="center"/>
              <w:rPr>
                <w:b/>
              </w:rPr>
            </w:pPr>
          </w:p>
          <w:p w14:paraId="46C28219">
            <w:pPr>
              <w:pStyle w:val="12"/>
              <w:spacing w:before="120" w:beforeLines="50" w:line="360" w:lineRule="auto"/>
              <w:ind w:left="0" w:leftChars="0" w:firstLine="0" w:firstLineChars="0"/>
              <w:jc w:val="center"/>
              <w:rPr>
                <w:b/>
              </w:rPr>
            </w:pPr>
          </w:p>
          <w:p w14:paraId="6B6D1D3E">
            <w:pPr>
              <w:pStyle w:val="12"/>
              <w:spacing w:before="120" w:beforeLines="50" w:line="360" w:lineRule="auto"/>
              <w:ind w:left="0" w:leftChars="0" w:firstLine="0" w:firstLineChars="0"/>
              <w:jc w:val="center"/>
              <w:rPr>
                <w:b/>
              </w:rPr>
            </w:pPr>
            <w:r>
              <w:rPr>
                <w:b/>
              </w:rPr>
              <w:t>表</w:t>
            </w:r>
            <w:r>
              <w:rPr>
                <w:rFonts w:hint="eastAsia"/>
                <w:b/>
              </w:rPr>
              <w:t>4-21</w:t>
            </w:r>
            <w:r>
              <w:rPr>
                <w:b/>
              </w:rPr>
              <w:t>项目危险废物贮存场所基本情况</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083"/>
              <w:gridCol w:w="1648"/>
              <w:gridCol w:w="1295"/>
              <w:gridCol w:w="722"/>
              <w:gridCol w:w="718"/>
              <w:gridCol w:w="761"/>
              <w:gridCol w:w="705"/>
              <w:gridCol w:w="715"/>
            </w:tblGrid>
            <w:tr w14:paraId="797DD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0" w:type="pct"/>
                  <w:vAlign w:val="center"/>
                </w:tcPr>
                <w:p w14:paraId="5407BE72">
                  <w:pPr>
                    <w:widowControl/>
                    <w:jc w:val="center"/>
                    <w:rPr>
                      <w:b/>
                      <w:bCs/>
                    </w:rPr>
                  </w:pPr>
                  <w:r>
                    <w:rPr>
                      <w:b/>
                      <w:bCs/>
                    </w:rPr>
                    <w:t>贮存场所名称</w:t>
                  </w:r>
                </w:p>
              </w:tc>
              <w:tc>
                <w:tcPr>
                  <w:tcW w:w="633" w:type="pct"/>
                  <w:vAlign w:val="center"/>
                </w:tcPr>
                <w:p w14:paraId="4821FD0C">
                  <w:pPr>
                    <w:widowControl/>
                    <w:jc w:val="center"/>
                    <w:rPr>
                      <w:b/>
                      <w:bCs/>
                    </w:rPr>
                  </w:pPr>
                  <w:r>
                    <w:rPr>
                      <w:b/>
                      <w:bCs/>
                    </w:rPr>
                    <w:t>危险废物名称</w:t>
                  </w:r>
                </w:p>
              </w:tc>
              <w:tc>
                <w:tcPr>
                  <w:tcW w:w="963" w:type="pct"/>
                  <w:vAlign w:val="center"/>
                </w:tcPr>
                <w:p w14:paraId="5AF582D5">
                  <w:pPr>
                    <w:widowControl/>
                    <w:jc w:val="center"/>
                    <w:rPr>
                      <w:b/>
                      <w:bCs/>
                    </w:rPr>
                  </w:pPr>
                  <w:r>
                    <w:rPr>
                      <w:b/>
                      <w:bCs/>
                    </w:rPr>
                    <w:t>危险废物</w:t>
                  </w:r>
                  <w:r>
                    <w:rPr>
                      <w:rFonts w:hint="eastAsia"/>
                      <w:b/>
                      <w:bCs/>
                    </w:rPr>
                    <w:t>类别</w:t>
                  </w:r>
                </w:p>
              </w:tc>
              <w:tc>
                <w:tcPr>
                  <w:tcW w:w="757" w:type="pct"/>
                  <w:vAlign w:val="center"/>
                </w:tcPr>
                <w:p w14:paraId="17A91E8A">
                  <w:pPr>
                    <w:widowControl/>
                    <w:jc w:val="center"/>
                    <w:rPr>
                      <w:b/>
                      <w:bCs/>
                    </w:rPr>
                  </w:pPr>
                  <w:r>
                    <w:rPr>
                      <w:b/>
                      <w:bCs/>
                    </w:rPr>
                    <w:t>危险废物</w:t>
                  </w:r>
                </w:p>
                <w:p w14:paraId="4E0562F5">
                  <w:pPr>
                    <w:widowControl/>
                    <w:jc w:val="center"/>
                    <w:rPr>
                      <w:b/>
                      <w:bCs/>
                    </w:rPr>
                  </w:pPr>
                  <w:r>
                    <w:rPr>
                      <w:rFonts w:hint="eastAsia"/>
                      <w:b/>
                      <w:bCs/>
                    </w:rPr>
                    <w:t>代码</w:t>
                  </w:r>
                </w:p>
              </w:tc>
              <w:tc>
                <w:tcPr>
                  <w:tcW w:w="422" w:type="pct"/>
                  <w:vAlign w:val="center"/>
                </w:tcPr>
                <w:p w14:paraId="3FB22E24">
                  <w:pPr>
                    <w:widowControl/>
                    <w:jc w:val="center"/>
                    <w:rPr>
                      <w:b/>
                      <w:bCs/>
                    </w:rPr>
                  </w:pPr>
                  <w:r>
                    <w:rPr>
                      <w:b/>
                      <w:bCs/>
                    </w:rPr>
                    <w:t>位置</w:t>
                  </w:r>
                </w:p>
              </w:tc>
              <w:tc>
                <w:tcPr>
                  <w:tcW w:w="420" w:type="pct"/>
                  <w:vAlign w:val="center"/>
                </w:tcPr>
                <w:p w14:paraId="31A0EC74">
                  <w:pPr>
                    <w:widowControl/>
                    <w:jc w:val="center"/>
                    <w:rPr>
                      <w:b/>
                      <w:bCs/>
                    </w:rPr>
                  </w:pPr>
                  <w:r>
                    <w:rPr>
                      <w:b/>
                      <w:bCs/>
                    </w:rPr>
                    <w:t>占地面积</w:t>
                  </w:r>
                </w:p>
              </w:tc>
              <w:tc>
                <w:tcPr>
                  <w:tcW w:w="445" w:type="pct"/>
                  <w:vAlign w:val="center"/>
                </w:tcPr>
                <w:p w14:paraId="059BDBA9">
                  <w:pPr>
                    <w:widowControl/>
                    <w:jc w:val="center"/>
                    <w:rPr>
                      <w:b/>
                      <w:bCs/>
                    </w:rPr>
                  </w:pPr>
                  <w:r>
                    <w:rPr>
                      <w:b/>
                      <w:bCs/>
                    </w:rPr>
                    <w:t>贮存方式</w:t>
                  </w:r>
                </w:p>
              </w:tc>
              <w:tc>
                <w:tcPr>
                  <w:tcW w:w="412" w:type="pct"/>
                  <w:vAlign w:val="center"/>
                </w:tcPr>
                <w:p w14:paraId="47469ABE">
                  <w:pPr>
                    <w:widowControl/>
                    <w:jc w:val="center"/>
                    <w:rPr>
                      <w:b/>
                      <w:bCs/>
                    </w:rPr>
                  </w:pPr>
                  <w:r>
                    <w:rPr>
                      <w:b/>
                      <w:bCs/>
                    </w:rPr>
                    <w:t>贮存</w:t>
                  </w:r>
                </w:p>
                <w:p w14:paraId="7AAB3546">
                  <w:pPr>
                    <w:widowControl/>
                    <w:jc w:val="center"/>
                    <w:rPr>
                      <w:b/>
                      <w:bCs/>
                    </w:rPr>
                  </w:pPr>
                  <w:r>
                    <w:rPr>
                      <w:b/>
                      <w:bCs/>
                    </w:rPr>
                    <w:t>能力</w:t>
                  </w:r>
                </w:p>
              </w:tc>
              <w:tc>
                <w:tcPr>
                  <w:tcW w:w="419" w:type="pct"/>
                  <w:vAlign w:val="center"/>
                </w:tcPr>
                <w:p w14:paraId="1527BEDC">
                  <w:pPr>
                    <w:widowControl/>
                    <w:jc w:val="center"/>
                    <w:rPr>
                      <w:b/>
                      <w:bCs/>
                    </w:rPr>
                  </w:pPr>
                  <w:r>
                    <w:rPr>
                      <w:b/>
                      <w:bCs/>
                    </w:rPr>
                    <w:t>贮存</w:t>
                  </w:r>
                </w:p>
                <w:p w14:paraId="30D1BE49">
                  <w:pPr>
                    <w:widowControl/>
                    <w:jc w:val="center"/>
                    <w:rPr>
                      <w:b/>
                      <w:bCs/>
                    </w:rPr>
                  </w:pPr>
                  <w:r>
                    <w:rPr>
                      <w:b/>
                      <w:bCs/>
                    </w:rPr>
                    <w:t>周期</w:t>
                  </w:r>
                </w:p>
              </w:tc>
            </w:tr>
            <w:tr w14:paraId="3D473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0" w:type="pct"/>
                  <w:vMerge w:val="restart"/>
                  <w:vAlign w:val="center"/>
                </w:tcPr>
                <w:p w14:paraId="6ADA4927">
                  <w:pPr>
                    <w:pStyle w:val="47"/>
                    <w:jc w:val="center"/>
                    <w:rPr>
                      <w:sz w:val="21"/>
                    </w:rPr>
                  </w:pPr>
                  <w:r>
                    <w:rPr>
                      <w:rFonts w:hint="eastAsia"/>
                      <w:sz w:val="21"/>
                    </w:rPr>
                    <w:t>危险废物暂存间</w:t>
                  </w:r>
                </w:p>
              </w:tc>
              <w:tc>
                <w:tcPr>
                  <w:tcW w:w="633" w:type="pct"/>
                  <w:vAlign w:val="center"/>
                </w:tcPr>
                <w:p w14:paraId="5335458B">
                  <w:pPr>
                    <w:autoSpaceDE w:val="0"/>
                    <w:autoSpaceDN w:val="0"/>
                    <w:adjustRightInd w:val="0"/>
                    <w:snapToGrid w:val="0"/>
                    <w:jc w:val="center"/>
                    <w:textAlignment w:val="baseline"/>
                  </w:pPr>
                  <w:r>
                    <w:t>废活性炭</w:t>
                  </w:r>
                </w:p>
              </w:tc>
              <w:tc>
                <w:tcPr>
                  <w:tcW w:w="963" w:type="pct"/>
                  <w:vAlign w:val="center"/>
                </w:tcPr>
                <w:p w14:paraId="3DB9C062">
                  <w:pPr>
                    <w:widowControl/>
                    <w:adjustRightInd w:val="0"/>
                    <w:snapToGrid w:val="0"/>
                    <w:jc w:val="center"/>
                    <w:rPr>
                      <w:lang w:bidi="ar"/>
                    </w:rPr>
                  </w:pPr>
                  <w:r>
                    <w:rPr>
                      <w:lang w:bidi="ar"/>
                    </w:rPr>
                    <w:t>HW49</w:t>
                  </w:r>
                </w:p>
                <w:p w14:paraId="1A16561B">
                  <w:pPr>
                    <w:widowControl/>
                    <w:topLinePunct/>
                    <w:adjustRightInd w:val="0"/>
                    <w:snapToGrid w:val="0"/>
                    <w:jc w:val="center"/>
                    <w:rPr>
                      <w:kern w:val="0"/>
                      <w:lang w:bidi="ar"/>
                    </w:rPr>
                  </w:pPr>
                  <w:r>
                    <w:rPr>
                      <w:lang w:bidi="ar"/>
                    </w:rPr>
                    <w:t>其他废物</w:t>
                  </w:r>
                </w:p>
              </w:tc>
              <w:tc>
                <w:tcPr>
                  <w:tcW w:w="757" w:type="pct"/>
                  <w:vAlign w:val="center"/>
                </w:tcPr>
                <w:p w14:paraId="65F20FDD">
                  <w:pPr>
                    <w:widowControl/>
                    <w:topLinePunct/>
                    <w:adjustRightInd w:val="0"/>
                    <w:snapToGrid w:val="0"/>
                    <w:jc w:val="center"/>
                  </w:pPr>
                  <w:r>
                    <w:rPr>
                      <w:kern w:val="0"/>
                      <w:lang w:bidi="ar"/>
                    </w:rPr>
                    <w:t>900-039-49</w:t>
                  </w:r>
                </w:p>
              </w:tc>
              <w:tc>
                <w:tcPr>
                  <w:tcW w:w="422" w:type="pct"/>
                  <w:vMerge w:val="restart"/>
                  <w:vAlign w:val="center"/>
                </w:tcPr>
                <w:p w14:paraId="12578B1F">
                  <w:pPr>
                    <w:pStyle w:val="47"/>
                    <w:jc w:val="center"/>
                    <w:rPr>
                      <w:sz w:val="21"/>
                    </w:rPr>
                  </w:pPr>
                  <w:r>
                    <w:rPr>
                      <w:rFonts w:hint="eastAsia"/>
                      <w:sz w:val="21"/>
                    </w:rPr>
                    <w:t>现有生产车间东面</w:t>
                  </w:r>
                </w:p>
              </w:tc>
              <w:tc>
                <w:tcPr>
                  <w:tcW w:w="420" w:type="pct"/>
                  <w:vMerge w:val="restart"/>
                  <w:vAlign w:val="center"/>
                </w:tcPr>
                <w:p w14:paraId="4380E513">
                  <w:pPr>
                    <w:widowControl/>
                    <w:jc w:val="center"/>
                  </w:pPr>
                  <w:r>
                    <w:rPr>
                      <w:rFonts w:hint="eastAsia"/>
                    </w:rPr>
                    <w:t>20</w:t>
                  </w:r>
                  <w:r>
                    <w:t>m</w:t>
                  </w:r>
                  <w:r>
                    <w:rPr>
                      <w:vertAlign w:val="superscript"/>
                    </w:rPr>
                    <w:t>2</w:t>
                  </w:r>
                </w:p>
              </w:tc>
              <w:tc>
                <w:tcPr>
                  <w:tcW w:w="445" w:type="pct"/>
                  <w:vAlign w:val="center"/>
                </w:tcPr>
                <w:p w14:paraId="42E0E850">
                  <w:pPr>
                    <w:jc w:val="center"/>
                  </w:pPr>
                  <w:r>
                    <w:t>袋装</w:t>
                  </w:r>
                </w:p>
              </w:tc>
              <w:tc>
                <w:tcPr>
                  <w:tcW w:w="412" w:type="pct"/>
                  <w:vAlign w:val="center"/>
                </w:tcPr>
                <w:p w14:paraId="493D19CE">
                  <w:pPr>
                    <w:widowControl/>
                    <w:jc w:val="center"/>
                  </w:pPr>
                  <w:r>
                    <w:rPr>
                      <w:rFonts w:hint="eastAsia"/>
                    </w:rPr>
                    <w:t>10</w:t>
                  </w:r>
                  <w:r>
                    <w:t>t</w:t>
                  </w:r>
                </w:p>
              </w:tc>
              <w:tc>
                <w:tcPr>
                  <w:tcW w:w="419" w:type="pct"/>
                  <w:vAlign w:val="center"/>
                </w:tcPr>
                <w:p w14:paraId="4813DE62">
                  <w:pPr>
                    <w:widowControl/>
                    <w:jc w:val="center"/>
                  </w:pPr>
                  <w:r>
                    <w:rPr>
                      <w:rFonts w:hint="eastAsia"/>
                      <w:kern w:val="0"/>
                      <w:lang w:bidi="ar"/>
                    </w:rPr>
                    <w:t>半年</w:t>
                  </w:r>
                </w:p>
              </w:tc>
            </w:tr>
            <w:tr w14:paraId="4A4BA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0" w:type="pct"/>
                  <w:vMerge w:val="continue"/>
                  <w:vAlign w:val="center"/>
                </w:tcPr>
                <w:p w14:paraId="14D7641A">
                  <w:pPr>
                    <w:pStyle w:val="47"/>
                    <w:jc w:val="center"/>
                    <w:rPr>
                      <w:sz w:val="21"/>
                    </w:rPr>
                  </w:pPr>
                </w:p>
              </w:tc>
              <w:tc>
                <w:tcPr>
                  <w:tcW w:w="633" w:type="pct"/>
                  <w:vAlign w:val="center"/>
                </w:tcPr>
                <w:p w14:paraId="2627FC5C">
                  <w:pPr>
                    <w:autoSpaceDE w:val="0"/>
                    <w:autoSpaceDN w:val="0"/>
                    <w:adjustRightInd w:val="0"/>
                    <w:snapToGrid w:val="0"/>
                    <w:jc w:val="center"/>
                    <w:textAlignment w:val="baseline"/>
                  </w:pPr>
                  <w:r>
                    <w:t>废机油</w:t>
                  </w:r>
                </w:p>
              </w:tc>
              <w:tc>
                <w:tcPr>
                  <w:tcW w:w="963" w:type="pct"/>
                  <w:vAlign w:val="center"/>
                </w:tcPr>
                <w:p w14:paraId="670910C3">
                  <w:pPr>
                    <w:widowControl/>
                    <w:adjustRightInd w:val="0"/>
                    <w:snapToGrid w:val="0"/>
                    <w:jc w:val="center"/>
                  </w:pPr>
                  <w:r>
                    <w:t>HW08</w:t>
                  </w:r>
                </w:p>
                <w:p w14:paraId="61D503A5">
                  <w:pPr>
                    <w:widowControl/>
                    <w:topLinePunct/>
                    <w:adjustRightInd w:val="0"/>
                    <w:snapToGrid w:val="0"/>
                    <w:jc w:val="center"/>
                    <w:rPr>
                      <w:kern w:val="0"/>
                      <w:lang w:bidi="ar"/>
                    </w:rPr>
                  </w:pPr>
                  <w:r>
                    <w:t>废矿物质油与含矿物油废物</w:t>
                  </w:r>
                </w:p>
              </w:tc>
              <w:tc>
                <w:tcPr>
                  <w:tcW w:w="757" w:type="pct"/>
                  <w:vAlign w:val="center"/>
                </w:tcPr>
                <w:p w14:paraId="43F9C5FB">
                  <w:pPr>
                    <w:widowControl/>
                    <w:topLinePunct/>
                    <w:adjustRightInd w:val="0"/>
                    <w:snapToGrid w:val="0"/>
                    <w:jc w:val="center"/>
                  </w:pPr>
                  <w:r>
                    <w:t>900-214-08</w:t>
                  </w:r>
                </w:p>
              </w:tc>
              <w:tc>
                <w:tcPr>
                  <w:tcW w:w="422" w:type="pct"/>
                  <w:vMerge w:val="continue"/>
                  <w:vAlign w:val="center"/>
                </w:tcPr>
                <w:p w14:paraId="602CFD62">
                  <w:pPr>
                    <w:pStyle w:val="47"/>
                    <w:jc w:val="center"/>
                    <w:rPr>
                      <w:sz w:val="21"/>
                    </w:rPr>
                  </w:pPr>
                </w:p>
              </w:tc>
              <w:tc>
                <w:tcPr>
                  <w:tcW w:w="420" w:type="pct"/>
                  <w:vMerge w:val="continue"/>
                  <w:vAlign w:val="center"/>
                </w:tcPr>
                <w:p w14:paraId="39017237">
                  <w:pPr>
                    <w:widowControl/>
                    <w:jc w:val="center"/>
                  </w:pPr>
                </w:p>
              </w:tc>
              <w:tc>
                <w:tcPr>
                  <w:tcW w:w="445" w:type="pct"/>
                  <w:vAlign w:val="center"/>
                </w:tcPr>
                <w:p w14:paraId="07878B1D">
                  <w:pPr>
                    <w:jc w:val="center"/>
                  </w:pPr>
                  <w:r>
                    <w:t>桶装</w:t>
                  </w:r>
                </w:p>
              </w:tc>
              <w:tc>
                <w:tcPr>
                  <w:tcW w:w="412" w:type="pct"/>
                  <w:vAlign w:val="center"/>
                </w:tcPr>
                <w:p w14:paraId="75F096EC">
                  <w:pPr>
                    <w:widowControl/>
                    <w:adjustRightInd w:val="0"/>
                    <w:snapToGrid w:val="0"/>
                    <w:jc w:val="center"/>
                    <w:textAlignment w:val="center"/>
                  </w:pPr>
                  <w:r>
                    <w:rPr>
                      <w:rFonts w:hint="eastAsia"/>
                      <w:kern w:val="0"/>
                      <w:lang w:bidi="ar"/>
                    </w:rPr>
                    <w:t>0.1</w:t>
                  </w:r>
                  <w:r>
                    <w:rPr>
                      <w:kern w:val="0"/>
                      <w:lang w:bidi="ar"/>
                    </w:rPr>
                    <w:t>t</w:t>
                  </w:r>
                </w:p>
              </w:tc>
              <w:tc>
                <w:tcPr>
                  <w:tcW w:w="419" w:type="pct"/>
                  <w:vAlign w:val="center"/>
                </w:tcPr>
                <w:p w14:paraId="29DACF33">
                  <w:pPr>
                    <w:widowControl/>
                    <w:jc w:val="center"/>
                  </w:pPr>
                  <w:r>
                    <w:t>一年</w:t>
                  </w:r>
                </w:p>
              </w:tc>
            </w:tr>
            <w:tr w14:paraId="0EAD0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0" w:type="pct"/>
                  <w:vMerge w:val="continue"/>
                  <w:vAlign w:val="center"/>
                </w:tcPr>
                <w:p w14:paraId="545BFAC5">
                  <w:pPr>
                    <w:pStyle w:val="47"/>
                    <w:jc w:val="center"/>
                    <w:rPr>
                      <w:sz w:val="21"/>
                    </w:rPr>
                  </w:pPr>
                </w:p>
              </w:tc>
              <w:tc>
                <w:tcPr>
                  <w:tcW w:w="633" w:type="pct"/>
                  <w:vAlign w:val="center"/>
                </w:tcPr>
                <w:p w14:paraId="67B02EB5">
                  <w:pPr>
                    <w:autoSpaceDE w:val="0"/>
                    <w:autoSpaceDN w:val="0"/>
                    <w:adjustRightInd w:val="0"/>
                    <w:snapToGrid w:val="0"/>
                    <w:jc w:val="center"/>
                    <w:textAlignment w:val="baseline"/>
                  </w:pPr>
                  <w:r>
                    <w:t>废机油桶</w:t>
                  </w:r>
                </w:p>
              </w:tc>
              <w:tc>
                <w:tcPr>
                  <w:tcW w:w="963" w:type="pct"/>
                  <w:vAlign w:val="center"/>
                </w:tcPr>
                <w:p w14:paraId="6CFCB91B">
                  <w:pPr>
                    <w:widowControl/>
                    <w:adjustRightInd w:val="0"/>
                    <w:snapToGrid w:val="0"/>
                    <w:jc w:val="center"/>
                    <w:rPr>
                      <w:lang w:bidi="ar"/>
                    </w:rPr>
                  </w:pPr>
                  <w:r>
                    <w:rPr>
                      <w:lang w:bidi="ar"/>
                    </w:rPr>
                    <w:t>HW08</w:t>
                  </w:r>
                </w:p>
                <w:p w14:paraId="36563B78">
                  <w:pPr>
                    <w:widowControl/>
                    <w:topLinePunct/>
                    <w:adjustRightInd w:val="0"/>
                    <w:snapToGrid w:val="0"/>
                    <w:jc w:val="center"/>
                    <w:rPr>
                      <w:kern w:val="0"/>
                      <w:lang w:bidi="ar"/>
                    </w:rPr>
                  </w:pPr>
                  <w:r>
                    <w:t>废矿物质油与含矿物油废物</w:t>
                  </w:r>
                </w:p>
              </w:tc>
              <w:tc>
                <w:tcPr>
                  <w:tcW w:w="757" w:type="pct"/>
                  <w:vAlign w:val="center"/>
                </w:tcPr>
                <w:p w14:paraId="25342B69">
                  <w:pPr>
                    <w:widowControl/>
                    <w:topLinePunct/>
                    <w:adjustRightInd w:val="0"/>
                    <w:snapToGrid w:val="0"/>
                    <w:jc w:val="center"/>
                    <w:rPr>
                      <w:kern w:val="0"/>
                      <w:lang w:bidi="ar"/>
                    </w:rPr>
                  </w:pPr>
                  <w:r>
                    <w:rPr>
                      <w:kern w:val="0"/>
                      <w:lang w:bidi="ar"/>
                    </w:rPr>
                    <w:t>900</w:t>
                  </w:r>
                  <w:r>
                    <w:rPr>
                      <w:rFonts w:hint="eastAsia"/>
                      <w:spacing w:val="-2"/>
                    </w:rPr>
                    <w:t>-</w:t>
                  </w:r>
                  <w:r>
                    <w:rPr>
                      <w:kern w:val="0"/>
                      <w:lang w:bidi="ar"/>
                    </w:rPr>
                    <w:t>249</w:t>
                  </w:r>
                  <w:r>
                    <w:rPr>
                      <w:rFonts w:hint="eastAsia"/>
                      <w:spacing w:val="-2"/>
                    </w:rPr>
                    <w:t>-</w:t>
                  </w:r>
                  <w:r>
                    <w:rPr>
                      <w:kern w:val="0"/>
                      <w:lang w:bidi="ar"/>
                    </w:rPr>
                    <w:t>08</w:t>
                  </w:r>
                </w:p>
              </w:tc>
              <w:tc>
                <w:tcPr>
                  <w:tcW w:w="422" w:type="pct"/>
                  <w:vMerge w:val="continue"/>
                  <w:vAlign w:val="center"/>
                </w:tcPr>
                <w:p w14:paraId="5D721330">
                  <w:pPr>
                    <w:pStyle w:val="47"/>
                    <w:jc w:val="center"/>
                    <w:rPr>
                      <w:sz w:val="21"/>
                    </w:rPr>
                  </w:pPr>
                </w:p>
              </w:tc>
              <w:tc>
                <w:tcPr>
                  <w:tcW w:w="420" w:type="pct"/>
                  <w:vMerge w:val="continue"/>
                  <w:vAlign w:val="center"/>
                </w:tcPr>
                <w:p w14:paraId="7C57138B">
                  <w:pPr>
                    <w:widowControl/>
                    <w:jc w:val="center"/>
                  </w:pPr>
                </w:p>
              </w:tc>
              <w:tc>
                <w:tcPr>
                  <w:tcW w:w="445" w:type="pct"/>
                  <w:vAlign w:val="center"/>
                </w:tcPr>
                <w:p w14:paraId="3395A60C">
                  <w:pPr>
                    <w:jc w:val="center"/>
                  </w:pPr>
                  <w:r>
                    <w:rPr>
                      <w:rFonts w:hint="eastAsia"/>
                    </w:rPr>
                    <w:t>堆放</w:t>
                  </w:r>
                </w:p>
              </w:tc>
              <w:tc>
                <w:tcPr>
                  <w:tcW w:w="412" w:type="pct"/>
                  <w:vAlign w:val="center"/>
                </w:tcPr>
                <w:p w14:paraId="0F0FD93A">
                  <w:pPr>
                    <w:widowControl/>
                    <w:adjustRightInd w:val="0"/>
                    <w:snapToGrid w:val="0"/>
                    <w:jc w:val="center"/>
                    <w:textAlignment w:val="center"/>
                    <w:rPr>
                      <w:kern w:val="0"/>
                      <w:lang w:bidi="ar"/>
                    </w:rPr>
                  </w:pPr>
                  <w:r>
                    <w:rPr>
                      <w:kern w:val="0"/>
                      <w:lang w:bidi="ar"/>
                    </w:rPr>
                    <w:t>0.</w:t>
                  </w:r>
                  <w:r>
                    <w:rPr>
                      <w:rFonts w:hint="eastAsia"/>
                      <w:kern w:val="0"/>
                      <w:lang w:bidi="ar"/>
                    </w:rPr>
                    <w:t>1</w:t>
                  </w:r>
                  <w:r>
                    <w:rPr>
                      <w:kern w:val="0"/>
                      <w:lang w:bidi="ar"/>
                    </w:rPr>
                    <w:t>t</w:t>
                  </w:r>
                </w:p>
              </w:tc>
              <w:tc>
                <w:tcPr>
                  <w:tcW w:w="419" w:type="pct"/>
                  <w:vAlign w:val="center"/>
                </w:tcPr>
                <w:p w14:paraId="6E0D48C1">
                  <w:pPr>
                    <w:widowControl/>
                    <w:jc w:val="center"/>
                  </w:pPr>
                  <w:r>
                    <w:t>一年</w:t>
                  </w:r>
                </w:p>
              </w:tc>
            </w:tr>
            <w:tr w14:paraId="5FB7F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0" w:type="pct"/>
                  <w:vMerge w:val="continue"/>
                  <w:vAlign w:val="center"/>
                </w:tcPr>
                <w:p w14:paraId="1EFD0FAD">
                  <w:pPr>
                    <w:pStyle w:val="47"/>
                    <w:jc w:val="center"/>
                    <w:rPr>
                      <w:sz w:val="21"/>
                    </w:rPr>
                  </w:pPr>
                </w:p>
              </w:tc>
              <w:tc>
                <w:tcPr>
                  <w:tcW w:w="633" w:type="pct"/>
                  <w:vAlign w:val="center"/>
                </w:tcPr>
                <w:p w14:paraId="6D4F345D">
                  <w:pPr>
                    <w:autoSpaceDE w:val="0"/>
                    <w:autoSpaceDN w:val="0"/>
                    <w:adjustRightInd w:val="0"/>
                    <w:snapToGrid w:val="0"/>
                    <w:jc w:val="center"/>
                    <w:textAlignment w:val="baseline"/>
                  </w:pPr>
                  <w:r>
                    <w:rPr>
                      <w:rFonts w:hint="eastAsia"/>
                      <w:bCs/>
                    </w:rPr>
                    <w:t>含油手套及废抹布</w:t>
                  </w:r>
                </w:p>
              </w:tc>
              <w:tc>
                <w:tcPr>
                  <w:tcW w:w="963" w:type="pct"/>
                  <w:vAlign w:val="center"/>
                </w:tcPr>
                <w:p w14:paraId="1298CFCB">
                  <w:pPr>
                    <w:widowControl/>
                    <w:adjustRightInd w:val="0"/>
                    <w:snapToGrid w:val="0"/>
                    <w:jc w:val="center"/>
                    <w:rPr>
                      <w:lang w:bidi="ar"/>
                    </w:rPr>
                  </w:pPr>
                  <w:r>
                    <w:rPr>
                      <w:lang w:bidi="ar"/>
                    </w:rPr>
                    <w:t>HW49</w:t>
                  </w:r>
                </w:p>
                <w:p w14:paraId="0B6869E7">
                  <w:pPr>
                    <w:widowControl/>
                    <w:topLinePunct/>
                    <w:adjustRightInd w:val="0"/>
                    <w:snapToGrid w:val="0"/>
                    <w:jc w:val="center"/>
                    <w:rPr>
                      <w:kern w:val="0"/>
                      <w:lang w:bidi="ar"/>
                    </w:rPr>
                  </w:pPr>
                  <w:r>
                    <w:rPr>
                      <w:lang w:bidi="ar"/>
                    </w:rPr>
                    <w:t>其他废物</w:t>
                  </w:r>
                </w:p>
              </w:tc>
              <w:tc>
                <w:tcPr>
                  <w:tcW w:w="757" w:type="pct"/>
                  <w:vAlign w:val="center"/>
                </w:tcPr>
                <w:p w14:paraId="3FB37D83">
                  <w:pPr>
                    <w:widowControl/>
                    <w:topLinePunct/>
                    <w:adjustRightInd w:val="0"/>
                    <w:snapToGrid w:val="0"/>
                    <w:jc w:val="center"/>
                  </w:pPr>
                  <w:r>
                    <w:rPr>
                      <w:rFonts w:hint="eastAsia"/>
                      <w:spacing w:val="-2"/>
                    </w:rPr>
                    <w:t>900-041-49</w:t>
                  </w:r>
                </w:p>
              </w:tc>
              <w:tc>
                <w:tcPr>
                  <w:tcW w:w="422" w:type="pct"/>
                  <w:vMerge w:val="continue"/>
                  <w:vAlign w:val="center"/>
                </w:tcPr>
                <w:p w14:paraId="63E2E613">
                  <w:pPr>
                    <w:widowControl/>
                    <w:jc w:val="center"/>
                  </w:pPr>
                </w:p>
              </w:tc>
              <w:tc>
                <w:tcPr>
                  <w:tcW w:w="420" w:type="pct"/>
                  <w:vMerge w:val="continue"/>
                  <w:vAlign w:val="center"/>
                </w:tcPr>
                <w:p w14:paraId="12A15ECA">
                  <w:pPr>
                    <w:pStyle w:val="47"/>
                    <w:jc w:val="center"/>
                    <w:rPr>
                      <w:sz w:val="21"/>
                    </w:rPr>
                  </w:pPr>
                </w:p>
              </w:tc>
              <w:tc>
                <w:tcPr>
                  <w:tcW w:w="445" w:type="pct"/>
                  <w:vAlign w:val="center"/>
                </w:tcPr>
                <w:p w14:paraId="53BE36D6">
                  <w:pPr>
                    <w:jc w:val="center"/>
                  </w:pPr>
                  <w:r>
                    <w:t>桶装</w:t>
                  </w:r>
                </w:p>
              </w:tc>
              <w:tc>
                <w:tcPr>
                  <w:tcW w:w="412" w:type="pct"/>
                  <w:vAlign w:val="center"/>
                </w:tcPr>
                <w:p w14:paraId="434A8636">
                  <w:pPr>
                    <w:widowControl/>
                    <w:adjustRightInd w:val="0"/>
                    <w:snapToGrid w:val="0"/>
                    <w:jc w:val="center"/>
                    <w:textAlignment w:val="center"/>
                  </w:pPr>
                  <w:r>
                    <w:rPr>
                      <w:kern w:val="0"/>
                      <w:lang w:bidi="ar"/>
                    </w:rPr>
                    <w:t>0.</w:t>
                  </w:r>
                  <w:r>
                    <w:rPr>
                      <w:rFonts w:hint="eastAsia"/>
                      <w:kern w:val="0"/>
                      <w:lang w:bidi="ar"/>
                    </w:rPr>
                    <w:t>1</w:t>
                  </w:r>
                  <w:r>
                    <w:rPr>
                      <w:kern w:val="0"/>
                      <w:lang w:bidi="ar"/>
                    </w:rPr>
                    <w:t>t</w:t>
                  </w:r>
                </w:p>
              </w:tc>
              <w:tc>
                <w:tcPr>
                  <w:tcW w:w="419" w:type="pct"/>
                  <w:vAlign w:val="center"/>
                </w:tcPr>
                <w:p w14:paraId="1D0B909F">
                  <w:pPr>
                    <w:pStyle w:val="47"/>
                    <w:jc w:val="center"/>
                    <w:rPr>
                      <w:sz w:val="21"/>
                    </w:rPr>
                  </w:pPr>
                  <w:r>
                    <w:rPr>
                      <w:sz w:val="21"/>
                    </w:rPr>
                    <w:t>一年</w:t>
                  </w:r>
                </w:p>
              </w:tc>
            </w:tr>
          </w:tbl>
          <w:p w14:paraId="2F833A63">
            <w:pPr>
              <w:pStyle w:val="32"/>
              <w:widowControl w:val="0"/>
              <w:tabs>
                <w:tab w:val="left" w:pos="2940"/>
              </w:tabs>
              <w:adjustRightInd w:val="0"/>
              <w:snapToGrid w:val="0"/>
              <w:spacing w:before="120" w:beforeLines="50" w:beforeAutospacing="0" w:after="0" w:afterAutospacing="0" w:line="360" w:lineRule="auto"/>
              <w:ind w:firstLine="482" w:firstLineChars="200"/>
              <w:jc w:val="both"/>
              <w:rPr>
                <w:rFonts w:ascii="Times New Roman" w:hAnsi="Times New Roman" w:cs="Times New Roman"/>
                <w:b/>
                <w:bCs/>
              </w:rPr>
            </w:pPr>
            <w:r>
              <w:rPr>
                <w:rFonts w:ascii="Times New Roman" w:hAnsi="Times New Roman" w:cs="Times New Roman"/>
                <w:b/>
                <w:bCs/>
              </w:rPr>
              <w:t>（3）生活垃圾</w:t>
            </w:r>
            <w:r>
              <w:rPr>
                <w:rFonts w:hint="eastAsia" w:ascii="Times New Roman" w:hAnsi="Times New Roman" w:cs="Times New Roman"/>
                <w:b/>
                <w:bCs/>
              </w:rPr>
              <w:t xml:space="preserve"> </w:t>
            </w:r>
          </w:p>
          <w:p w14:paraId="5863B8BD">
            <w:pPr>
              <w:pStyle w:val="54"/>
              <w:ind w:firstLine="480"/>
              <w:rPr>
                <w:b w:val="0"/>
                <w:bCs w:val="0"/>
              </w:rPr>
            </w:pPr>
            <w:r>
              <w:rPr>
                <w:b w:val="0"/>
                <w:bCs w:val="0"/>
              </w:rPr>
              <w:t>员工日常生活过程中产生生活垃圾，按</w:t>
            </w:r>
            <w:r>
              <w:rPr>
                <w:rFonts w:hint="eastAsia"/>
                <w:b w:val="0"/>
                <w:bCs w:val="0"/>
              </w:rPr>
              <w:t>1</w:t>
            </w:r>
            <w:r>
              <w:rPr>
                <w:b w:val="0"/>
                <w:bCs w:val="0"/>
              </w:rPr>
              <w:t>kg/人</w:t>
            </w:r>
            <w:r>
              <w:rPr>
                <w:b w:val="0"/>
                <w:bCs w:val="0"/>
                <w:szCs w:val="21"/>
                <w:lang w:bidi="ar"/>
              </w:rPr>
              <w:t>·</w:t>
            </w:r>
            <w:r>
              <w:rPr>
                <w:b w:val="0"/>
                <w:bCs w:val="0"/>
              </w:rPr>
              <w:t>d计，</w:t>
            </w:r>
            <w:r>
              <w:rPr>
                <w:rFonts w:hint="eastAsia"/>
                <w:b w:val="0"/>
                <w:bCs w:val="0"/>
              </w:rPr>
              <w:t>改扩建</w:t>
            </w:r>
            <w:r>
              <w:rPr>
                <w:b w:val="0"/>
                <w:bCs w:val="0"/>
              </w:rPr>
              <w:t>项目员工共</w:t>
            </w:r>
            <w:r>
              <w:rPr>
                <w:rFonts w:hint="eastAsia"/>
                <w:b w:val="0"/>
                <w:bCs w:val="0"/>
              </w:rPr>
              <w:t>10</w:t>
            </w:r>
            <w:r>
              <w:rPr>
                <w:b w:val="0"/>
                <w:bCs w:val="0"/>
              </w:rPr>
              <w:t>人，年工作300</w:t>
            </w:r>
            <w:r>
              <w:rPr>
                <w:rFonts w:hint="eastAsia"/>
                <w:b w:val="0"/>
                <w:bCs w:val="0"/>
              </w:rPr>
              <w:t>天</w:t>
            </w:r>
            <w:r>
              <w:rPr>
                <w:b w:val="0"/>
                <w:bCs w:val="0"/>
              </w:rPr>
              <w:t>，则日常垃圾产生量约</w:t>
            </w:r>
            <w:r>
              <w:rPr>
                <w:rFonts w:hint="eastAsia"/>
                <w:b w:val="0"/>
                <w:bCs w:val="0"/>
              </w:rPr>
              <w:t>3</w:t>
            </w:r>
            <w:r>
              <w:rPr>
                <w:b w:val="0"/>
                <w:bCs w:val="0"/>
              </w:rPr>
              <w:t>t/a，收集后交由环卫部门处理。</w:t>
            </w:r>
          </w:p>
          <w:p w14:paraId="04B2FD29">
            <w:pPr>
              <w:pStyle w:val="54"/>
            </w:pPr>
            <w:r>
              <w:t>4.2固体废物</w:t>
            </w:r>
            <w:r>
              <w:rPr>
                <w:rFonts w:hint="eastAsia"/>
              </w:rPr>
              <w:t>产生情况</w:t>
            </w:r>
            <w:r>
              <w:t>汇总</w:t>
            </w:r>
          </w:p>
          <w:p w14:paraId="61A6C0D8">
            <w:pPr>
              <w:pStyle w:val="54"/>
              <w:ind w:firstLine="480"/>
              <w:rPr>
                <w:b w:val="0"/>
                <w:bCs w:val="0"/>
              </w:rPr>
            </w:pPr>
            <w:r>
              <w:rPr>
                <w:b w:val="0"/>
                <w:bCs w:val="0"/>
              </w:rPr>
              <w:t>根据上述分析，项目固体废物</w:t>
            </w:r>
            <w:r>
              <w:rPr>
                <w:rFonts w:hint="eastAsia"/>
                <w:b w:val="0"/>
                <w:bCs w:val="0"/>
              </w:rPr>
              <w:t>产生情况</w:t>
            </w:r>
            <w:r>
              <w:rPr>
                <w:b w:val="0"/>
                <w:bCs w:val="0"/>
              </w:rPr>
              <w:t>汇总见表</w:t>
            </w:r>
            <w:r>
              <w:rPr>
                <w:rFonts w:hint="eastAsia"/>
                <w:b w:val="0"/>
                <w:bCs w:val="0"/>
              </w:rPr>
              <w:t>4-22</w:t>
            </w:r>
            <w:r>
              <w:rPr>
                <w:b w:val="0"/>
                <w:bCs w:val="0"/>
              </w:rPr>
              <w:t>。</w:t>
            </w:r>
          </w:p>
          <w:p w14:paraId="55410C16">
            <w:pPr>
              <w:pStyle w:val="12"/>
              <w:spacing w:line="360" w:lineRule="auto"/>
              <w:ind w:left="0" w:leftChars="0" w:firstLine="0" w:firstLineChars="0"/>
              <w:jc w:val="center"/>
              <w:rPr>
                <w:b/>
              </w:rPr>
            </w:pPr>
            <w:r>
              <w:rPr>
                <w:b/>
              </w:rPr>
              <w:t>表</w:t>
            </w:r>
            <w:r>
              <w:rPr>
                <w:rFonts w:hint="eastAsia"/>
                <w:b/>
              </w:rPr>
              <w:t>4-22</w:t>
            </w:r>
            <w:r>
              <w:rPr>
                <w:b/>
              </w:rPr>
              <w:t xml:space="preserve"> 项目固废产生情况一览表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710"/>
              <w:gridCol w:w="1423"/>
              <w:gridCol w:w="1558"/>
              <w:gridCol w:w="906"/>
              <w:gridCol w:w="695"/>
              <w:gridCol w:w="855"/>
              <w:gridCol w:w="1304"/>
            </w:tblGrid>
            <w:tr w14:paraId="41A04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Align w:val="center"/>
                </w:tcPr>
                <w:p w14:paraId="3B799E3B">
                  <w:pPr>
                    <w:widowControl/>
                    <w:topLinePunct/>
                    <w:adjustRightInd w:val="0"/>
                    <w:snapToGrid w:val="0"/>
                    <w:jc w:val="center"/>
                    <w:rPr>
                      <w:b/>
                      <w:bCs/>
                      <w:kern w:val="0"/>
                    </w:rPr>
                  </w:pPr>
                  <w:r>
                    <w:rPr>
                      <w:rFonts w:hint="eastAsia"/>
                      <w:b/>
                      <w:bCs/>
                      <w:kern w:val="0"/>
                      <w:lang w:bidi="ar"/>
                    </w:rPr>
                    <w:t>固体</w:t>
                  </w:r>
                  <w:r>
                    <w:rPr>
                      <w:b/>
                      <w:bCs/>
                      <w:kern w:val="0"/>
                      <w:lang w:bidi="ar"/>
                    </w:rPr>
                    <w:t>废物名称</w:t>
                  </w:r>
                </w:p>
              </w:tc>
              <w:tc>
                <w:tcPr>
                  <w:tcW w:w="415" w:type="pct"/>
                  <w:vAlign w:val="center"/>
                </w:tcPr>
                <w:p w14:paraId="43B80909">
                  <w:pPr>
                    <w:widowControl/>
                    <w:topLinePunct/>
                    <w:adjustRightInd w:val="0"/>
                    <w:snapToGrid w:val="0"/>
                    <w:jc w:val="center"/>
                    <w:rPr>
                      <w:b/>
                      <w:bCs/>
                      <w:kern w:val="0"/>
                      <w:lang w:bidi="ar"/>
                    </w:rPr>
                  </w:pPr>
                  <w:r>
                    <w:rPr>
                      <w:b/>
                      <w:bCs/>
                      <w:kern w:val="0"/>
                      <w:lang w:bidi="ar"/>
                    </w:rPr>
                    <w:t>废物</w:t>
                  </w:r>
                </w:p>
                <w:p w14:paraId="063F82AD">
                  <w:pPr>
                    <w:widowControl/>
                    <w:topLinePunct/>
                    <w:adjustRightInd w:val="0"/>
                    <w:snapToGrid w:val="0"/>
                    <w:jc w:val="center"/>
                    <w:rPr>
                      <w:b/>
                      <w:bCs/>
                      <w:kern w:val="0"/>
                    </w:rPr>
                  </w:pPr>
                  <w:r>
                    <w:rPr>
                      <w:b/>
                      <w:bCs/>
                      <w:kern w:val="0"/>
                      <w:lang w:bidi="ar"/>
                    </w:rPr>
                    <w:t>类型</w:t>
                  </w:r>
                </w:p>
              </w:tc>
              <w:tc>
                <w:tcPr>
                  <w:tcW w:w="832" w:type="pct"/>
                  <w:vAlign w:val="center"/>
                </w:tcPr>
                <w:p w14:paraId="4D84E99C">
                  <w:pPr>
                    <w:widowControl/>
                    <w:topLinePunct/>
                    <w:adjustRightInd w:val="0"/>
                    <w:snapToGrid w:val="0"/>
                    <w:jc w:val="center"/>
                    <w:rPr>
                      <w:b/>
                      <w:bCs/>
                      <w:kern w:val="0"/>
                    </w:rPr>
                  </w:pPr>
                  <w:r>
                    <w:rPr>
                      <w:rFonts w:hint="eastAsia"/>
                      <w:b/>
                      <w:bCs/>
                      <w:kern w:val="0"/>
                      <w:lang w:bidi="ar"/>
                    </w:rPr>
                    <w:t>废物</w:t>
                  </w:r>
                  <w:r>
                    <w:rPr>
                      <w:b/>
                      <w:bCs/>
                      <w:kern w:val="0"/>
                      <w:lang w:bidi="ar"/>
                    </w:rPr>
                    <w:t>代码</w:t>
                  </w:r>
                </w:p>
              </w:tc>
              <w:tc>
                <w:tcPr>
                  <w:tcW w:w="911" w:type="pct"/>
                  <w:vAlign w:val="center"/>
                </w:tcPr>
                <w:p w14:paraId="7F02D970">
                  <w:pPr>
                    <w:widowControl/>
                    <w:topLinePunct/>
                    <w:adjustRightInd w:val="0"/>
                    <w:snapToGrid w:val="0"/>
                    <w:jc w:val="center"/>
                    <w:rPr>
                      <w:b/>
                      <w:bCs/>
                      <w:kern w:val="0"/>
                      <w:lang w:bidi="ar"/>
                    </w:rPr>
                  </w:pPr>
                  <w:r>
                    <w:rPr>
                      <w:rFonts w:hint="eastAsia"/>
                      <w:b/>
                      <w:bCs/>
                      <w:kern w:val="0"/>
                      <w:lang w:bidi="ar"/>
                    </w:rPr>
                    <w:t>产污环节</w:t>
                  </w:r>
                </w:p>
              </w:tc>
              <w:tc>
                <w:tcPr>
                  <w:tcW w:w="530" w:type="pct"/>
                  <w:vAlign w:val="center"/>
                </w:tcPr>
                <w:p w14:paraId="2B5CA0BD">
                  <w:pPr>
                    <w:widowControl/>
                    <w:topLinePunct/>
                    <w:adjustRightInd w:val="0"/>
                    <w:snapToGrid w:val="0"/>
                    <w:jc w:val="center"/>
                    <w:rPr>
                      <w:b/>
                      <w:bCs/>
                      <w:kern w:val="0"/>
                      <w:lang w:bidi="ar"/>
                    </w:rPr>
                  </w:pPr>
                  <w:r>
                    <w:rPr>
                      <w:b/>
                      <w:bCs/>
                      <w:kern w:val="0"/>
                      <w:lang w:bidi="ar"/>
                    </w:rPr>
                    <w:t>产生量</w:t>
                  </w:r>
                </w:p>
                <w:p w14:paraId="1B8F40AA">
                  <w:pPr>
                    <w:widowControl/>
                    <w:topLinePunct/>
                    <w:adjustRightInd w:val="0"/>
                    <w:snapToGrid w:val="0"/>
                    <w:jc w:val="center"/>
                    <w:rPr>
                      <w:b/>
                      <w:bCs/>
                      <w:kern w:val="0"/>
                    </w:rPr>
                  </w:pPr>
                  <w:r>
                    <w:rPr>
                      <w:rFonts w:hint="eastAsia"/>
                      <w:b/>
                      <w:bCs/>
                      <w:kern w:val="0"/>
                      <w:lang w:bidi="ar"/>
                    </w:rPr>
                    <w:t>（</w:t>
                  </w:r>
                  <w:r>
                    <w:rPr>
                      <w:b/>
                      <w:bCs/>
                      <w:kern w:val="0"/>
                      <w:lang w:bidi="ar"/>
                    </w:rPr>
                    <w:t>t/a</w:t>
                  </w:r>
                  <w:r>
                    <w:rPr>
                      <w:rFonts w:hint="eastAsia"/>
                      <w:b/>
                      <w:bCs/>
                      <w:kern w:val="0"/>
                      <w:lang w:bidi="ar"/>
                    </w:rPr>
                    <w:t>）</w:t>
                  </w:r>
                </w:p>
              </w:tc>
              <w:tc>
                <w:tcPr>
                  <w:tcW w:w="406" w:type="pct"/>
                  <w:vAlign w:val="center"/>
                </w:tcPr>
                <w:p w14:paraId="61B0709B">
                  <w:pPr>
                    <w:widowControl/>
                    <w:topLinePunct/>
                    <w:adjustRightInd w:val="0"/>
                    <w:snapToGrid w:val="0"/>
                    <w:jc w:val="center"/>
                    <w:rPr>
                      <w:b/>
                      <w:bCs/>
                      <w:kern w:val="0"/>
                      <w:lang w:bidi="ar"/>
                    </w:rPr>
                  </w:pPr>
                  <w:r>
                    <w:rPr>
                      <w:rFonts w:hint="eastAsia"/>
                      <w:b/>
                      <w:bCs/>
                      <w:kern w:val="0"/>
                      <w:lang w:bidi="ar"/>
                    </w:rPr>
                    <w:t>物理</w:t>
                  </w:r>
                </w:p>
                <w:p w14:paraId="48DCC2A6">
                  <w:pPr>
                    <w:widowControl/>
                    <w:topLinePunct/>
                    <w:adjustRightInd w:val="0"/>
                    <w:snapToGrid w:val="0"/>
                    <w:jc w:val="center"/>
                    <w:rPr>
                      <w:b/>
                      <w:bCs/>
                      <w:kern w:val="0"/>
                    </w:rPr>
                  </w:pPr>
                  <w:r>
                    <w:rPr>
                      <w:rFonts w:hint="eastAsia"/>
                      <w:b/>
                      <w:bCs/>
                      <w:kern w:val="0"/>
                      <w:lang w:bidi="ar"/>
                    </w:rPr>
                    <w:t>性状</w:t>
                  </w:r>
                </w:p>
              </w:tc>
              <w:tc>
                <w:tcPr>
                  <w:tcW w:w="500" w:type="pct"/>
                  <w:vAlign w:val="center"/>
                </w:tcPr>
                <w:p w14:paraId="58243A10">
                  <w:pPr>
                    <w:widowControl/>
                    <w:topLinePunct/>
                    <w:adjustRightInd w:val="0"/>
                    <w:snapToGrid w:val="0"/>
                    <w:jc w:val="center"/>
                    <w:rPr>
                      <w:b/>
                      <w:bCs/>
                      <w:kern w:val="0"/>
                      <w:lang w:bidi="ar"/>
                    </w:rPr>
                  </w:pPr>
                  <w:r>
                    <w:rPr>
                      <w:b/>
                      <w:bCs/>
                      <w:kern w:val="0"/>
                      <w:lang w:bidi="ar"/>
                    </w:rPr>
                    <w:t>产废</w:t>
                  </w:r>
                </w:p>
                <w:p w14:paraId="00D456E7">
                  <w:pPr>
                    <w:widowControl/>
                    <w:topLinePunct/>
                    <w:adjustRightInd w:val="0"/>
                    <w:snapToGrid w:val="0"/>
                    <w:jc w:val="center"/>
                    <w:rPr>
                      <w:b/>
                      <w:bCs/>
                      <w:kern w:val="0"/>
                    </w:rPr>
                  </w:pPr>
                  <w:r>
                    <w:rPr>
                      <w:b/>
                      <w:bCs/>
                      <w:kern w:val="0"/>
                      <w:lang w:bidi="ar"/>
                    </w:rPr>
                    <w:t>周期</w:t>
                  </w:r>
                </w:p>
              </w:tc>
              <w:tc>
                <w:tcPr>
                  <w:tcW w:w="762" w:type="pct"/>
                  <w:vAlign w:val="center"/>
                </w:tcPr>
                <w:p w14:paraId="6D167C49">
                  <w:pPr>
                    <w:widowControl/>
                    <w:topLinePunct/>
                    <w:adjustRightInd w:val="0"/>
                    <w:snapToGrid w:val="0"/>
                    <w:jc w:val="center"/>
                    <w:rPr>
                      <w:b/>
                      <w:bCs/>
                      <w:kern w:val="0"/>
                    </w:rPr>
                  </w:pPr>
                  <w:r>
                    <w:rPr>
                      <w:rFonts w:hint="eastAsia"/>
                      <w:b/>
                      <w:bCs/>
                      <w:kern w:val="0"/>
                    </w:rPr>
                    <w:t>处置方式</w:t>
                  </w:r>
                </w:p>
                <w:p w14:paraId="12AAE858">
                  <w:pPr>
                    <w:widowControl/>
                    <w:topLinePunct/>
                    <w:adjustRightInd w:val="0"/>
                    <w:snapToGrid w:val="0"/>
                    <w:jc w:val="center"/>
                    <w:rPr>
                      <w:b/>
                      <w:bCs/>
                      <w:kern w:val="0"/>
                    </w:rPr>
                  </w:pPr>
                  <w:r>
                    <w:rPr>
                      <w:rFonts w:hint="eastAsia"/>
                      <w:b/>
                      <w:bCs/>
                      <w:kern w:val="0"/>
                    </w:rPr>
                    <w:t>和去向</w:t>
                  </w:r>
                </w:p>
              </w:tc>
            </w:tr>
            <w:tr w14:paraId="2F06C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Align w:val="center"/>
                </w:tcPr>
                <w:p w14:paraId="3C9D98D3">
                  <w:pPr>
                    <w:autoSpaceDE w:val="0"/>
                    <w:autoSpaceDN w:val="0"/>
                    <w:adjustRightInd w:val="0"/>
                    <w:snapToGrid w:val="0"/>
                    <w:jc w:val="center"/>
                    <w:textAlignment w:val="baseline"/>
                  </w:pPr>
                  <w:r>
                    <w:rPr>
                      <w:lang w:bidi="ar"/>
                    </w:rPr>
                    <w:t>白土渣</w:t>
                  </w:r>
                </w:p>
              </w:tc>
              <w:tc>
                <w:tcPr>
                  <w:tcW w:w="415" w:type="pct"/>
                  <w:vMerge w:val="restart"/>
                  <w:vAlign w:val="center"/>
                </w:tcPr>
                <w:p w14:paraId="04FC991E">
                  <w:pPr>
                    <w:widowControl/>
                    <w:topLinePunct/>
                    <w:adjustRightInd w:val="0"/>
                    <w:snapToGrid w:val="0"/>
                    <w:jc w:val="center"/>
                  </w:pPr>
                  <w:r>
                    <w:rPr>
                      <w:lang w:bidi="ar"/>
                    </w:rPr>
                    <w:t>一般</w:t>
                  </w:r>
                  <w:r>
                    <w:rPr>
                      <w:rFonts w:hint="eastAsia"/>
                      <w:lang w:bidi="ar"/>
                    </w:rPr>
                    <w:t>工业</w:t>
                  </w:r>
                  <w:r>
                    <w:rPr>
                      <w:lang w:bidi="ar"/>
                    </w:rPr>
                    <w:t>固体废物</w:t>
                  </w:r>
                </w:p>
              </w:tc>
              <w:tc>
                <w:tcPr>
                  <w:tcW w:w="832" w:type="pct"/>
                  <w:vAlign w:val="center"/>
                </w:tcPr>
                <w:p w14:paraId="698ACBCB">
                  <w:pPr>
                    <w:autoSpaceDE w:val="0"/>
                    <w:autoSpaceDN w:val="0"/>
                    <w:adjustRightInd w:val="0"/>
                    <w:snapToGrid w:val="0"/>
                    <w:jc w:val="center"/>
                    <w:textAlignment w:val="baseline"/>
                    <w:rPr>
                      <w:lang w:bidi="ar"/>
                    </w:rPr>
                  </w:pPr>
                  <w:r>
                    <w:rPr>
                      <w:bCs/>
                      <w:lang w:bidi="ar"/>
                    </w:rPr>
                    <w:t>900-099-S59</w:t>
                  </w:r>
                </w:p>
              </w:tc>
              <w:tc>
                <w:tcPr>
                  <w:tcW w:w="911" w:type="pct"/>
                  <w:vAlign w:val="center"/>
                </w:tcPr>
                <w:p w14:paraId="0CB917EC">
                  <w:pPr>
                    <w:widowControl/>
                    <w:adjustRightInd w:val="0"/>
                    <w:snapToGrid w:val="0"/>
                    <w:jc w:val="center"/>
                    <w:textAlignment w:val="center"/>
                    <w:rPr>
                      <w:kern w:val="0"/>
                      <w:lang w:bidi="ar"/>
                    </w:rPr>
                  </w:pPr>
                  <w:r>
                    <w:rPr>
                      <w:rFonts w:hint="eastAsia"/>
                      <w:kern w:val="0"/>
                    </w:rPr>
                    <w:t>废白土加工</w:t>
                  </w:r>
                </w:p>
              </w:tc>
              <w:tc>
                <w:tcPr>
                  <w:tcW w:w="530" w:type="pct"/>
                  <w:vAlign w:val="center"/>
                </w:tcPr>
                <w:p w14:paraId="33D75ECD">
                  <w:pPr>
                    <w:widowControl/>
                    <w:adjustRightInd w:val="0"/>
                    <w:snapToGrid w:val="0"/>
                    <w:jc w:val="center"/>
                    <w:textAlignment w:val="center"/>
                    <w:rPr>
                      <w:kern w:val="0"/>
                    </w:rPr>
                  </w:pPr>
                  <w:r>
                    <w:rPr>
                      <w:rFonts w:hint="eastAsia"/>
                      <w:kern w:val="0"/>
                      <w:lang w:bidi="ar"/>
                    </w:rPr>
                    <w:t>28813</w:t>
                  </w:r>
                </w:p>
              </w:tc>
              <w:tc>
                <w:tcPr>
                  <w:tcW w:w="406" w:type="pct"/>
                  <w:vAlign w:val="center"/>
                </w:tcPr>
                <w:p w14:paraId="685C9C70">
                  <w:pPr>
                    <w:widowControl/>
                    <w:topLinePunct/>
                    <w:adjustRightInd w:val="0"/>
                    <w:snapToGrid w:val="0"/>
                    <w:jc w:val="center"/>
                    <w:rPr>
                      <w:kern w:val="0"/>
                    </w:rPr>
                  </w:pPr>
                  <w:r>
                    <w:rPr>
                      <w:kern w:val="0"/>
                      <w:lang w:bidi="ar"/>
                    </w:rPr>
                    <w:t>固态</w:t>
                  </w:r>
                </w:p>
              </w:tc>
              <w:tc>
                <w:tcPr>
                  <w:tcW w:w="500" w:type="pct"/>
                  <w:vAlign w:val="center"/>
                </w:tcPr>
                <w:p w14:paraId="43EA56D8">
                  <w:pPr>
                    <w:widowControl/>
                    <w:topLinePunct/>
                    <w:adjustRightInd w:val="0"/>
                    <w:snapToGrid w:val="0"/>
                    <w:jc w:val="center"/>
                    <w:rPr>
                      <w:kern w:val="0"/>
                    </w:rPr>
                  </w:pPr>
                  <w:r>
                    <w:rPr>
                      <w:kern w:val="0"/>
                    </w:rPr>
                    <w:t>每天</w:t>
                  </w:r>
                </w:p>
              </w:tc>
              <w:tc>
                <w:tcPr>
                  <w:tcW w:w="762" w:type="pct"/>
                  <w:vMerge w:val="restart"/>
                  <w:vAlign w:val="center"/>
                </w:tcPr>
                <w:p w14:paraId="1012745D">
                  <w:pPr>
                    <w:widowControl/>
                    <w:topLinePunct/>
                    <w:adjustRightInd w:val="0"/>
                    <w:snapToGrid w:val="0"/>
                    <w:jc w:val="center"/>
                  </w:pPr>
                  <w:r>
                    <w:rPr>
                      <w:lang w:bidi="ar"/>
                    </w:rPr>
                    <w:t>交由专业公司回收</w:t>
                  </w:r>
                  <w:r>
                    <w:rPr>
                      <w:rFonts w:hint="eastAsia"/>
                      <w:lang w:bidi="ar"/>
                    </w:rPr>
                    <w:t>利用</w:t>
                  </w:r>
                </w:p>
              </w:tc>
            </w:tr>
            <w:tr w14:paraId="7F9FC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Align w:val="center"/>
                </w:tcPr>
                <w:p w14:paraId="327602BF">
                  <w:pPr>
                    <w:autoSpaceDE w:val="0"/>
                    <w:autoSpaceDN w:val="0"/>
                    <w:adjustRightInd w:val="0"/>
                    <w:snapToGrid w:val="0"/>
                    <w:jc w:val="center"/>
                    <w:textAlignment w:val="baseline"/>
                    <w:rPr>
                      <w:lang w:bidi="ar"/>
                    </w:rPr>
                  </w:pPr>
                  <w:r>
                    <w:rPr>
                      <w:rFonts w:hint="eastAsia"/>
                      <w:lang w:bidi="ar"/>
                    </w:rPr>
                    <w:t>炉渣</w:t>
                  </w:r>
                </w:p>
              </w:tc>
              <w:tc>
                <w:tcPr>
                  <w:tcW w:w="415" w:type="pct"/>
                  <w:vMerge w:val="continue"/>
                  <w:vAlign w:val="center"/>
                </w:tcPr>
                <w:p w14:paraId="74541DDE">
                  <w:pPr>
                    <w:autoSpaceDE w:val="0"/>
                    <w:autoSpaceDN w:val="0"/>
                    <w:adjustRightInd w:val="0"/>
                    <w:snapToGrid w:val="0"/>
                    <w:jc w:val="center"/>
                    <w:textAlignment w:val="baseline"/>
                    <w:rPr>
                      <w:lang w:bidi="ar"/>
                    </w:rPr>
                  </w:pPr>
                </w:p>
              </w:tc>
              <w:tc>
                <w:tcPr>
                  <w:tcW w:w="832" w:type="pct"/>
                  <w:vAlign w:val="center"/>
                </w:tcPr>
                <w:p w14:paraId="5A0ACE99">
                  <w:pPr>
                    <w:autoSpaceDE w:val="0"/>
                    <w:autoSpaceDN w:val="0"/>
                    <w:adjustRightInd w:val="0"/>
                    <w:snapToGrid w:val="0"/>
                    <w:jc w:val="center"/>
                    <w:textAlignment w:val="baseline"/>
                    <w:rPr>
                      <w:lang w:bidi="ar"/>
                    </w:rPr>
                  </w:pPr>
                  <w:r>
                    <w:rPr>
                      <w:bCs/>
                      <w:lang w:bidi="ar"/>
                    </w:rPr>
                    <w:t>900-099-S03</w:t>
                  </w:r>
                </w:p>
              </w:tc>
              <w:tc>
                <w:tcPr>
                  <w:tcW w:w="911" w:type="pct"/>
                  <w:vAlign w:val="center"/>
                </w:tcPr>
                <w:p w14:paraId="6BA4B4A5">
                  <w:pPr>
                    <w:autoSpaceDE w:val="0"/>
                    <w:autoSpaceDN w:val="0"/>
                    <w:adjustRightInd w:val="0"/>
                    <w:snapToGrid w:val="0"/>
                    <w:jc w:val="center"/>
                    <w:textAlignment w:val="baseline"/>
                    <w:rPr>
                      <w:lang w:bidi="ar"/>
                    </w:rPr>
                  </w:pPr>
                  <w:r>
                    <w:rPr>
                      <w:rFonts w:hint="eastAsia"/>
                      <w:lang w:bidi="ar"/>
                    </w:rPr>
                    <w:t>锅炉</w:t>
                  </w:r>
                </w:p>
              </w:tc>
              <w:tc>
                <w:tcPr>
                  <w:tcW w:w="530" w:type="pct"/>
                  <w:vAlign w:val="center"/>
                </w:tcPr>
                <w:p w14:paraId="28B321D1">
                  <w:pPr>
                    <w:autoSpaceDE w:val="0"/>
                    <w:autoSpaceDN w:val="0"/>
                    <w:adjustRightInd w:val="0"/>
                    <w:snapToGrid w:val="0"/>
                    <w:jc w:val="center"/>
                    <w:textAlignment w:val="baseline"/>
                    <w:rPr>
                      <w:lang w:bidi="ar"/>
                    </w:rPr>
                  </w:pPr>
                  <w:r>
                    <w:rPr>
                      <w:rFonts w:hint="eastAsia"/>
                      <w:lang w:bidi="ar"/>
                    </w:rPr>
                    <w:t>219</w:t>
                  </w:r>
                </w:p>
              </w:tc>
              <w:tc>
                <w:tcPr>
                  <w:tcW w:w="406" w:type="pct"/>
                  <w:vAlign w:val="center"/>
                </w:tcPr>
                <w:p w14:paraId="7B251CC6">
                  <w:pPr>
                    <w:autoSpaceDE w:val="0"/>
                    <w:autoSpaceDN w:val="0"/>
                    <w:adjustRightInd w:val="0"/>
                    <w:snapToGrid w:val="0"/>
                    <w:jc w:val="center"/>
                    <w:textAlignment w:val="baseline"/>
                    <w:rPr>
                      <w:lang w:bidi="ar"/>
                    </w:rPr>
                  </w:pPr>
                  <w:r>
                    <w:rPr>
                      <w:lang w:bidi="ar"/>
                    </w:rPr>
                    <w:t>固态</w:t>
                  </w:r>
                </w:p>
              </w:tc>
              <w:tc>
                <w:tcPr>
                  <w:tcW w:w="500" w:type="pct"/>
                  <w:vAlign w:val="center"/>
                </w:tcPr>
                <w:p w14:paraId="59CDCD91">
                  <w:pPr>
                    <w:autoSpaceDE w:val="0"/>
                    <w:autoSpaceDN w:val="0"/>
                    <w:adjustRightInd w:val="0"/>
                    <w:snapToGrid w:val="0"/>
                    <w:jc w:val="center"/>
                    <w:textAlignment w:val="baseline"/>
                    <w:rPr>
                      <w:lang w:bidi="ar"/>
                    </w:rPr>
                  </w:pPr>
                  <w:r>
                    <w:rPr>
                      <w:kern w:val="0"/>
                    </w:rPr>
                    <w:t>每天</w:t>
                  </w:r>
                </w:p>
              </w:tc>
              <w:tc>
                <w:tcPr>
                  <w:tcW w:w="762" w:type="pct"/>
                  <w:vMerge w:val="continue"/>
                  <w:vAlign w:val="center"/>
                </w:tcPr>
                <w:p w14:paraId="47541468">
                  <w:pPr>
                    <w:autoSpaceDE w:val="0"/>
                    <w:autoSpaceDN w:val="0"/>
                    <w:adjustRightInd w:val="0"/>
                    <w:snapToGrid w:val="0"/>
                    <w:jc w:val="center"/>
                    <w:textAlignment w:val="baseline"/>
                    <w:rPr>
                      <w:lang w:bidi="ar"/>
                    </w:rPr>
                  </w:pPr>
                </w:p>
              </w:tc>
            </w:tr>
            <w:tr w14:paraId="4FA70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Align w:val="center"/>
                </w:tcPr>
                <w:p w14:paraId="40915249">
                  <w:pPr>
                    <w:autoSpaceDE w:val="0"/>
                    <w:autoSpaceDN w:val="0"/>
                    <w:adjustRightInd w:val="0"/>
                    <w:snapToGrid w:val="0"/>
                    <w:jc w:val="center"/>
                    <w:textAlignment w:val="baseline"/>
                  </w:pPr>
                  <w:r>
                    <w:t>废活性炭</w:t>
                  </w:r>
                </w:p>
              </w:tc>
              <w:tc>
                <w:tcPr>
                  <w:tcW w:w="415" w:type="pct"/>
                  <w:vMerge w:val="restart"/>
                  <w:vAlign w:val="center"/>
                </w:tcPr>
                <w:p w14:paraId="220E9C9A">
                  <w:pPr>
                    <w:widowControl/>
                    <w:adjustRightInd w:val="0"/>
                    <w:snapToGrid w:val="0"/>
                    <w:jc w:val="center"/>
                  </w:pPr>
                  <w:r>
                    <w:rPr>
                      <w:rFonts w:hint="eastAsia"/>
                    </w:rPr>
                    <w:t>危险废物</w:t>
                  </w:r>
                </w:p>
              </w:tc>
              <w:tc>
                <w:tcPr>
                  <w:tcW w:w="832" w:type="pct"/>
                  <w:vAlign w:val="center"/>
                </w:tcPr>
                <w:p w14:paraId="259A90DF">
                  <w:pPr>
                    <w:widowControl/>
                    <w:topLinePunct/>
                    <w:adjustRightInd w:val="0"/>
                    <w:snapToGrid w:val="0"/>
                    <w:jc w:val="center"/>
                  </w:pPr>
                  <w:r>
                    <w:rPr>
                      <w:kern w:val="0"/>
                      <w:lang w:bidi="ar"/>
                    </w:rPr>
                    <w:t>900-039-49</w:t>
                  </w:r>
                </w:p>
              </w:tc>
              <w:tc>
                <w:tcPr>
                  <w:tcW w:w="911" w:type="pct"/>
                  <w:vAlign w:val="center"/>
                </w:tcPr>
                <w:p w14:paraId="35B47515">
                  <w:pPr>
                    <w:widowControl/>
                    <w:adjustRightInd w:val="0"/>
                    <w:snapToGrid w:val="0"/>
                    <w:jc w:val="center"/>
                    <w:textAlignment w:val="center"/>
                    <w:rPr>
                      <w:kern w:val="0"/>
                      <w:lang w:bidi="ar"/>
                    </w:rPr>
                  </w:pPr>
                  <w:r>
                    <w:rPr>
                      <w:kern w:val="0"/>
                      <w:lang w:bidi="ar"/>
                    </w:rPr>
                    <w:t>废气</w:t>
                  </w:r>
                  <w:r>
                    <w:rPr>
                      <w:rFonts w:hint="eastAsia"/>
                      <w:kern w:val="0"/>
                      <w:lang w:bidi="ar"/>
                    </w:rPr>
                    <w:t>处理</w:t>
                  </w:r>
                  <w:r>
                    <w:rPr>
                      <w:kern w:val="0"/>
                      <w:lang w:bidi="ar"/>
                    </w:rPr>
                    <w:t>设施</w:t>
                  </w:r>
                </w:p>
              </w:tc>
              <w:tc>
                <w:tcPr>
                  <w:tcW w:w="530" w:type="pct"/>
                  <w:vAlign w:val="center"/>
                </w:tcPr>
                <w:p w14:paraId="66FC77B3">
                  <w:pPr>
                    <w:widowControl/>
                    <w:adjustRightInd w:val="0"/>
                    <w:snapToGrid w:val="0"/>
                    <w:jc w:val="center"/>
                    <w:textAlignment w:val="center"/>
                    <w:rPr>
                      <w:kern w:val="0"/>
                      <w:lang w:bidi="ar"/>
                    </w:rPr>
                  </w:pPr>
                  <w:r>
                    <w:rPr>
                      <w:rFonts w:hint="eastAsia"/>
                    </w:rPr>
                    <w:t>11.17</w:t>
                  </w:r>
                </w:p>
              </w:tc>
              <w:tc>
                <w:tcPr>
                  <w:tcW w:w="406" w:type="pct"/>
                  <w:vAlign w:val="center"/>
                </w:tcPr>
                <w:p w14:paraId="7E88FC65">
                  <w:pPr>
                    <w:widowControl/>
                    <w:topLinePunct/>
                    <w:adjustRightInd w:val="0"/>
                    <w:snapToGrid w:val="0"/>
                    <w:jc w:val="center"/>
                    <w:rPr>
                      <w:kern w:val="0"/>
                    </w:rPr>
                  </w:pPr>
                  <w:r>
                    <w:rPr>
                      <w:kern w:val="0"/>
                      <w:lang w:bidi="ar"/>
                    </w:rPr>
                    <w:t>固态</w:t>
                  </w:r>
                </w:p>
              </w:tc>
              <w:tc>
                <w:tcPr>
                  <w:tcW w:w="500" w:type="pct"/>
                  <w:vAlign w:val="center"/>
                </w:tcPr>
                <w:p w14:paraId="68479DE2">
                  <w:pPr>
                    <w:widowControl/>
                    <w:topLinePunct/>
                    <w:adjustRightInd w:val="0"/>
                    <w:snapToGrid w:val="0"/>
                    <w:jc w:val="center"/>
                    <w:rPr>
                      <w:kern w:val="0"/>
                    </w:rPr>
                  </w:pPr>
                  <w:r>
                    <w:rPr>
                      <w:rFonts w:hint="eastAsia"/>
                      <w:kern w:val="0"/>
                      <w:lang w:bidi="ar"/>
                    </w:rPr>
                    <w:t>4</w:t>
                  </w:r>
                  <w:r>
                    <w:rPr>
                      <w:kern w:val="0"/>
                      <w:lang w:bidi="ar"/>
                    </w:rPr>
                    <w:t>个月</w:t>
                  </w:r>
                </w:p>
              </w:tc>
              <w:tc>
                <w:tcPr>
                  <w:tcW w:w="762" w:type="pct"/>
                  <w:vMerge w:val="restart"/>
                  <w:vAlign w:val="center"/>
                </w:tcPr>
                <w:p w14:paraId="1E80D639">
                  <w:pPr>
                    <w:widowControl/>
                    <w:topLinePunct/>
                    <w:adjustRightInd w:val="0"/>
                    <w:snapToGrid w:val="0"/>
                    <w:jc w:val="center"/>
                    <w:rPr>
                      <w:kern w:val="0"/>
                    </w:rPr>
                  </w:pPr>
                  <w:r>
                    <w:rPr>
                      <w:kern w:val="0"/>
                    </w:rPr>
                    <w:t>定期</w:t>
                  </w:r>
                  <w:r>
                    <w:rPr>
                      <w:rFonts w:hint="eastAsia"/>
                      <w:kern w:val="0"/>
                    </w:rPr>
                    <w:t>交由</w:t>
                  </w:r>
                  <w:r>
                    <w:rPr>
                      <w:kern w:val="0"/>
                    </w:rPr>
                    <w:t>有危险废物处理资质的单位处理</w:t>
                  </w:r>
                </w:p>
              </w:tc>
            </w:tr>
            <w:tr w14:paraId="08C40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Align w:val="center"/>
                </w:tcPr>
                <w:p w14:paraId="62D99BEB">
                  <w:pPr>
                    <w:autoSpaceDE w:val="0"/>
                    <w:autoSpaceDN w:val="0"/>
                    <w:adjustRightInd w:val="0"/>
                    <w:snapToGrid w:val="0"/>
                    <w:jc w:val="center"/>
                    <w:textAlignment w:val="baseline"/>
                  </w:pPr>
                  <w:r>
                    <w:t>废机油</w:t>
                  </w:r>
                </w:p>
              </w:tc>
              <w:tc>
                <w:tcPr>
                  <w:tcW w:w="415" w:type="pct"/>
                  <w:vMerge w:val="continue"/>
                  <w:vAlign w:val="center"/>
                </w:tcPr>
                <w:p w14:paraId="513F6022">
                  <w:pPr>
                    <w:widowControl/>
                    <w:adjustRightInd w:val="0"/>
                    <w:snapToGrid w:val="0"/>
                    <w:jc w:val="center"/>
                  </w:pPr>
                </w:p>
              </w:tc>
              <w:tc>
                <w:tcPr>
                  <w:tcW w:w="832" w:type="pct"/>
                  <w:vAlign w:val="center"/>
                </w:tcPr>
                <w:p w14:paraId="0757E96C">
                  <w:pPr>
                    <w:widowControl/>
                    <w:topLinePunct/>
                    <w:adjustRightInd w:val="0"/>
                    <w:snapToGrid w:val="0"/>
                    <w:jc w:val="center"/>
                  </w:pPr>
                  <w:r>
                    <w:t>900-214-08</w:t>
                  </w:r>
                </w:p>
              </w:tc>
              <w:tc>
                <w:tcPr>
                  <w:tcW w:w="911" w:type="pct"/>
                  <w:vAlign w:val="center"/>
                </w:tcPr>
                <w:p w14:paraId="52A28B61">
                  <w:pPr>
                    <w:widowControl/>
                    <w:adjustRightInd w:val="0"/>
                    <w:snapToGrid w:val="0"/>
                    <w:jc w:val="center"/>
                    <w:textAlignment w:val="center"/>
                    <w:rPr>
                      <w:kern w:val="0"/>
                      <w:lang w:bidi="ar"/>
                    </w:rPr>
                  </w:pPr>
                  <w:r>
                    <w:rPr>
                      <w:kern w:val="0"/>
                      <w:lang w:bidi="ar"/>
                    </w:rPr>
                    <w:t>设备维修保养</w:t>
                  </w:r>
                </w:p>
              </w:tc>
              <w:tc>
                <w:tcPr>
                  <w:tcW w:w="530" w:type="pct"/>
                  <w:vAlign w:val="center"/>
                </w:tcPr>
                <w:p w14:paraId="40C9FC74">
                  <w:pPr>
                    <w:widowControl/>
                    <w:adjustRightInd w:val="0"/>
                    <w:snapToGrid w:val="0"/>
                    <w:jc w:val="center"/>
                    <w:textAlignment w:val="center"/>
                    <w:rPr>
                      <w:kern w:val="0"/>
                      <w:lang w:bidi="ar"/>
                    </w:rPr>
                  </w:pPr>
                  <w:r>
                    <w:rPr>
                      <w:kern w:val="0"/>
                      <w:lang w:bidi="ar"/>
                    </w:rPr>
                    <w:t>0.</w:t>
                  </w:r>
                  <w:r>
                    <w:rPr>
                      <w:rFonts w:hint="eastAsia"/>
                      <w:kern w:val="0"/>
                      <w:lang w:bidi="ar"/>
                    </w:rPr>
                    <w:t>05</w:t>
                  </w:r>
                </w:p>
              </w:tc>
              <w:tc>
                <w:tcPr>
                  <w:tcW w:w="406" w:type="pct"/>
                  <w:vAlign w:val="center"/>
                </w:tcPr>
                <w:p w14:paraId="1FE6BD6B">
                  <w:pPr>
                    <w:widowControl/>
                    <w:topLinePunct/>
                    <w:adjustRightInd w:val="0"/>
                    <w:snapToGrid w:val="0"/>
                    <w:jc w:val="center"/>
                    <w:rPr>
                      <w:kern w:val="0"/>
                    </w:rPr>
                  </w:pPr>
                  <w:r>
                    <w:rPr>
                      <w:kern w:val="0"/>
                    </w:rPr>
                    <w:t>液态</w:t>
                  </w:r>
                </w:p>
              </w:tc>
              <w:tc>
                <w:tcPr>
                  <w:tcW w:w="500" w:type="pct"/>
                  <w:vAlign w:val="center"/>
                </w:tcPr>
                <w:p w14:paraId="71FD6C16">
                  <w:pPr>
                    <w:widowControl/>
                    <w:topLinePunct/>
                    <w:adjustRightInd w:val="0"/>
                    <w:snapToGrid w:val="0"/>
                    <w:jc w:val="center"/>
                    <w:rPr>
                      <w:kern w:val="0"/>
                    </w:rPr>
                  </w:pPr>
                  <w:r>
                    <w:rPr>
                      <w:kern w:val="0"/>
                      <w:lang w:bidi="ar"/>
                    </w:rPr>
                    <w:t>1</w:t>
                  </w:r>
                  <w:r>
                    <w:rPr>
                      <w:rFonts w:hint="eastAsia"/>
                      <w:kern w:val="0"/>
                      <w:lang w:bidi="ar"/>
                    </w:rPr>
                    <w:t>个月</w:t>
                  </w:r>
                </w:p>
              </w:tc>
              <w:tc>
                <w:tcPr>
                  <w:tcW w:w="762" w:type="pct"/>
                  <w:vMerge w:val="continue"/>
                  <w:vAlign w:val="center"/>
                </w:tcPr>
                <w:p w14:paraId="22288D5E">
                  <w:pPr>
                    <w:adjustRightInd w:val="0"/>
                    <w:snapToGrid w:val="0"/>
                    <w:jc w:val="center"/>
                  </w:pPr>
                </w:p>
              </w:tc>
            </w:tr>
            <w:tr w14:paraId="0BB55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Align w:val="center"/>
                </w:tcPr>
                <w:p w14:paraId="647CF096">
                  <w:pPr>
                    <w:autoSpaceDE w:val="0"/>
                    <w:autoSpaceDN w:val="0"/>
                    <w:adjustRightInd w:val="0"/>
                    <w:snapToGrid w:val="0"/>
                    <w:jc w:val="center"/>
                    <w:textAlignment w:val="baseline"/>
                  </w:pPr>
                  <w:r>
                    <w:t>废机油桶</w:t>
                  </w:r>
                </w:p>
              </w:tc>
              <w:tc>
                <w:tcPr>
                  <w:tcW w:w="415" w:type="pct"/>
                  <w:vMerge w:val="continue"/>
                  <w:vAlign w:val="center"/>
                </w:tcPr>
                <w:p w14:paraId="28269292">
                  <w:pPr>
                    <w:widowControl/>
                    <w:adjustRightInd w:val="0"/>
                    <w:snapToGrid w:val="0"/>
                    <w:jc w:val="center"/>
                  </w:pPr>
                </w:p>
              </w:tc>
              <w:tc>
                <w:tcPr>
                  <w:tcW w:w="832" w:type="pct"/>
                  <w:vAlign w:val="center"/>
                </w:tcPr>
                <w:p w14:paraId="6AD1A9FA">
                  <w:pPr>
                    <w:widowControl/>
                    <w:topLinePunct/>
                    <w:adjustRightInd w:val="0"/>
                    <w:snapToGrid w:val="0"/>
                    <w:jc w:val="center"/>
                  </w:pPr>
                  <w:r>
                    <w:rPr>
                      <w:kern w:val="0"/>
                      <w:lang w:bidi="ar"/>
                    </w:rPr>
                    <w:t>900-249-08</w:t>
                  </w:r>
                </w:p>
              </w:tc>
              <w:tc>
                <w:tcPr>
                  <w:tcW w:w="911" w:type="pct"/>
                  <w:vAlign w:val="center"/>
                </w:tcPr>
                <w:p w14:paraId="0872CBD8">
                  <w:pPr>
                    <w:widowControl/>
                    <w:adjustRightInd w:val="0"/>
                    <w:snapToGrid w:val="0"/>
                    <w:jc w:val="center"/>
                    <w:textAlignment w:val="center"/>
                    <w:rPr>
                      <w:kern w:val="0"/>
                      <w:lang w:bidi="ar"/>
                    </w:rPr>
                  </w:pPr>
                  <w:r>
                    <w:rPr>
                      <w:kern w:val="0"/>
                      <w:lang w:bidi="ar"/>
                    </w:rPr>
                    <w:t>设备维修保养</w:t>
                  </w:r>
                </w:p>
              </w:tc>
              <w:tc>
                <w:tcPr>
                  <w:tcW w:w="530" w:type="pct"/>
                  <w:vAlign w:val="center"/>
                </w:tcPr>
                <w:p w14:paraId="3702BFDD">
                  <w:pPr>
                    <w:widowControl/>
                    <w:adjustRightInd w:val="0"/>
                    <w:snapToGrid w:val="0"/>
                    <w:jc w:val="center"/>
                    <w:textAlignment w:val="center"/>
                    <w:rPr>
                      <w:kern w:val="0"/>
                      <w:lang w:bidi="ar"/>
                    </w:rPr>
                  </w:pPr>
                  <w:r>
                    <w:rPr>
                      <w:kern w:val="0"/>
                      <w:lang w:bidi="ar"/>
                    </w:rPr>
                    <w:t>0.0</w:t>
                  </w:r>
                  <w:r>
                    <w:rPr>
                      <w:rFonts w:hint="eastAsia"/>
                      <w:kern w:val="0"/>
                      <w:lang w:bidi="ar"/>
                    </w:rPr>
                    <w:t>1</w:t>
                  </w:r>
                </w:p>
              </w:tc>
              <w:tc>
                <w:tcPr>
                  <w:tcW w:w="406" w:type="pct"/>
                  <w:vAlign w:val="center"/>
                </w:tcPr>
                <w:p w14:paraId="7F874312">
                  <w:pPr>
                    <w:widowControl/>
                    <w:topLinePunct/>
                    <w:adjustRightInd w:val="0"/>
                    <w:snapToGrid w:val="0"/>
                    <w:jc w:val="center"/>
                    <w:rPr>
                      <w:kern w:val="0"/>
                    </w:rPr>
                  </w:pPr>
                  <w:r>
                    <w:rPr>
                      <w:kern w:val="0"/>
                    </w:rPr>
                    <w:t>固态</w:t>
                  </w:r>
                </w:p>
              </w:tc>
              <w:tc>
                <w:tcPr>
                  <w:tcW w:w="500" w:type="pct"/>
                  <w:vAlign w:val="center"/>
                </w:tcPr>
                <w:p w14:paraId="0324F5D1">
                  <w:pPr>
                    <w:widowControl/>
                    <w:topLinePunct/>
                    <w:adjustRightInd w:val="0"/>
                    <w:snapToGrid w:val="0"/>
                    <w:jc w:val="center"/>
                    <w:rPr>
                      <w:kern w:val="0"/>
                    </w:rPr>
                  </w:pPr>
                  <w:r>
                    <w:rPr>
                      <w:kern w:val="0"/>
                      <w:lang w:bidi="ar"/>
                    </w:rPr>
                    <w:t>1</w:t>
                  </w:r>
                  <w:r>
                    <w:rPr>
                      <w:rFonts w:hint="eastAsia"/>
                      <w:kern w:val="0"/>
                      <w:lang w:bidi="ar"/>
                    </w:rPr>
                    <w:t>个月</w:t>
                  </w:r>
                </w:p>
              </w:tc>
              <w:tc>
                <w:tcPr>
                  <w:tcW w:w="762" w:type="pct"/>
                  <w:vMerge w:val="continue"/>
                  <w:vAlign w:val="center"/>
                </w:tcPr>
                <w:p w14:paraId="3BF6F22C">
                  <w:pPr>
                    <w:widowControl/>
                    <w:topLinePunct/>
                    <w:adjustRightInd w:val="0"/>
                    <w:snapToGrid w:val="0"/>
                    <w:jc w:val="center"/>
                    <w:rPr>
                      <w:b/>
                      <w:bCs/>
                    </w:rPr>
                  </w:pPr>
                </w:p>
              </w:tc>
            </w:tr>
            <w:tr w14:paraId="3D706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Align w:val="center"/>
                </w:tcPr>
                <w:p w14:paraId="46180745">
                  <w:pPr>
                    <w:autoSpaceDE w:val="0"/>
                    <w:autoSpaceDN w:val="0"/>
                    <w:adjustRightInd w:val="0"/>
                    <w:snapToGrid w:val="0"/>
                    <w:jc w:val="center"/>
                    <w:textAlignment w:val="baseline"/>
                  </w:pPr>
                  <w:r>
                    <w:rPr>
                      <w:rFonts w:hint="eastAsia"/>
                      <w:bCs/>
                    </w:rPr>
                    <w:t>含油手套及废抹布</w:t>
                  </w:r>
                </w:p>
              </w:tc>
              <w:tc>
                <w:tcPr>
                  <w:tcW w:w="415" w:type="pct"/>
                  <w:vMerge w:val="continue"/>
                  <w:vAlign w:val="center"/>
                </w:tcPr>
                <w:p w14:paraId="22DBB52A">
                  <w:pPr>
                    <w:widowControl/>
                    <w:adjustRightInd w:val="0"/>
                    <w:snapToGrid w:val="0"/>
                    <w:jc w:val="center"/>
                    <w:rPr>
                      <w:lang w:bidi="ar"/>
                    </w:rPr>
                  </w:pPr>
                </w:p>
              </w:tc>
              <w:tc>
                <w:tcPr>
                  <w:tcW w:w="832" w:type="pct"/>
                  <w:vAlign w:val="center"/>
                </w:tcPr>
                <w:p w14:paraId="61C1D097">
                  <w:pPr>
                    <w:widowControl/>
                    <w:topLinePunct/>
                    <w:adjustRightInd w:val="0"/>
                    <w:snapToGrid w:val="0"/>
                    <w:jc w:val="center"/>
                    <w:rPr>
                      <w:kern w:val="0"/>
                      <w:lang w:bidi="ar"/>
                    </w:rPr>
                  </w:pPr>
                  <w:r>
                    <w:rPr>
                      <w:rFonts w:hint="eastAsia"/>
                      <w:spacing w:val="-2"/>
                    </w:rPr>
                    <w:t>900-041-49</w:t>
                  </w:r>
                </w:p>
              </w:tc>
              <w:tc>
                <w:tcPr>
                  <w:tcW w:w="911" w:type="pct"/>
                  <w:vAlign w:val="center"/>
                </w:tcPr>
                <w:p w14:paraId="636C23DE">
                  <w:pPr>
                    <w:widowControl/>
                    <w:topLinePunct/>
                    <w:adjustRightInd w:val="0"/>
                    <w:snapToGrid w:val="0"/>
                    <w:jc w:val="center"/>
                    <w:rPr>
                      <w:kern w:val="0"/>
                      <w:lang w:bidi="ar"/>
                    </w:rPr>
                  </w:pPr>
                  <w:r>
                    <w:rPr>
                      <w:kern w:val="0"/>
                      <w:lang w:bidi="ar"/>
                    </w:rPr>
                    <w:t>设备维修保养</w:t>
                  </w:r>
                </w:p>
              </w:tc>
              <w:tc>
                <w:tcPr>
                  <w:tcW w:w="530" w:type="pct"/>
                  <w:vAlign w:val="center"/>
                </w:tcPr>
                <w:p w14:paraId="46A8F4E2">
                  <w:pPr>
                    <w:widowControl/>
                    <w:topLinePunct/>
                    <w:adjustRightInd w:val="0"/>
                    <w:snapToGrid w:val="0"/>
                    <w:jc w:val="center"/>
                    <w:rPr>
                      <w:kern w:val="0"/>
                      <w:lang w:bidi="ar"/>
                    </w:rPr>
                  </w:pPr>
                  <w:r>
                    <w:rPr>
                      <w:rFonts w:hint="eastAsia"/>
                      <w:kern w:val="0"/>
                      <w:lang w:bidi="ar"/>
                    </w:rPr>
                    <w:t>0.01</w:t>
                  </w:r>
                </w:p>
              </w:tc>
              <w:tc>
                <w:tcPr>
                  <w:tcW w:w="406" w:type="pct"/>
                  <w:vAlign w:val="center"/>
                </w:tcPr>
                <w:p w14:paraId="5AC757E5">
                  <w:pPr>
                    <w:widowControl/>
                    <w:topLinePunct/>
                    <w:adjustRightInd w:val="0"/>
                    <w:snapToGrid w:val="0"/>
                    <w:jc w:val="center"/>
                    <w:rPr>
                      <w:kern w:val="0"/>
                      <w:lang w:bidi="ar"/>
                    </w:rPr>
                  </w:pPr>
                  <w:r>
                    <w:rPr>
                      <w:kern w:val="0"/>
                    </w:rPr>
                    <w:t>固态</w:t>
                  </w:r>
                </w:p>
              </w:tc>
              <w:tc>
                <w:tcPr>
                  <w:tcW w:w="500" w:type="pct"/>
                  <w:vAlign w:val="center"/>
                </w:tcPr>
                <w:p w14:paraId="2C83C535">
                  <w:pPr>
                    <w:widowControl/>
                    <w:topLinePunct/>
                    <w:adjustRightInd w:val="0"/>
                    <w:snapToGrid w:val="0"/>
                    <w:jc w:val="center"/>
                    <w:rPr>
                      <w:kern w:val="0"/>
                      <w:lang w:bidi="ar"/>
                    </w:rPr>
                  </w:pPr>
                  <w:r>
                    <w:rPr>
                      <w:rFonts w:hint="eastAsia"/>
                      <w:kern w:val="0"/>
                      <w:lang w:bidi="ar"/>
                    </w:rPr>
                    <w:t>日常</w:t>
                  </w:r>
                </w:p>
              </w:tc>
              <w:tc>
                <w:tcPr>
                  <w:tcW w:w="762" w:type="pct"/>
                  <w:vMerge w:val="continue"/>
                  <w:vAlign w:val="center"/>
                </w:tcPr>
                <w:p w14:paraId="56315400">
                  <w:pPr>
                    <w:widowControl/>
                    <w:topLinePunct/>
                    <w:adjustRightInd w:val="0"/>
                    <w:snapToGrid w:val="0"/>
                    <w:jc w:val="center"/>
                    <w:rPr>
                      <w:b/>
                      <w:bCs/>
                    </w:rPr>
                  </w:pPr>
                </w:p>
              </w:tc>
            </w:tr>
            <w:tr w14:paraId="5DE34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4" w:type="pct"/>
                  <w:vAlign w:val="center"/>
                </w:tcPr>
                <w:p w14:paraId="1BC6E787">
                  <w:pPr>
                    <w:autoSpaceDE w:val="0"/>
                    <w:autoSpaceDN w:val="0"/>
                    <w:adjustRightInd w:val="0"/>
                    <w:snapToGrid w:val="0"/>
                    <w:jc w:val="center"/>
                    <w:textAlignment w:val="baseline"/>
                    <w:rPr>
                      <w:b/>
                      <w:bCs/>
                    </w:rPr>
                  </w:pPr>
                  <w:r>
                    <w:rPr>
                      <w:lang w:bidi="ar"/>
                    </w:rPr>
                    <w:t>生活垃圾</w:t>
                  </w:r>
                </w:p>
              </w:tc>
              <w:tc>
                <w:tcPr>
                  <w:tcW w:w="415" w:type="pct"/>
                  <w:vAlign w:val="center"/>
                </w:tcPr>
                <w:p w14:paraId="38ACF22C">
                  <w:pPr>
                    <w:widowControl/>
                    <w:topLinePunct/>
                    <w:adjustRightInd w:val="0"/>
                    <w:snapToGrid w:val="0"/>
                    <w:jc w:val="center"/>
                    <w:rPr>
                      <w:b/>
                      <w:bCs/>
                    </w:rPr>
                  </w:pPr>
                  <w:r>
                    <w:t>生活垃圾</w:t>
                  </w:r>
                </w:p>
              </w:tc>
              <w:tc>
                <w:tcPr>
                  <w:tcW w:w="832" w:type="pct"/>
                  <w:vAlign w:val="center"/>
                </w:tcPr>
                <w:p w14:paraId="5DD34A70">
                  <w:pPr>
                    <w:widowControl/>
                    <w:topLinePunct/>
                    <w:adjustRightInd w:val="0"/>
                    <w:snapToGrid w:val="0"/>
                    <w:jc w:val="center"/>
                    <w:rPr>
                      <w:b/>
                      <w:bCs/>
                      <w:kern w:val="0"/>
                      <w:lang w:bidi="ar"/>
                    </w:rPr>
                  </w:pPr>
                  <w:r>
                    <w:rPr>
                      <w:kern w:val="0"/>
                      <w:lang w:bidi="ar"/>
                    </w:rPr>
                    <w:t>/</w:t>
                  </w:r>
                </w:p>
              </w:tc>
              <w:tc>
                <w:tcPr>
                  <w:tcW w:w="911" w:type="pct"/>
                  <w:vAlign w:val="center"/>
                </w:tcPr>
                <w:p w14:paraId="0DDB9D55">
                  <w:pPr>
                    <w:widowControl/>
                    <w:adjustRightInd w:val="0"/>
                    <w:snapToGrid w:val="0"/>
                    <w:jc w:val="center"/>
                    <w:textAlignment w:val="center"/>
                    <w:rPr>
                      <w:kern w:val="0"/>
                      <w:lang w:bidi="ar"/>
                    </w:rPr>
                  </w:pPr>
                  <w:r>
                    <w:rPr>
                      <w:rFonts w:hint="eastAsia"/>
                      <w:kern w:val="0"/>
                      <w:lang w:bidi="ar"/>
                    </w:rPr>
                    <w:t>办公、生活</w:t>
                  </w:r>
                </w:p>
              </w:tc>
              <w:tc>
                <w:tcPr>
                  <w:tcW w:w="530" w:type="pct"/>
                  <w:vAlign w:val="center"/>
                </w:tcPr>
                <w:p w14:paraId="3D2F75E9">
                  <w:pPr>
                    <w:widowControl/>
                    <w:adjustRightInd w:val="0"/>
                    <w:snapToGrid w:val="0"/>
                    <w:jc w:val="center"/>
                    <w:textAlignment w:val="center"/>
                    <w:rPr>
                      <w:kern w:val="0"/>
                      <w:lang w:bidi="ar"/>
                    </w:rPr>
                  </w:pPr>
                  <w:r>
                    <w:rPr>
                      <w:rFonts w:hint="eastAsia"/>
                      <w:kern w:val="0"/>
                      <w:lang w:bidi="ar"/>
                    </w:rPr>
                    <w:t>3</w:t>
                  </w:r>
                </w:p>
              </w:tc>
              <w:tc>
                <w:tcPr>
                  <w:tcW w:w="406" w:type="pct"/>
                  <w:vAlign w:val="center"/>
                </w:tcPr>
                <w:p w14:paraId="60CB2FAE">
                  <w:pPr>
                    <w:widowControl/>
                    <w:topLinePunct/>
                    <w:adjustRightInd w:val="0"/>
                    <w:snapToGrid w:val="0"/>
                    <w:jc w:val="center"/>
                    <w:rPr>
                      <w:b/>
                      <w:bCs/>
                      <w:kern w:val="0"/>
                    </w:rPr>
                  </w:pPr>
                  <w:r>
                    <w:rPr>
                      <w:kern w:val="0"/>
                      <w:lang w:bidi="ar"/>
                    </w:rPr>
                    <w:t>固态</w:t>
                  </w:r>
                </w:p>
              </w:tc>
              <w:tc>
                <w:tcPr>
                  <w:tcW w:w="500" w:type="pct"/>
                  <w:vAlign w:val="center"/>
                </w:tcPr>
                <w:p w14:paraId="6DF0FD5A">
                  <w:pPr>
                    <w:widowControl/>
                    <w:topLinePunct/>
                    <w:adjustRightInd w:val="0"/>
                    <w:snapToGrid w:val="0"/>
                    <w:jc w:val="center"/>
                    <w:rPr>
                      <w:b/>
                      <w:bCs/>
                      <w:kern w:val="0"/>
                      <w:lang w:bidi="ar"/>
                    </w:rPr>
                  </w:pPr>
                  <w:r>
                    <w:rPr>
                      <w:rFonts w:hint="eastAsia"/>
                      <w:kern w:val="0"/>
                      <w:lang w:bidi="ar"/>
                    </w:rPr>
                    <w:t>日常</w:t>
                  </w:r>
                </w:p>
              </w:tc>
              <w:tc>
                <w:tcPr>
                  <w:tcW w:w="762" w:type="pct"/>
                  <w:vAlign w:val="center"/>
                </w:tcPr>
                <w:p w14:paraId="5134490D">
                  <w:pPr>
                    <w:widowControl/>
                    <w:topLinePunct/>
                    <w:adjustRightInd w:val="0"/>
                    <w:snapToGrid w:val="0"/>
                    <w:jc w:val="center"/>
                    <w:rPr>
                      <w:b/>
                      <w:bCs/>
                    </w:rPr>
                  </w:pPr>
                  <w:r>
                    <w:t>交由环卫部门统一</w:t>
                  </w:r>
                  <w:r>
                    <w:rPr>
                      <w:rFonts w:hint="eastAsia"/>
                    </w:rPr>
                    <w:t>收集</w:t>
                  </w:r>
                  <w:r>
                    <w:t>处理</w:t>
                  </w:r>
                </w:p>
              </w:tc>
            </w:tr>
          </w:tbl>
          <w:p w14:paraId="73EDDC4B">
            <w:pPr>
              <w:pStyle w:val="54"/>
              <w:spacing w:before="120" w:beforeLines="50"/>
            </w:pPr>
            <w:r>
              <w:t>4.3</w:t>
            </w:r>
            <w:r>
              <w:rPr>
                <w:rFonts w:hint="eastAsia"/>
              </w:rPr>
              <w:t>固体废物</w:t>
            </w:r>
            <w:r>
              <w:t>环境管理要求</w:t>
            </w:r>
          </w:p>
          <w:p w14:paraId="07291ED0">
            <w:pPr>
              <w:pStyle w:val="54"/>
            </w:pPr>
            <w:r>
              <w:t>（1）</w:t>
            </w:r>
            <w:r>
              <w:rPr>
                <w:rFonts w:hint="eastAsia"/>
              </w:rPr>
              <w:t>一般工业固体废物</w:t>
            </w:r>
          </w:p>
          <w:p w14:paraId="4F8FC4E3">
            <w:pPr>
              <w:pStyle w:val="54"/>
              <w:ind w:firstLine="480"/>
              <w:rPr>
                <w:b w:val="0"/>
                <w:bCs w:val="0"/>
              </w:rPr>
            </w:pPr>
            <w:r>
              <w:rPr>
                <w:b w:val="0"/>
                <w:bCs w:val="0"/>
              </w:rPr>
              <w:t>一般工业固废</w:t>
            </w:r>
            <w:r>
              <w:rPr>
                <w:rFonts w:hint="eastAsia"/>
                <w:b w:val="0"/>
                <w:bCs w:val="0"/>
              </w:rPr>
              <w:t>暂存间</w:t>
            </w:r>
            <w:r>
              <w:rPr>
                <w:b w:val="0"/>
                <w:bCs w:val="0"/>
              </w:rPr>
              <w:t>的建设</w:t>
            </w:r>
            <w:r>
              <w:rPr>
                <w:rFonts w:hint="eastAsia"/>
                <w:b w:val="0"/>
                <w:bCs w:val="0"/>
              </w:rPr>
              <w:t>应满足</w:t>
            </w:r>
            <w:r>
              <w:rPr>
                <w:b w:val="0"/>
                <w:bCs w:val="0"/>
              </w:rPr>
              <w:t>《一般工业固体废物贮存和填埋污染控制标准》（GB18599-2020）</w:t>
            </w:r>
            <w:r>
              <w:rPr>
                <w:rFonts w:hint="eastAsia"/>
                <w:b w:val="0"/>
                <w:bCs w:val="0"/>
              </w:rPr>
              <w:t>的要求</w:t>
            </w:r>
            <w:r>
              <w:rPr>
                <w:b w:val="0"/>
                <w:bCs w:val="0"/>
              </w:rPr>
              <w:t>，在厂内采用库房以及包装工具贮存，贮存过程应满足相应防渗漏、防雨淋、防扬尘等环境保护要求。</w:t>
            </w:r>
          </w:p>
          <w:p w14:paraId="59812290">
            <w:pPr>
              <w:pStyle w:val="54"/>
            </w:pPr>
            <w:r>
              <w:t>（</w:t>
            </w:r>
            <w:r>
              <w:rPr>
                <w:rFonts w:hint="eastAsia"/>
              </w:rPr>
              <w:t>2</w:t>
            </w:r>
            <w:r>
              <w:t>）</w:t>
            </w:r>
            <w:r>
              <w:rPr>
                <w:rFonts w:hint="eastAsia"/>
              </w:rPr>
              <w:t>危险废物</w:t>
            </w:r>
          </w:p>
          <w:p w14:paraId="4A17CFF2">
            <w:pPr>
              <w:pStyle w:val="54"/>
              <w:ind w:firstLine="480"/>
              <w:rPr>
                <w:b w:val="0"/>
                <w:bCs w:val="0"/>
              </w:rPr>
            </w:pPr>
            <w:r>
              <w:rPr>
                <w:b w:val="0"/>
                <w:bCs w:val="0"/>
              </w:rPr>
              <w:t>危险废物</w:t>
            </w:r>
            <w:r>
              <w:rPr>
                <w:rFonts w:hint="eastAsia"/>
                <w:b w:val="0"/>
                <w:bCs w:val="0"/>
              </w:rPr>
              <w:t>暂存间的</w:t>
            </w:r>
            <w:r>
              <w:rPr>
                <w:b w:val="0"/>
                <w:bCs w:val="0"/>
              </w:rPr>
              <w:t>建设应满足《危险废物贮存污染控制标准》（GB18597-2023）相关要求，</w:t>
            </w:r>
            <w:r>
              <w:rPr>
                <w:rFonts w:hint="eastAsia"/>
                <w:b w:val="0"/>
                <w:bCs w:val="0"/>
              </w:rPr>
              <w:t>包括</w:t>
            </w:r>
            <w:r>
              <w:rPr>
                <w:b w:val="0"/>
                <w:bCs w:val="0"/>
              </w:rPr>
              <w:t>贮存设施污染控制要求</w:t>
            </w:r>
            <w:r>
              <w:rPr>
                <w:rFonts w:hint="eastAsia"/>
                <w:b w:val="0"/>
                <w:bCs w:val="0"/>
              </w:rPr>
              <w:t>和贮存设施运行环境管理要求等。</w:t>
            </w:r>
          </w:p>
          <w:p w14:paraId="0E914465">
            <w:pPr>
              <w:pStyle w:val="54"/>
              <w:ind w:firstLine="480"/>
              <w:rPr>
                <w:b w:val="0"/>
                <w:bCs w:val="0"/>
              </w:rPr>
            </w:pPr>
            <w:r>
              <w:rPr>
                <w:b w:val="0"/>
                <w:bCs w:val="0"/>
              </w:rPr>
              <w:t>贮存设施污染控制要求主要包括：</w:t>
            </w:r>
          </w:p>
          <w:p w14:paraId="75F9831F">
            <w:pPr>
              <w:pStyle w:val="54"/>
              <w:ind w:firstLine="480"/>
              <w:rPr>
                <w:b w:val="0"/>
                <w:bCs w:val="0"/>
              </w:rPr>
            </w:pPr>
            <w:r>
              <w:rPr>
                <w:rFonts w:ascii="Cambria Math" w:hAnsi="Cambria Math" w:cs="Cambria Math"/>
                <w:b w:val="0"/>
                <w:bCs w:val="0"/>
              </w:rPr>
              <w:t>①</w:t>
            </w:r>
            <w:r>
              <w:rPr>
                <w:b w:val="0"/>
                <w:bCs w:val="0"/>
              </w:rPr>
              <w:t>贮存设施应根据危险废物的形态、物理化学性质、包装形式和污染物迁移途径，采取必要的防风、防晒、防雨、防漏、防渗、防腐以及其他环境污染防治措施，不应露天堆放危险废物。</w:t>
            </w:r>
          </w:p>
          <w:p w14:paraId="00283174">
            <w:pPr>
              <w:pStyle w:val="54"/>
              <w:ind w:firstLine="480"/>
              <w:rPr>
                <w:b w:val="0"/>
                <w:bCs w:val="0"/>
              </w:rPr>
            </w:pPr>
            <w:r>
              <w:rPr>
                <w:rFonts w:ascii="Cambria Math" w:hAnsi="Cambria Math" w:cs="Cambria Math"/>
                <w:b w:val="0"/>
                <w:bCs w:val="0"/>
              </w:rPr>
              <w:t>②</w:t>
            </w:r>
            <w:r>
              <w:rPr>
                <w:b w:val="0"/>
                <w:bCs w:val="0"/>
              </w:rPr>
              <w:t>贮存设施应根据危险废物的类别、数量、形态、物理化学性质和污染防治等要求设置必要的贮存分区，避免不相容的危险废物接触、混合。</w:t>
            </w:r>
          </w:p>
          <w:p w14:paraId="20FDE5EA">
            <w:pPr>
              <w:pStyle w:val="54"/>
              <w:ind w:firstLine="480"/>
              <w:rPr>
                <w:b w:val="0"/>
                <w:bCs w:val="0"/>
              </w:rPr>
            </w:pPr>
            <w:r>
              <w:rPr>
                <w:rFonts w:ascii="Cambria Math" w:hAnsi="Cambria Math" w:cs="Cambria Math"/>
                <w:b w:val="0"/>
                <w:bCs w:val="0"/>
              </w:rPr>
              <w:t>③</w:t>
            </w:r>
            <w:r>
              <w:rPr>
                <w:b w:val="0"/>
                <w:bCs w:val="0"/>
              </w:rPr>
              <w:t>贮存设施或贮存分区内地面、墙面裙脚、堵截泄漏的围堰、接触危险废物的隔板和墙体等应采用坚固的材料建造，表面无裂缝。</w:t>
            </w:r>
          </w:p>
          <w:p w14:paraId="476A1362">
            <w:pPr>
              <w:pStyle w:val="54"/>
              <w:ind w:firstLine="480"/>
              <w:rPr>
                <w:b w:val="0"/>
                <w:bCs w:val="0"/>
              </w:rPr>
            </w:pPr>
            <w:r>
              <w:rPr>
                <w:rFonts w:ascii="Cambria Math" w:hAnsi="Cambria Math" w:cs="Cambria Math"/>
                <w:b w:val="0"/>
                <w:bCs w:val="0"/>
              </w:rPr>
              <w:t>④</w:t>
            </w:r>
            <w:r>
              <w:rPr>
                <w:b w:val="0"/>
                <w:bCs w:val="0"/>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b w:val="0"/>
                <w:bCs w:val="0"/>
                <w:vertAlign w:val="superscript"/>
              </w:rPr>
              <w:t>-7</w:t>
            </w:r>
            <w:r>
              <w:rPr>
                <w:b w:val="0"/>
                <w:bCs w:val="0"/>
              </w:rPr>
              <w:t>cm/s），或至少2mm厚高密度聚乙烯膜等人工防渗材料（渗透系数不大于10</w:t>
            </w:r>
            <w:r>
              <w:rPr>
                <w:b w:val="0"/>
                <w:bCs w:val="0"/>
                <w:vertAlign w:val="superscript"/>
              </w:rPr>
              <w:t>-10</w:t>
            </w:r>
            <w:r>
              <w:rPr>
                <w:b w:val="0"/>
                <w:bCs w:val="0"/>
              </w:rPr>
              <w:t>cm/s），或其他防渗性能等效的材料。</w:t>
            </w:r>
          </w:p>
          <w:p w14:paraId="4B766281">
            <w:pPr>
              <w:pStyle w:val="54"/>
              <w:ind w:firstLine="480"/>
              <w:rPr>
                <w:b w:val="0"/>
                <w:bCs w:val="0"/>
              </w:rPr>
            </w:pPr>
            <w:r>
              <w:rPr>
                <w:rFonts w:ascii="Cambria Math" w:hAnsi="Cambria Math" w:cs="Cambria Math"/>
                <w:b w:val="0"/>
                <w:bCs w:val="0"/>
              </w:rPr>
              <w:t>⑤</w:t>
            </w:r>
            <w:r>
              <w:rPr>
                <w:b w:val="0"/>
                <w:bCs w:val="0"/>
              </w:rPr>
              <w:t>同一贮存设施宜采用相同的防渗、防腐工艺（包括防渗、防腐结构或材料），防渗、防腐材料应覆盖所有可能与废物及其渗滤液、渗漏液等接触的构筑物表面；采用不同防渗、防腐工艺应分别建设贮存分区。</w:t>
            </w:r>
          </w:p>
          <w:p w14:paraId="17ADC8C8">
            <w:pPr>
              <w:pStyle w:val="54"/>
              <w:ind w:firstLine="480"/>
              <w:rPr>
                <w:b w:val="0"/>
                <w:bCs w:val="0"/>
              </w:rPr>
            </w:pPr>
            <w:r>
              <w:rPr>
                <w:rFonts w:ascii="Cambria Math" w:hAnsi="Cambria Math" w:cs="Cambria Math"/>
                <w:b w:val="0"/>
                <w:bCs w:val="0"/>
              </w:rPr>
              <w:t>⑥</w:t>
            </w:r>
            <w:r>
              <w:rPr>
                <w:b w:val="0"/>
                <w:bCs w:val="0"/>
              </w:rPr>
              <w:t>贮存设施应采取技术和管理措施防止无关人员进入。</w:t>
            </w:r>
          </w:p>
          <w:p w14:paraId="00FC52F0">
            <w:pPr>
              <w:pStyle w:val="54"/>
              <w:ind w:firstLine="480"/>
              <w:rPr>
                <w:b w:val="0"/>
                <w:bCs w:val="0"/>
              </w:rPr>
            </w:pPr>
            <w:r>
              <w:rPr>
                <w:rFonts w:hint="eastAsia"/>
                <w:b w:val="0"/>
                <w:bCs w:val="0"/>
              </w:rPr>
              <w:t>贮存设施运行环境管理要求主要包括：</w:t>
            </w:r>
          </w:p>
          <w:p w14:paraId="6B067017">
            <w:pPr>
              <w:pStyle w:val="54"/>
              <w:ind w:firstLine="480"/>
              <w:rPr>
                <w:b w:val="0"/>
                <w:bCs w:val="0"/>
              </w:rPr>
            </w:pPr>
            <w:r>
              <w:rPr>
                <w:rFonts w:ascii="Cambria Math" w:hAnsi="Cambria Math" w:cs="Cambria Math"/>
                <w:b w:val="0"/>
                <w:bCs w:val="0"/>
              </w:rPr>
              <w:t>①</w:t>
            </w:r>
            <w:r>
              <w:rPr>
                <w:b w:val="0"/>
                <w:bCs w:val="0"/>
              </w:rPr>
              <w:t>危险废物存入贮存设施前应对危险废物类别和特性与危险废物标签等危险废物识别标志的一致性进行核验，不一致的或类别、特性不明的不应存入。</w:t>
            </w:r>
          </w:p>
          <w:p w14:paraId="71071751">
            <w:pPr>
              <w:pStyle w:val="54"/>
              <w:ind w:firstLine="480"/>
              <w:rPr>
                <w:b w:val="0"/>
                <w:bCs w:val="0"/>
              </w:rPr>
            </w:pPr>
            <w:r>
              <w:rPr>
                <w:rFonts w:ascii="Cambria Math" w:hAnsi="Cambria Math" w:cs="Cambria Math"/>
                <w:b w:val="0"/>
                <w:bCs w:val="0"/>
              </w:rPr>
              <w:t>②</w:t>
            </w:r>
            <w:r>
              <w:rPr>
                <w:b w:val="0"/>
                <w:bCs w:val="0"/>
              </w:rPr>
              <w:t>应定期检查危险废物的贮存状况，及时清理贮存设施地面，更换破损泄漏的危险废物贮存容器和包装物，保证堆存危险废物的防雨、防风、防扬尘等设施功能完好。</w:t>
            </w:r>
          </w:p>
          <w:p w14:paraId="381678A2">
            <w:pPr>
              <w:pStyle w:val="54"/>
              <w:ind w:firstLine="480"/>
              <w:rPr>
                <w:b w:val="0"/>
                <w:bCs w:val="0"/>
              </w:rPr>
            </w:pPr>
            <w:r>
              <w:rPr>
                <w:rFonts w:ascii="Cambria Math" w:hAnsi="Cambria Math" w:cs="Cambria Math"/>
                <w:b w:val="0"/>
                <w:bCs w:val="0"/>
              </w:rPr>
              <w:t>③</w:t>
            </w:r>
            <w:r>
              <w:rPr>
                <w:b w:val="0"/>
                <w:bCs w:val="0"/>
              </w:rPr>
              <w:t>作业设备及车辆等结束作业离开贮存设施时，应对其残留的危险废物进行清理，清理的废物或清洗废水应收集处理。</w:t>
            </w:r>
          </w:p>
          <w:p w14:paraId="511EC295">
            <w:pPr>
              <w:pStyle w:val="54"/>
              <w:ind w:firstLine="480"/>
              <w:rPr>
                <w:b w:val="0"/>
                <w:bCs w:val="0"/>
              </w:rPr>
            </w:pPr>
            <w:r>
              <w:rPr>
                <w:rFonts w:ascii="Cambria Math" w:hAnsi="Cambria Math" w:cs="Cambria Math"/>
                <w:b w:val="0"/>
                <w:bCs w:val="0"/>
              </w:rPr>
              <w:t>④</w:t>
            </w:r>
            <w:r>
              <w:rPr>
                <w:b w:val="0"/>
                <w:bCs w:val="0"/>
              </w:rPr>
              <w:t>贮存设施运行期间，应按国家有关标准和规定建立危险废物管理台账并保存。</w:t>
            </w:r>
          </w:p>
          <w:p w14:paraId="241B9EE7">
            <w:pPr>
              <w:pStyle w:val="54"/>
              <w:ind w:firstLine="480"/>
              <w:rPr>
                <w:b w:val="0"/>
                <w:bCs w:val="0"/>
              </w:rPr>
            </w:pPr>
            <w:r>
              <w:rPr>
                <w:rFonts w:ascii="Cambria Math" w:hAnsi="Cambria Math" w:cs="Cambria Math"/>
                <w:b w:val="0"/>
                <w:bCs w:val="0"/>
              </w:rPr>
              <w:t>⑤</w:t>
            </w:r>
            <w:r>
              <w:rPr>
                <w:b w:val="0"/>
                <w:bCs w:val="0"/>
              </w:rPr>
              <w:t>贮存设施所有者或运营者应建立贮存设施环境管理制度、管理人员岗位职责制度、设施运行操作制度、人员岗位培训制度等。</w:t>
            </w:r>
          </w:p>
          <w:p w14:paraId="52ABD66A">
            <w:pPr>
              <w:pStyle w:val="54"/>
              <w:ind w:firstLine="480"/>
              <w:rPr>
                <w:b w:val="0"/>
                <w:bCs w:val="0"/>
              </w:rPr>
            </w:pPr>
            <w:r>
              <w:rPr>
                <w:rFonts w:ascii="Cambria Math" w:hAnsi="Cambria Math" w:cs="Cambria Math"/>
                <w:b w:val="0"/>
                <w:bCs w:val="0"/>
              </w:rPr>
              <w:t>⑥</w:t>
            </w:r>
            <w:r>
              <w:rPr>
                <w:b w:val="0"/>
                <w:bCs w:val="0"/>
              </w:rPr>
              <w:t xml:space="preserve">贮存设施所有者或运营者应依据国家土壤和地下水污染防治的有关规定，结合贮存设施特点建立土壤和地下水污染隐患排查制度，并定期开展隐患排查；发现隐患应及时采取措施消除隐患，并建立档案。 </w:t>
            </w:r>
          </w:p>
          <w:p w14:paraId="254D79D3">
            <w:pPr>
              <w:pStyle w:val="54"/>
              <w:ind w:firstLine="480"/>
              <w:rPr>
                <w:b w:val="0"/>
                <w:bCs w:val="0"/>
              </w:rPr>
            </w:pPr>
            <w:r>
              <w:rPr>
                <w:b w:val="0"/>
                <w:bCs w:val="0"/>
              </w:rPr>
              <w:fldChar w:fldCharType="begin"/>
            </w:r>
            <w:r>
              <w:rPr>
                <w:b w:val="0"/>
                <w:bCs w:val="0"/>
              </w:rPr>
              <w:instrText xml:space="preserve"> = 7 \* GB3 \* MERGEFORMAT </w:instrText>
            </w:r>
            <w:r>
              <w:rPr>
                <w:b w:val="0"/>
                <w:bCs w:val="0"/>
              </w:rPr>
              <w:fldChar w:fldCharType="separate"/>
            </w:r>
            <w:r>
              <w:rPr>
                <w:rFonts w:ascii="Cambria Math" w:hAnsi="Cambria Math" w:cs="Cambria Math"/>
                <w:b w:val="0"/>
                <w:bCs w:val="0"/>
              </w:rPr>
              <w:t>⑦</w:t>
            </w:r>
            <w:r>
              <w:rPr>
                <w:b w:val="0"/>
                <w:bCs w:val="0"/>
              </w:rPr>
              <w:fldChar w:fldCharType="end"/>
            </w:r>
            <w:r>
              <w:rPr>
                <w:b w:val="0"/>
                <w:bCs w:val="0"/>
              </w:rPr>
              <w:t>贮存设施所有者或运营者应建立贮存设施全部档案，包括设计、施工、验收、运行、监测和环境应急等，应按国家有关档案管理的法律法规进行整理和归档。</w:t>
            </w:r>
          </w:p>
          <w:p w14:paraId="28475AE9">
            <w:pPr>
              <w:pStyle w:val="54"/>
            </w:pPr>
            <w:r>
              <w:rPr>
                <w:rFonts w:hint="eastAsia"/>
              </w:rPr>
              <w:t>（3）生活垃圾</w:t>
            </w:r>
          </w:p>
          <w:p w14:paraId="54776C84">
            <w:pPr>
              <w:pStyle w:val="54"/>
              <w:ind w:firstLine="480"/>
              <w:rPr>
                <w:b w:val="0"/>
                <w:bCs w:val="0"/>
              </w:rPr>
            </w:pPr>
            <w:r>
              <w:rPr>
                <w:rFonts w:hint="eastAsia"/>
                <w:b w:val="0"/>
                <w:bCs w:val="0"/>
              </w:rPr>
              <w:t>生活垃圾集中收集后交由环卫部门收集、处理。</w:t>
            </w:r>
          </w:p>
          <w:p w14:paraId="3061099F">
            <w:pPr>
              <w:pStyle w:val="54"/>
            </w:pPr>
            <w:r>
              <w:t>5.地下水</w:t>
            </w:r>
            <w:r>
              <w:rPr>
                <w:rFonts w:hint="eastAsia"/>
              </w:rPr>
              <w:t>、</w:t>
            </w:r>
            <w:r>
              <w:t>土壤环境影响分析</w:t>
            </w:r>
          </w:p>
          <w:p w14:paraId="3F223951">
            <w:pPr>
              <w:pStyle w:val="54"/>
              <w:ind w:firstLine="480"/>
              <w:rPr>
                <w:b w:val="0"/>
                <w:bCs w:val="0"/>
              </w:rPr>
            </w:pPr>
            <w:r>
              <w:rPr>
                <w:rFonts w:hint="eastAsia"/>
                <w:b w:val="0"/>
                <w:bCs w:val="0"/>
              </w:rPr>
              <w:t>本项目可能存在的地下水和土壤的污染源有：原料溶剂泄漏、危险废物储存间液态废物泄漏等，污染物类型主要为有机污染物。</w:t>
            </w:r>
          </w:p>
          <w:p w14:paraId="1EFDB3FE">
            <w:pPr>
              <w:pStyle w:val="54"/>
              <w:ind w:firstLine="480"/>
              <w:rPr>
                <w:b w:val="0"/>
                <w:bCs w:val="0"/>
              </w:rPr>
            </w:pPr>
            <w:r>
              <w:rPr>
                <w:rFonts w:hint="eastAsia"/>
                <w:b w:val="0"/>
                <w:bCs w:val="0"/>
              </w:rPr>
              <w:t>本</w:t>
            </w:r>
            <w:r>
              <w:rPr>
                <w:b w:val="0"/>
                <w:bCs w:val="0"/>
              </w:rPr>
              <w:t>项目生产车间</w:t>
            </w:r>
            <w:r>
              <w:rPr>
                <w:rFonts w:hint="eastAsia"/>
                <w:b w:val="0"/>
                <w:bCs w:val="0"/>
              </w:rPr>
              <w:t>、仓库</w:t>
            </w:r>
            <w:r>
              <w:rPr>
                <w:b w:val="0"/>
                <w:bCs w:val="0"/>
              </w:rPr>
              <w:t>已做地面硬底化，危废暂存间设置防渗层，通过采用防渗漏和防腐蚀措施，项目储存及生产过程液态</w:t>
            </w:r>
            <w:r>
              <w:rPr>
                <w:rFonts w:hint="eastAsia"/>
                <w:b w:val="0"/>
                <w:bCs w:val="0"/>
              </w:rPr>
              <w:t>物</w:t>
            </w:r>
            <w:r>
              <w:rPr>
                <w:b w:val="0"/>
                <w:bCs w:val="0"/>
              </w:rPr>
              <w:t>料不会进入到</w:t>
            </w:r>
            <w:r>
              <w:rPr>
                <w:rFonts w:hint="eastAsia"/>
                <w:b w:val="0"/>
                <w:bCs w:val="0"/>
              </w:rPr>
              <w:t>土壤和</w:t>
            </w:r>
            <w:r>
              <w:rPr>
                <w:b w:val="0"/>
                <w:bCs w:val="0"/>
              </w:rPr>
              <w:t>地下水中，不会对</w:t>
            </w:r>
            <w:r>
              <w:rPr>
                <w:rFonts w:hint="eastAsia"/>
                <w:b w:val="0"/>
                <w:bCs w:val="0"/>
              </w:rPr>
              <w:t>土壤和</w:t>
            </w:r>
            <w:r>
              <w:rPr>
                <w:b w:val="0"/>
                <w:bCs w:val="0"/>
              </w:rPr>
              <w:t>地下水产生不良影响。</w:t>
            </w:r>
          </w:p>
          <w:p w14:paraId="05EEC968">
            <w:pPr>
              <w:pStyle w:val="54"/>
              <w:ind w:firstLine="480"/>
              <w:rPr>
                <w:b w:val="0"/>
                <w:bCs w:val="0"/>
              </w:rPr>
            </w:pPr>
            <w:r>
              <w:rPr>
                <w:rFonts w:hint="eastAsia"/>
                <w:b w:val="0"/>
                <w:bCs w:val="0"/>
              </w:rPr>
              <w:t>根据《环境影响评价技术导则 地下水环境》、</w:t>
            </w:r>
            <w:r>
              <w:rPr>
                <w:b w:val="0"/>
                <w:bCs w:val="0"/>
              </w:rPr>
              <w:t>《环境影响评价技术导则土壤环境》</w:t>
            </w:r>
            <w:r>
              <w:rPr>
                <w:rFonts w:hint="eastAsia"/>
                <w:b w:val="0"/>
                <w:bCs w:val="0"/>
              </w:rPr>
              <w:t>，将厂区划分为重点防渗区、一般防渗区和简单防渗区，针对不同的区域提出相应的防渗要求。厂区地下水分区防控划分见表4-23。</w:t>
            </w:r>
          </w:p>
          <w:p w14:paraId="34B13BC0">
            <w:pPr>
              <w:pStyle w:val="12"/>
              <w:spacing w:line="360" w:lineRule="auto"/>
              <w:ind w:left="0" w:leftChars="0" w:firstLine="0" w:firstLineChars="0"/>
              <w:jc w:val="center"/>
              <w:rPr>
                <w:b/>
              </w:rPr>
            </w:pPr>
            <w:r>
              <w:rPr>
                <w:b/>
              </w:rPr>
              <w:t>表</w:t>
            </w:r>
            <w:r>
              <w:rPr>
                <w:rFonts w:hint="eastAsia"/>
                <w:b/>
              </w:rPr>
              <w:t>4-23</w:t>
            </w:r>
            <w:r>
              <w:rPr>
                <w:b/>
              </w:rPr>
              <w:t xml:space="preserve"> 厂区地下水</w:t>
            </w:r>
            <w:r>
              <w:rPr>
                <w:rFonts w:hint="eastAsia"/>
                <w:b/>
              </w:rPr>
              <w:t>、土壤</w:t>
            </w:r>
            <w:r>
              <w:rPr>
                <w:b/>
              </w:rPr>
              <w:t>污染分区防渗表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2240"/>
              <w:gridCol w:w="4922"/>
            </w:tblGrid>
            <w:tr w14:paraId="2FA1F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4" w:type="pct"/>
                  <w:vAlign w:val="center"/>
                </w:tcPr>
                <w:p w14:paraId="0E4E0B98">
                  <w:pPr>
                    <w:pStyle w:val="17"/>
                    <w:tabs>
                      <w:tab w:val="left" w:pos="7500"/>
                    </w:tabs>
                    <w:spacing w:after="0"/>
                    <w:ind w:left="0" w:leftChars="0" w:firstLine="0" w:firstLineChars="0"/>
                    <w:jc w:val="center"/>
                    <w:rPr>
                      <w:b/>
                      <w:bCs/>
                      <w:szCs w:val="21"/>
                    </w:rPr>
                  </w:pPr>
                  <w:r>
                    <w:rPr>
                      <w:rFonts w:hint="eastAsia"/>
                      <w:b/>
                      <w:bCs/>
                      <w:szCs w:val="21"/>
                    </w:rPr>
                    <w:t>防渗区类别</w:t>
                  </w:r>
                </w:p>
              </w:tc>
              <w:tc>
                <w:tcPr>
                  <w:tcW w:w="1309" w:type="pct"/>
                  <w:vAlign w:val="center"/>
                </w:tcPr>
                <w:p w14:paraId="631F8DB3">
                  <w:pPr>
                    <w:pStyle w:val="17"/>
                    <w:tabs>
                      <w:tab w:val="left" w:pos="7500"/>
                    </w:tabs>
                    <w:spacing w:after="0"/>
                    <w:ind w:left="0" w:leftChars="0" w:firstLine="0" w:firstLineChars="0"/>
                    <w:jc w:val="center"/>
                    <w:rPr>
                      <w:b/>
                      <w:bCs/>
                      <w:szCs w:val="21"/>
                    </w:rPr>
                  </w:pPr>
                  <w:r>
                    <w:rPr>
                      <w:b/>
                      <w:bCs/>
                      <w:szCs w:val="21"/>
                    </w:rPr>
                    <w:t>防渗分区</w:t>
                  </w:r>
                </w:p>
              </w:tc>
              <w:tc>
                <w:tcPr>
                  <w:tcW w:w="2878" w:type="pct"/>
                  <w:vAlign w:val="center"/>
                </w:tcPr>
                <w:p w14:paraId="4C8BF0CE">
                  <w:pPr>
                    <w:pStyle w:val="17"/>
                    <w:tabs>
                      <w:tab w:val="left" w:pos="7500"/>
                    </w:tabs>
                    <w:spacing w:after="0"/>
                    <w:ind w:left="0" w:leftChars="0" w:firstLine="0" w:firstLineChars="0"/>
                    <w:jc w:val="center"/>
                    <w:rPr>
                      <w:b/>
                      <w:bCs/>
                      <w:szCs w:val="21"/>
                    </w:rPr>
                  </w:pPr>
                  <w:r>
                    <w:rPr>
                      <w:b/>
                      <w:bCs/>
                      <w:szCs w:val="21"/>
                    </w:rPr>
                    <w:t>防渗措施</w:t>
                  </w:r>
                </w:p>
              </w:tc>
            </w:tr>
            <w:tr w14:paraId="5CEAB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4" w:type="pct"/>
                  <w:vAlign w:val="center"/>
                </w:tcPr>
                <w:p w14:paraId="732B5236">
                  <w:pPr>
                    <w:pStyle w:val="17"/>
                    <w:tabs>
                      <w:tab w:val="left" w:pos="7500"/>
                    </w:tabs>
                    <w:spacing w:after="0"/>
                    <w:ind w:left="0" w:leftChars="0" w:firstLine="0" w:firstLineChars="0"/>
                    <w:jc w:val="center"/>
                    <w:rPr>
                      <w:szCs w:val="21"/>
                    </w:rPr>
                  </w:pPr>
                  <w:r>
                    <w:rPr>
                      <w:rFonts w:hint="eastAsia"/>
                      <w:szCs w:val="21"/>
                    </w:rPr>
                    <w:t>重点防渗区</w:t>
                  </w:r>
                </w:p>
              </w:tc>
              <w:tc>
                <w:tcPr>
                  <w:tcW w:w="1309" w:type="pct"/>
                  <w:vAlign w:val="center"/>
                </w:tcPr>
                <w:p w14:paraId="5FFDE68A">
                  <w:pPr>
                    <w:pStyle w:val="17"/>
                    <w:tabs>
                      <w:tab w:val="left" w:pos="7500"/>
                    </w:tabs>
                    <w:spacing w:after="0"/>
                    <w:ind w:left="0" w:leftChars="0" w:firstLine="0" w:firstLineChars="0"/>
                    <w:jc w:val="center"/>
                    <w:rPr>
                      <w:szCs w:val="21"/>
                    </w:rPr>
                  </w:pPr>
                  <w:r>
                    <w:rPr>
                      <w:rFonts w:hint="eastAsia"/>
                      <w:szCs w:val="21"/>
                    </w:rPr>
                    <w:t>生产车间（含废白土暂存区、白土渣暂存区）、溶剂油罐、危险废物暂存间</w:t>
                  </w:r>
                </w:p>
              </w:tc>
              <w:tc>
                <w:tcPr>
                  <w:tcW w:w="2878" w:type="pct"/>
                  <w:vAlign w:val="center"/>
                </w:tcPr>
                <w:p w14:paraId="2A821EF7">
                  <w:pPr>
                    <w:pStyle w:val="17"/>
                    <w:tabs>
                      <w:tab w:val="left" w:pos="7500"/>
                    </w:tabs>
                    <w:spacing w:after="0"/>
                    <w:ind w:left="0" w:leftChars="0" w:firstLine="0" w:firstLineChars="0"/>
                    <w:jc w:val="center"/>
                    <w:rPr>
                      <w:szCs w:val="21"/>
                    </w:rPr>
                  </w:pPr>
                  <w:r>
                    <w:rPr>
                      <w:rFonts w:hint="eastAsia"/>
                    </w:rPr>
                    <w:t>采用掺入水泥基渗透结晶型防水剂抗渗混凝土的方法进行处理，防渗层为至少1m厚黏土层(渗透系数不大于10</w:t>
                  </w:r>
                  <w:r>
                    <w:rPr>
                      <w:rFonts w:hint="eastAsia"/>
                      <w:vertAlign w:val="superscript"/>
                    </w:rPr>
                    <w:t>-7</w:t>
                  </w:r>
                  <w:r>
                    <w:rPr>
                      <w:rFonts w:hint="eastAsia"/>
                    </w:rPr>
                    <w:t>cm/s)，或至少2mm厚高密度聚乙烯膜等人工防渗材料(渗透系数不大于10</w:t>
                  </w:r>
                  <w:r>
                    <w:rPr>
                      <w:rFonts w:hint="eastAsia"/>
                      <w:vertAlign w:val="superscript"/>
                    </w:rPr>
                    <w:t>-10</w:t>
                  </w:r>
                  <w:r>
                    <w:rPr>
                      <w:rFonts w:hint="eastAsia"/>
                    </w:rPr>
                    <w:t>cm/s)，抗渗混凝土厚度不宜小于100mm，抗渗等级不低于P6，强度等级不低于C25，水灰比不宜大于0.5。危废暂存间地</w:t>
                  </w:r>
                  <w:r>
                    <w:rPr>
                      <w:rFonts w:hint="eastAsia"/>
                      <w:szCs w:val="21"/>
                    </w:rPr>
                    <w:t>面和墙面1m处涂环氧树脂漆防腐。</w:t>
                  </w:r>
                </w:p>
              </w:tc>
            </w:tr>
            <w:tr w14:paraId="581A8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4" w:type="pct"/>
                  <w:vAlign w:val="center"/>
                </w:tcPr>
                <w:p w14:paraId="32F94542">
                  <w:pPr>
                    <w:pStyle w:val="17"/>
                    <w:tabs>
                      <w:tab w:val="left" w:pos="7500"/>
                    </w:tabs>
                    <w:spacing w:after="0"/>
                    <w:ind w:left="0" w:leftChars="0" w:firstLine="0" w:firstLineChars="0"/>
                    <w:jc w:val="center"/>
                    <w:rPr>
                      <w:szCs w:val="21"/>
                    </w:rPr>
                  </w:pPr>
                  <w:r>
                    <w:rPr>
                      <w:szCs w:val="21"/>
                    </w:rPr>
                    <w:t>一般防渗区</w:t>
                  </w:r>
                </w:p>
              </w:tc>
              <w:tc>
                <w:tcPr>
                  <w:tcW w:w="1309" w:type="pct"/>
                  <w:vAlign w:val="center"/>
                </w:tcPr>
                <w:p w14:paraId="1FE2C9CC">
                  <w:pPr>
                    <w:pStyle w:val="17"/>
                    <w:tabs>
                      <w:tab w:val="left" w:pos="7500"/>
                    </w:tabs>
                    <w:spacing w:after="0"/>
                    <w:ind w:left="0" w:leftChars="0" w:firstLine="0" w:firstLineChars="0"/>
                    <w:jc w:val="center"/>
                    <w:rPr>
                      <w:szCs w:val="21"/>
                    </w:rPr>
                  </w:pPr>
                  <w:r>
                    <w:rPr>
                      <w:rFonts w:hint="eastAsia"/>
                      <w:szCs w:val="21"/>
                    </w:rPr>
                    <w:t>成品油罐区</w:t>
                  </w:r>
                </w:p>
              </w:tc>
              <w:tc>
                <w:tcPr>
                  <w:tcW w:w="2878" w:type="pct"/>
                  <w:vAlign w:val="center"/>
                </w:tcPr>
                <w:p w14:paraId="5A646243">
                  <w:pPr>
                    <w:widowControl/>
                    <w:jc w:val="center"/>
                  </w:pPr>
                  <w:r>
                    <w:t>地面采取黏土铺底，再在上层铺设10-15cm厚的水泥进行硬化，</w:t>
                  </w:r>
                  <w:r>
                    <w:rPr>
                      <w:kern w:val="0"/>
                      <w:lang w:bidi="ar"/>
                    </w:rPr>
                    <w:t xml:space="preserve">等效黏土防渗层 </w:t>
                  </w:r>
                  <w:r>
                    <w:rPr>
                      <w:i/>
                      <w:iCs/>
                      <w:kern w:val="0"/>
                      <w:lang w:bidi="ar"/>
                    </w:rPr>
                    <w:t>Mb</w:t>
                  </w:r>
                  <w:r>
                    <w:rPr>
                      <w:kern w:val="0"/>
                      <w:lang w:bidi="ar"/>
                    </w:rPr>
                    <w:t>≥1.5m，</w:t>
                  </w:r>
                  <w:r>
                    <w:rPr>
                      <w:i/>
                      <w:iCs/>
                      <w:kern w:val="0"/>
                      <w:lang w:bidi="ar"/>
                    </w:rPr>
                    <w:t>K</w:t>
                  </w:r>
                  <w:r>
                    <w:rPr>
                      <w:kern w:val="0"/>
                      <w:lang w:bidi="ar"/>
                    </w:rPr>
                    <w:t>≤1.0×10</w:t>
                  </w:r>
                  <w:r>
                    <w:rPr>
                      <w:kern w:val="0"/>
                      <w:vertAlign w:val="superscript"/>
                      <w:lang w:bidi="ar"/>
                    </w:rPr>
                    <w:t>-7</w:t>
                  </w:r>
                  <w:r>
                    <w:rPr>
                      <w:kern w:val="0"/>
                      <w:lang w:bidi="ar"/>
                    </w:rPr>
                    <w:t xml:space="preserve"> cm/s；</w:t>
                  </w:r>
                </w:p>
              </w:tc>
            </w:tr>
            <w:tr w14:paraId="5929C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4" w:type="pct"/>
                  <w:vAlign w:val="center"/>
                </w:tcPr>
                <w:p w14:paraId="0C78901A">
                  <w:pPr>
                    <w:pStyle w:val="17"/>
                    <w:tabs>
                      <w:tab w:val="left" w:pos="7500"/>
                    </w:tabs>
                    <w:spacing w:after="0"/>
                    <w:ind w:left="0" w:leftChars="0" w:firstLine="0" w:firstLineChars="0"/>
                    <w:jc w:val="center"/>
                    <w:rPr>
                      <w:szCs w:val="21"/>
                    </w:rPr>
                  </w:pPr>
                  <w:r>
                    <w:rPr>
                      <w:szCs w:val="21"/>
                    </w:rPr>
                    <w:t>简单防渗区</w:t>
                  </w:r>
                </w:p>
              </w:tc>
              <w:tc>
                <w:tcPr>
                  <w:tcW w:w="1309" w:type="pct"/>
                  <w:vAlign w:val="center"/>
                </w:tcPr>
                <w:p w14:paraId="083CE09C">
                  <w:pPr>
                    <w:pStyle w:val="17"/>
                    <w:tabs>
                      <w:tab w:val="left" w:pos="7500"/>
                    </w:tabs>
                    <w:spacing w:after="0"/>
                    <w:ind w:left="0" w:leftChars="0" w:firstLine="0" w:firstLineChars="0"/>
                    <w:jc w:val="center"/>
                    <w:rPr>
                      <w:szCs w:val="21"/>
                    </w:rPr>
                  </w:pPr>
                  <w:r>
                    <w:rPr>
                      <w:szCs w:val="21"/>
                    </w:rPr>
                    <w:t>办公</w:t>
                  </w:r>
                  <w:r>
                    <w:rPr>
                      <w:rFonts w:hint="eastAsia"/>
                      <w:szCs w:val="21"/>
                    </w:rPr>
                    <w:t>区及其他公共区域</w:t>
                  </w:r>
                </w:p>
              </w:tc>
              <w:tc>
                <w:tcPr>
                  <w:tcW w:w="2878" w:type="pct"/>
                  <w:vAlign w:val="center"/>
                </w:tcPr>
                <w:p w14:paraId="228165C3">
                  <w:pPr>
                    <w:pStyle w:val="17"/>
                    <w:tabs>
                      <w:tab w:val="left" w:pos="7500"/>
                    </w:tabs>
                    <w:spacing w:after="0"/>
                    <w:ind w:left="0" w:leftChars="0" w:firstLine="0" w:firstLineChars="0"/>
                    <w:jc w:val="center"/>
                    <w:rPr>
                      <w:szCs w:val="21"/>
                    </w:rPr>
                  </w:pPr>
                  <w:r>
                    <w:rPr>
                      <w:szCs w:val="21"/>
                    </w:rPr>
                    <w:t>一般地面硬底化</w:t>
                  </w:r>
                </w:p>
              </w:tc>
            </w:tr>
          </w:tbl>
          <w:p w14:paraId="579F6922">
            <w:pPr>
              <w:pStyle w:val="82"/>
              <w:spacing w:before="120" w:beforeLines="50"/>
              <w:ind w:firstLine="480"/>
              <w:rPr>
                <w:kern w:val="0"/>
                <w:szCs w:val="20"/>
              </w:rPr>
            </w:pPr>
            <w:r>
              <w:rPr>
                <w:kern w:val="0"/>
                <w:szCs w:val="20"/>
              </w:rPr>
              <w:t>项目生产车间均已进行水泥地面硬底化处理，厂区各区域均做好有效的防渗措施，正常生产情况对土壤和地下水无影响，为避免废水泄漏污染土壤、地下水环境，在废水和废物储存及处理构筑物采取相应措施，防止和降低污染物跑、冒、滴、漏，将污染物泄漏的环境风险事故降到最低程度。加强对污水管道的巡视、管理及水量监测，及时掌握水量变化以便污水渗漏时做出判断并采取相应措施，做到污染物“早发现、早处理”，减少由于埋地管道泄漏而造成的地下水、土壤污染。</w:t>
            </w:r>
          </w:p>
          <w:p w14:paraId="1991116C">
            <w:pPr>
              <w:pStyle w:val="16"/>
              <w:spacing w:before="0" w:after="0" w:line="360" w:lineRule="auto"/>
              <w:ind w:right="0" w:firstLine="480" w:firstLineChars="200"/>
              <w:rPr>
                <w:sz w:val="24"/>
              </w:rPr>
            </w:pPr>
            <w:r>
              <w:rPr>
                <w:sz w:val="24"/>
              </w:rPr>
              <w:t>本项目运营期无土壤、地下水污染途径，在采取以上措施后，对周围土壤、地下水环境影响较小。</w:t>
            </w:r>
          </w:p>
          <w:p w14:paraId="6063C45A">
            <w:pPr>
              <w:pStyle w:val="16"/>
              <w:spacing w:before="0" w:after="0" w:line="360" w:lineRule="auto"/>
              <w:ind w:right="0" w:firstLine="480" w:firstLineChars="200"/>
              <w:rPr>
                <w:sz w:val="24"/>
              </w:rPr>
            </w:pPr>
            <w:r>
              <w:rPr>
                <w:rFonts w:hint="eastAsia"/>
                <w:sz w:val="24"/>
              </w:rPr>
              <w:t>综上所述，项目厂房范围已全部水泥硬化，无污染和下渗途径，不涉及重金属和有毒有害物质排放，不存在土壤、地下水环境污染的情况，故不需要开展地下水、土壤跟踪监测。</w:t>
            </w:r>
          </w:p>
          <w:p w14:paraId="4C6652D2">
            <w:pPr>
              <w:pStyle w:val="54"/>
            </w:pPr>
            <w:r>
              <w:t>6.环境风险</w:t>
            </w:r>
          </w:p>
          <w:p w14:paraId="1E49617C">
            <w:pPr>
              <w:spacing w:line="360" w:lineRule="auto"/>
              <w:ind w:firstLine="480" w:firstLineChars="200"/>
              <w:rPr>
                <w:sz w:val="24"/>
              </w:rPr>
            </w:pPr>
            <w:r>
              <w:rPr>
                <w:rFonts w:hint="eastAsia" w:cs="宋体"/>
                <w:sz w:val="24"/>
                <w:lang w:bidi="ar"/>
              </w:rPr>
              <w:t>根据《建设项目环境影响报告表编制技术指南（污染影响类）（试行）》，本项目有毒有害和易燃易爆危险物质存储量超过临界量，需开展环境风险专项评价工作，环境风险评价内容详见环境风险专项评价。</w:t>
            </w:r>
          </w:p>
          <w:p w14:paraId="582BF885">
            <w:pPr>
              <w:pStyle w:val="54"/>
              <w:ind w:firstLine="480"/>
              <w:rPr>
                <w:rFonts w:cs="宋体"/>
                <w:b w:val="0"/>
                <w:kern w:val="0"/>
                <w:lang w:bidi="ar"/>
              </w:rPr>
            </w:pPr>
            <w:r>
              <w:rPr>
                <w:rFonts w:hint="eastAsia" w:cs="宋体"/>
                <w:b w:val="0"/>
                <w:lang w:bidi="ar"/>
              </w:rPr>
              <w:t>由环境风险专项评价可知，本项目运行过程存在一定的概率会发生环境风险事故。为了防范事故和减少危害，本项目企业应加强管理，制定切实可行的风险事故应急预案，配备相应的应急物资，定期对应急预案进行演练和修编，并落实应急预案中的环境风险防范措施等。一旦发生环境风险事故，应及时启动环境风险应急预案，防止和减缓事故对周围环境的影响以及对环境风险影响范围内居民的危害。总体上项目建成后，在确保环境风险防范措施落实的基础上，本项目环境风险是可防控的</w:t>
            </w:r>
            <w:r>
              <w:rPr>
                <w:rFonts w:hint="eastAsia" w:cs="宋体"/>
                <w:b w:val="0"/>
                <w:kern w:val="0"/>
                <w:lang w:bidi="ar"/>
              </w:rPr>
              <w:t>。</w:t>
            </w:r>
          </w:p>
          <w:p w14:paraId="29E9F882">
            <w:pPr>
              <w:pStyle w:val="16"/>
              <w:spacing w:before="0" w:after="0" w:line="360" w:lineRule="auto"/>
              <w:ind w:right="0" w:firstLine="480" w:firstLineChars="200"/>
              <w:rPr>
                <w:sz w:val="24"/>
              </w:rPr>
            </w:pPr>
            <w:r>
              <w:rPr>
                <w:rFonts w:hint="eastAsia"/>
                <w:sz w:val="24"/>
              </w:rPr>
              <w:t>详见环境风险评价专项分析。</w:t>
            </w:r>
          </w:p>
          <w:p w14:paraId="1748B82E">
            <w:pPr>
              <w:pStyle w:val="54"/>
              <w:ind w:firstLine="442"/>
              <w:rPr>
                <w:rFonts w:hint="eastAsia"/>
                <w:bCs w:val="0"/>
                <w:spacing w:val="-10"/>
              </w:rPr>
            </w:pPr>
          </w:p>
        </w:tc>
      </w:tr>
    </w:tbl>
    <w:p w14:paraId="48147662">
      <w:pPr>
        <w:pStyle w:val="13"/>
        <w:ind w:firstLine="0"/>
      </w:pPr>
    </w:p>
    <w:p w14:paraId="369B9429">
      <w:pPr>
        <w:sectPr>
          <w:pgSz w:w="11906" w:h="16838"/>
          <w:pgMar w:top="1418" w:right="1134" w:bottom="1418" w:left="1418" w:header="851" w:footer="992" w:gutter="0"/>
          <w:pgNumType w:fmt="decimal"/>
          <w:cols w:space="425" w:num="1"/>
          <w:vAlign w:val="center"/>
          <w:docGrid w:linePitch="312" w:charSpace="0"/>
        </w:sectPr>
      </w:pPr>
    </w:p>
    <w:p w14:paraId="10419192">
      <w:pPr>
        <w:pStyle w:val="32"/>
        <w:spacing w:before="0" w:beforeAutospacing="0" w:after="0" w:afterAutospacing="0"/>
        <w:jc w:val="center"/>
        <w:outlineLvl w:val="0"/>
        <w:rPr>
          <w:rFonts w:hint="eastAsia" w:ascii="黑体" w:hAnsi="黑体" w:eastAsia="黑体"/>
          <w:snapToGrid w:val="0"/>
          <w:sz w:val="30"/>
          <w:szCs w:val="30"/>
        </w:rPr>
      </w:pPr>
      <w:bookmarkStart w:id="25" w:name="_Toc209949143"/>
      <w:r>
        <w:rPr>
          <w:rFonts w:hint="eastAsia" w:ascii="黑体" w:hAnsi="黑体" w:eastAsia="黑体"/>
          <w:snapToGrid w:val="0"/>
          <w:sz w:val="30"/>
          <w:szCs w:val="30"/>
        </w:rPr>
        <w:t>五、</w:t>
      </w:r>
      <w:r>
        <w:rPr>
          <w:rFonts w:ascii="黑体" w:hAnsi="黑体" w:eastAsia="黑体"/>
          <w:snapToGrid w:val="0"/>
          <w:sz w:val="30"/>
          <w:szCs w:val="30"/>
        </w:rPr>
        <w:t>环境保护措施监督检查清单</w:t>
      </w:r>
      <w:bookmarkEnd w:id="25"/>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280"/>
        <w:gridCol w:w="1765"/>
        <w:gridCol w:w="1889"/>
        <w:gridCol w:w="3767"/>
      </w:tblGrid>
      <w:tr w14:paraId="1272AA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tcBorders>
              <w:tl2br w:val="single" w:color="auto" w:sz="4" w:space="0"/>
            </w:tcBorders>
          </w:tcPr>
          <w:p w14:paraId="3E7A5718">
            <w:pPr>
              <w:pStyle w:val="49"/>
            </w:pPr>
            <w:r>
              <w:t xml:space="preserve"> 内容</w:t>
            </w:r>
          </w:p>
          <w:p w14:paraId="766C1160">
            <w:pPr>
              <w:pStyle w:val="49"/>
            </w:pPr>
          </w:p>
          <w:p w14:paraId="2AE39207">
            <w:pPr>
              <w:pStyle w:val="49"/>
            </w:pPr>
            <w:r>
              <w:t>要素</w:t>
            </w:r>
          </w:p>
        </w:tc>
        <w:tc>
          <w:tcPr>
            <w:tcW w:w="669" w:type="pct"/>
            <w:vAlign w:val="center"/>
          </w:tcPr>
          <w:p w14:paraId="7765DDA6">
            <w:pPr>
              <w:pStyle w:val="49"/>
            </w:pPr>
            <w:r>
              <w:t>排放口(编号、名称)/污染源</w:t>
            </w:r>
          </w:p>
        </w:tc>
        <w:tc>
          <w:tcPr>
            <w:tcW w:w="922" w:type="pct"/>
            <w:vAlign w:val="center"/>
          </w:tcPr>
          <w:p w14:paraId="19F5119C">
            <w:pPr>
              <w:pStyle w:val="49"/>
            </w:pPr>
            <w:r>
              <w:t>污染物项目</w:t>
            </w:r>
          </w:p>
        </w:tc>
        <w:tc>
          <w:tcPr>
            <w:tcW w:w="987" w:type="pct"/>
            <w:vAlign w:val="center"/>
          </w:tcPr>
          <w:p w14:paraId="69B13B27">
            <w:pPr>
              <w:pStyle w:val="49"/>
            </w:pPr>
            <w:r>
              <w:t>环境保护措施</w:t>
            </w:r>
          </w:p>
        </w:tc>
        <w:tc>
          <w:tcPr>
            <w:tcW w:w="1968" w:type="pct"/>
            <w:vAlign w:val="center"/>
          </w:tcPr>
          <w:p w14:paraId="4F372AD2">
            <w:pPr>
              <w:pStyle w:val="49"/>
            </w:pPr>
            <w:r>
              <w:t>执行标准</w:t>
            </w:r>
          </w:p>
        </w:tc>
      </w:tr>
      <w:tr w14:paraId="7537D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restart"/>
            <w:vAlign w:val="center"/>
          </w:tcPr>
          <w:p w14:paraId="5402211F">
            <w:pPr>
              <w:pStyle w:val="49"/>
            </w:pPr>
            <w:r>
              <w:t>大气环境</w:t>
            </w:r>
          </w:p>
        </w:tc>
        <w:tc>
          <w:tcPr>
            <w:tcW w:w="669" w:type="pct"/>
            <w:vMerge w:val="restart"/>
            <w:vAlign w:val="center"/>
          </w:tcPr>
          <w:p w14:paraId="70BD7B33">
            <w:pPr>
              <w:pStyle w:val="49"/>
            </w:pPr>
            <w:r>
              <w:t>DA001</w:t>
            </w:r>
          </w:p>
        </w:tc>
        <w:tc>
          <w:tcPr>
            <w:tcW w:w="922" w:type="pct"/>
            <w:vAlign w:val="center"/>
          </w:tcPr>
          <w:p w14:paraId="302C44AC">
            <w:pPr>
              <w:pStyle w:val="49"/>
            </w:pPr>
            <w:r>
              <w:rPr>
                <w:rFonts w:hint="eastAsia" w:cs="宋体"/>
                <w:kern w:val="0"/>
              </w:rPr>
              <w:t>颗粒物</w:t>
            </w:r>
          </w:p>
        </w:tc>
        <w:tc>
          <w:tcPr>
            <w:tcW w:w="987" w:type="pct"/>
            <w:vMerge w:val="restart"/>
            <w:vAlign w:val="center"/>
          </w:tcPr>
          <w:p w14:paraId="2D5338C0">
            <w:pPr>
              <w:pStyle w:val="49"/>
              <w:rPr>
                <w:lang w:val="zh-CN"/>
              </w:rPr>
            </w:pPr>
            <w:r>
              <w:t>低氮燃烧</w:t>
            </w:r>
            <w:r>
              <w:rPr>
                <w:rFonts w:hint="eastAsia"/>
              </w:rPr>
              <w:t>+袋式除尘器+</w:t>
            </w:r>
            <w:r>
              <w:t>SCR</w:t>
            </w:r>
          </w:p>
        </w:tc>
        <w:tc>
          <w:tcPr>
            <w:tcW w:w="1968" w:type="pct"/>
            <w:vMerge w:val="restart"/>
            <w:vAlign w:val="center"/>
          </w:tcPr>
          <w:p w14:paraId="6CB4F56A">
            <w:pPr>
              <w:pStyle w:val="49"/>
            </w:pPr>
            <w:r>
              <w:rPr>
                <w:rFonts w:hint="eastAsia"/>
                <w:bCs/>
              </w:rPr>
              <w:t>广东省《锅炉大气污染物排放标准》（DB44/765-2019）表3大气污染物特别排放限值</w:t>
            </w:r>
          </w:p>
        </w:tc>
      </w:tr>
      <w:tr w14:paraId="470E7E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7609A32D">
            <w:pPr>
              <w:pStyle w:val="49"/>
            </w:pPr>
          </w:p>
        </w:tc>
        <w:tc>
          <w:tcPr>
            <w:tcW w:w="669" w:type="pct"/>
            <w:vMerge w:val="continue"/>
            <w:vAlign w:val="center"/>
          </w:tcPr>
          <w:p w14:paraId="6AC5DD7F">
            <w:pPr>
              <w:pStyle w:val="49"/>
            </w:pPr>
          </w:p>
        </w:tc>
        <w:tc>
          <w:tcPr>
            <w:tcW w:w="922" w:type="pct"/>
            <w:vAlign w:val="center"/>
          </w:tcPr>
          <w:p w14:paraId="43CF3D8F">
            <w:pPr>
              <w:pStyle w:val="49"/>
            </w:pPr>
            <w:r>
              <w:rPr>
                <w:kern w:val="0"/>
              </w:rPr>
              <w:t>NO</w:t>
            </w:r>
            <w:r>
              <w:rPr>
                <w:kern w:val="0"/>
                <w:vertAlign w:val="subscript"/>
              </w:rPr>
              <w:t>x</w:t>
            </w:r>
          </w:p>
        </w:tc>
        <w:tc>
          <w:tcPr>
            <w:tcW w:w="987" w:type="pct"/>
            <w:vMerge w:val="continue"/>
            <w:vAlign w:val="center"/>
          </w:tcPr>
          <w:p w14:paraId="00796A80">
            <w:pPr>
              <w:pStyle w:val="49"/>
            </w:pPr>
          </w:p>
        </w:tc>
        <w:tc>
          <w:tcPr>
            <w:tcW w:w="1968" w:type="pct"/>
            <w:vMerge w:val="continue"/>
            <w:vAlign w:val="center"/>
          </w:tcPr>
          <w:p w14:paraId="4CF751EB">
            <w:pPr>
              <w:pStyle w:val="49"/>
            </w:pPr>
          </w:p>
        </w:tc>
      </w:tr>
      <w:tr w14:paraId="2A91BA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474B0868">
            <w:pPr>
              <w:pStyle w:val="49"/>
            </w:pPr>
          </w:p>
        </w:tc>
        <w:tc>
          <w:tcPr>
            <w:tcW w:w="669" w:type="pct"/>
            <w:vMerge w:val="continue"/>
            <w:vAlign w:val="center"/>
          </w:tcPr>
          <w:p w14:paraId="248E4FAE">
            <w:pPr>
              <w:pStyle w:val="49"/>
            </w:pPr>
          </w:p>
        </w:tc>
        <w:tc>
          <w:tcPr>
            <w:tcW w:w="922" w:type="pct"/>
            <w:vAlign w:val="center"/>
          </w:tcPr>
          <w:p w14:paraId="02938E25">
            <w:pPr>
              <w:pStyle w:val="49"/>
            </w:pPr>
            <w:r>
              <w:rPr>
                <w:kern w:val="0"/>
              </w:rPr>
              <w:t>SO</w:t>
            </w:r>
            <w:r>
              <w:rPr>
                <w:kern w:val="0"/>
                <w:vertAlign w:val="subscript"/>
              </w:rPr>
              <w:t>2</w:t>
            </w:r>
          </w:p>
        </w:tc>
        <w:tc>
          <w:tcPr>
            <w:tcW w:w="987" w:type="pct"/>
            <w:vMerge w:val="continue"/>
            <w:vAlign w:val="center"/>
          </w:tcPr>
          <w:p w14:paraId="71C0E34D">
            <w:pPr>
              <w:pStyle w:val="49"/>
            </w:pPr>
          </w:p>
        </w:tc>
        <w:tc>
          <w:tcPr>
            <w:tcW w:w="1968" w:type="pct"/>
            <w:vMerge w:val="continue"/>
            <w:vAlign w:val="center"/>
          </w:tcPr>
          <w:p w14:paraId="0FDCF438">
            <w:pPr>
              <w:pStyle w:val="49"/>
            </w:pPr>
          </w:p>
        </w:tc>
      </w:tr>
      <w:tr w14:paraId="17680E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589C11C2">
            <w:pPr>
              <w:pStyle w:val="49"/>
            </w:pPr>
          </w:p>
        </w:tc>
        <w:tc>
          <w:tcPr>
            <w:tcW w:w="669" w:type="pct"/>
            <w:vMerge w:val="restart"/>
            <w:vAlign w:val="center"/>
          </w:tcPr>
          <w:p w14:paraId="766217AA">
            <w:pPr>
              <w:pStyle w:val="49"/>
            </w:pPr>
            <w:r>
              <w:t>DA00</w:t>
            </w:r>
            <w:r>
              <w:rPr>
                <w:rFonts w:hint="eastAsia"/>
              </w:rPr>
              <w:t>3</w:t>
            </w:r>
          </w:p>
        </w:tc>
        <w:tc>
          <w:tcPr>
            <w:tcW w:w="922" w:type="pct"/>
            <w:vAlign w:val="center"/>
          </w:tcPr>
          <w:p w14:paraId="2C32CCF2">
            <w:pPr>
              <w:pStyle w:val="49"/>
            </w:pPr>
            <w:r>
              <w:rPr>
                <w:rFonts w:hint="eastAsia"/>
              </w:rPr>
              <w:t>非甲烷总烃</w:t>
            </w:r>
          </w:p>
        </w:tc>
        <w:tc>
          <w:tcPr>
            <w:tcW w:w="987" w:type="pct"/>
            <w:vMerge w:val="restart"/>
            <w:vAlign w:val="center"/>
          </w:tcPr>
          <w:p w14:paraId="33ED20E1">
            <w:pPr>
              <w:pStyle w:val="49"/>
            </w:pPr>
            <w:r>
              <w:rPr>
                <w:rFonts w:hint="eastAsia"/>
              </w:rPr>
              <w:t>二级活性炭吸附</w:t>
            </w:r>
          </w:p>
        </w:tc>
        <w:tc>
          <w:tcPr>
            <w:tcW w:w="1968" w:type="pct"/>
            <w:vAlign w:val="center"/>
          </w:tcPr>
          <w:p w14:paraId="2B131DB9">
            <w:pPr>
              <w:pStyle w:val="49"/>
            </w:pPr>
            <w:r>
              <w:rPr>
                <w:rFonts w:hint="eastAsia"/>
                <w:bCs/>
              </w:rPr>
              <w:t>广东省《固定污染源挥发性有机物综合排放标准》（DB44/2367-2022）表1挥发性有机物排放限值</w:t>
            </w:r>
          </w:p>
        </w:tc>
      </w:tr>
      <w:tr w14:paraId="655F79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751F7732">
            <w:pPr>
              <w:pStyle w:val="49"/>
            </w:pPr>
          </w:p>
        </w:tc>
        <w:tc>
          <w:tcPr>
            <w:tcW w:w="669" w:type="pct"/>
            <w:vMerge w:val="continue"/>
            <w:vAlign w:val="center"/>
          </w:tcPr>
          <w:p w14:paraId="532CBCD0">
            <w:pPr>
              <w:pStyle w:val="49"/>
            </w:pPr>
          </w:p>
        </w:tc>
        <w:tc>
          <w:tcPr>
            <w:tcW w:w="922" w:type="pct"/>
            <w:vAlign w:val="center"/>
          </w:tcPr>
          <w:p w14:paraId="765456F1">
            <w:pPr>
              <w:pStyle w:val="49"/>
            </w:pPr>
            <w:r>
              <w:rPr>
                <w:rFonts w:hint="eastAsia"/>
              </w:rPr>
              <w:t>硫化氢</w:t>
            </w:r>
          </w:p>
        </w:tc>
        <w:tc>
          <w:tcPr>
            <w:tcW w:w="987" w:type="pct"/>
            <w:vMerge w:val="continue"/>
            <w:vAlign w:val="center"/>
          </w:tcPr>
          <w:p w14:paraId="1C986486">
            <w:pPr>
              <w:pStyle w:val="49"/>
            </w:pPr>
          </w:p>
        </w:tc>
        <w:tc>
          <w:tcPr>
            <w:tcW w:w="1968" w:type="pct"/>
            <w:vMerge w:val="restart"/>
            <w:vAlign w:val="center"/>
          </w:tcPr>
          <w:p w14:paraId="1D551DA8">
            <w:pPr>
              <w:pStyle w:val="49"/>
            </w:pPr>
            <w:r>
              <w:rPr>
                <w:rFonts w:hint="eastAsia"/>
                <w:bCs/>
              </w:rPr>
              <w:t>《恶臭污染物排放标准》（GB14554-93）表2恶臭污染物排放标准</w:t>
            </w:r>
          </w:p>
        </w:tc>
      </w:tr>
      <w:tr w14:paraId="3360F2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5ED55739">
            <w:pPr>
              <w:pStyle w:val="49"/>
            </w:pPr>
          </w:p>
        </w:tc>
        <w:tc>
          <w:tcPr>
            <w:tcW w:w="669" w:type="pct"/>
            <w:vMerge w:val="continue"/>
            <w:vAlign w:val="center"/>
          </w:tcPr>
          <w:p w14:paraId="39800D69">
            <w:pPr>
              <w:pStyle w:val="49"/>
            </w:pPr>
          </w:p>
        </w:tc>
        <w:tc>
          <w:tcPr>
            <w:tcW w:w="922" w:type="pct"/>
            <w:vAlign w:val="center"/>
          </w:tcPr>
          <w:p w14:paraId="008F379C">
            <w:pPr>
              <w:pStyle w:val="49"/>
            </w:pPr>
            <w:r>
              <w:rPr>
                <w:rFonts w:hint="eastAsia"/>
              </w:rPr>
              <w:t>氨</w:t>
            </w:r>
          </w:p>
        </w:tc>
        <w:tc>
          <w:tcPr>
            <w:tcW w:w="987" w:type="pct"/>
            <w:vMerge w:val="continue"/>
            <w:vAlign w:val="center"/>
          </w:tcPr>
          <w:p w14:paraId="11551392">
            <w:pPr>
              <w:pStyle w:val="49"/>
            </w:pPr>
          </w:p>
        </w:tc>
        <w:tc>
          <w:tcPr>
            <w:tcW w:w="1968" w:type="pct"/>
            <w:vMerge w:val="continue"/>
            <w:vAlign w:val="center"/>
          </w:tcPr>
          <w:p w14:paraId="07DC8EDA">
            <w:pPr>
              <w:pStyle w:val="49"/>
            </w:pPr>
          </w:p>
        </w:tc>
      </w:tr>
      <w:tr w14:paraId="786ACA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61E01951">
            <w:pPr>
              <w:pStyle w:val="49"/>
            </w:pPr>
          </w:p>
        </w:tc>
        <w:tc>
          <w:tcPr>
            <w:tcW w:w="669" w:type="pct"/>
            <w:vMerge w:val="continue"/>
            <w:vAlign w:val="center"/>
          </w:tcPr>
          <w:p w14:paraId="6D3824C5">
            <w:pPr>
              <w:pStyle w:val="49"/>
            </w:pPr>
          </w:p>
        </w:tc>
        <w:tc>
          <w:tcPr>
            <w:tcW w:w="922" w:type="pct"/>
            <w:vAlign w:val="center"/>
          </w:tcPr>
          <w:p w14:paraId="1DE78C6F">
            <w:pPr>
              <w:pStyle w:val="49"/>
            </w:pPr>
            <w:r>
              <w:rPr>
                <w:rFonts w:hint="eastAsia"/>
              </w:rPr>
              <w:t>臭气浓度</w:t>
            </w:r>
          </w:p>
        </w:tc>
        <w:tc>
          <w:tcPr>
            <w:tcW w:w="987" w:type="pct"/>
            <w:vMerge w:val="continue"/>
            <w:vAlign w:val="center"/>
          </w:tcPr>
          <w:p w14:paraId="57034355">
            <w:pPr>
              <w:pStyle w:val="49"/>
            </w:pPr>
          </w:p>
        </w:tc>
        <w:tc>
          <w:tcPr>
            <w:tcW w:w="1968" w:type="pct"/>
            <w:vMerge w:val="continue"/>
            <w:vAlign w:val="center"/>
          </w:tcPr>
          <w:p w14:paraId="333AF8E2">
            <w:pPr>
              <w:pStyle w:val="49"/>
            </w:pPr>
          </w:p>
        </w:tc>
      </w:tr>
      <w:tr w14:paraId="693CE9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79646EAD">
            <w:pPr>
              <w:pStyle w:val="49"/>
            </w:pPr>
          </w:p>
        </w:tc>
        <w:tc>
          <w:tcPr>
            <w:tcW w:w="669" w:type="pct"/>
            <w:vMerge w:val="restart"/>
            <w:vAlign w:val="center"/>
          </w:tcPr>
          <w:p w14:paraId="1CF6D39E">
            <w:pPr>
              <w:pStyle w:val="49"/>
            </w:pPr>
            <w:r>
              <w:t>厂界</w:t>
            </w:r>
          </w:p>
        </w:tc>
        <w:tc>
          <w:tcPr>
            <w:tcW w:w="922" w:type="pct"/>
            <w:vAlign w:val="center"/>
          </w:tcPr>
          <w:p w14:paraId="4421161C">
            <w:pPr>
              <w:pStyle w:val="49"/>
            </w:pPr>
            <w:r>
              <w:rPr>
                <w:rFonts w:hint="eastAsia"/>
              </w:rPr>
              <w:t>硫化氢</w:t>
            </w:r>
          </w:p>
        </w:tc>
        <w:tc>
          <w:tcPr>
            <w:tcW w:w="987" w:type="pct"/>
            <w:vMerge w:val="restart"/>
            <w:vAlign w:val="center"/>
          </w:tcPr>
          <w:p w14:paraId="445A157A">
            <w:pPr>
              <w:pStyle w:val="49"/>
            </w:pPr>
            <w:r>
              <w:t>加强车间通风</w:t>
            </w:r>
          </w:p>
        </w:tc>
        <w:tc>
          <w:tcPr>
            <w:tcW w:w="1968" w:type="pct"/>
            <w:vMerge w:val="restart"/>
            <w:vAlign w:val="center"/>
          </w:tcPr>
          <w:p w14:paraId="4EF6B2F9">
            <w:pPr>
              <w:pStyle w:val="49"/>
            </w:pPr>
            <w:r>
              <w:rPr>
                <w:rFonts w:hint="eastAsia"/>
                <w:bCs/>
              </w:rPr>
              <w:t>《恶臭污染物排放标准》（GB14554-93）表1恶臭污染物厂界标准值二级新改扩建标准</w:t>
            </w:r>
          </w:p>
        </w:tc>
      </w:tr>
      <w:tr w14:paraId="4D7AAF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290275FB">
            <w:pPr>
              <w:pStyle w:val="49"/>
            </w:pPr>
          </w:p>
        </w:tc>
        <w:tc>
          <w:tcPr>
            <w:tcW w:w="669" w:type="pct"/>
            <w:vMerge w:val="continue"/>
            <w:vAlign w:val="center"/>
          </w:tcPr>
          <w:p w14:paraId="5E74F7CC">
            <w:pPr>
              <w:pStyle w:val="49"/>
            </w:pPr>
          </w:p>
        </w:tc>
        <w:tc>
          <w:tcPr>
            <w:tcW w:w="922" w:type="pct"/>
            <w:vAlign w:val="center"/>
          </w:tcPr>
          <w:p w14:paraId="4853303D">
            <w:pPr>
              <w:pStyle w:val="49"/>
            </w:pPr>
            <w:r>
              <w:rPr>
                <w:rFonts w:hint="eastAsia"/>
              </w:rPr>
              <w:t>氨</w:t>
            </w:r>
          </w:p>
        </w:tc>
        <w:tc>
          <w:tcPr>
            <w:tcW w:w="987" w:type="pct"/>
            <w:vMerge w:val="continue"/>
            <w:vAlign w:val="center"/>
          </w:tcPr>
          <w:p w14:paraId="3A6E79EA">
            <w:pPr>
              <w:pStyle w:val="49"/>
            </w:pPr>
          </w:p>
        </w:tc>
        <w:tc>
          <w:tcPr>
            <w:tcW w:w="1968" w:type="pct"/>
            <w:vMerge w:val="continue"/>
            <w:vAlign w:val="center"/>
          </w:tcPr>
          <w:p w14:paraId="3B47D31C">
            <w:pPr>
              <w:pStyle w:val="49"/>
            </w:pPr>
          </w:p>
        </w:tc>
      </w:tr>
      <w:tr w14:paraId="7071D9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40994CAF">
            <w:pPr>
              <w:pStyle w:val="49"/>
            </w:pPr>
          </w:p>
        </w:tc>
        <w:tc>
          <w:tcPr>
            <w:tcW w:w="669" w:type="pct"/>
            <w:vMerge w:val="continue"/>
            <w:vAlign w:val="center"/>
          </w:tcPr>
          <w:p w14:paraId="541FB901">
            <w:pPr>
              <w:pStyle w:val="49"/>
            </w:pPr>
          </w:p>
        </w:tc>
        <w:tc>
          <w:tcPr>
            <w:tcW w:w="922" w:type="pct"/>
            <w:vAlign w:val="center"/>
          </w:tcPr>
          <w:p w14:paraId="600936A0">
            <w:pPr>
              <w:pStyle w:val="49"/>
            </w:pPr>
            <w:r>
              <w:rPr>
                <w:rFonts w:hint="eastAsia"/>
              </w:rPr>
              <w:t>臭气浓度</w:t>
            </w:r>
          </w:p>
        </w:tc>
        <w:tc>
          <w:tcPr>
            <w:tcW w:w="987" w:type="pct"/>
            <w:vMerge w:val="continue"/>
            <w:vAlign w:val="center"/>
          </w:tcPr>
          <w:p w14:paraId="5C817B1B">
            <w:pPr>
              <w:pStyle w:val="49"/>
            </w:pPr>
          </w:p>
        </w:tc>
        <w:tc>
          <w:tcPr>
            <w:tcW w:w="1968" w:type="pct"/>
            <w:vMerge w:val="continue"/>
            <w:vAlign w:val="center"/>
          </w:tcPr>
          <w:p w14:paraId="6E5C929F">
            <w:pPr>
              <w:pStyle w:val="49"/>
            </w:pPr>
          </w:p>
        </w:tc>
      </w:tr>
      <w:tr w14:paraId="4AADEF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60D6B4AE">
            <w:pPr>
              <w:pStyle w:val="49"/>
            </w:pPr>
          </w:p>
        </w:tc>
        <w:tc>
          <w:tcPr>
            <w:tcW w:w="669" w:type="pct"/>
            <w:vAlign w:val="center"/>
          </w:tcPr>
          <w:p w14:paraId="27DE679B">
            <w:pPr>
              <w:pStyle w:val="49"/>
            </w:pPr>
            <w:r>
              <w:t>厂内</w:t>
            </w:r>
          </w:p>
        </w:tc>
        <w:tc>
          <w:tcPr>
            <w:tcW w:w="922" w:type="pct"/>
            <w:vAlign w:val="center"/>
          </w:tcPr>
          <w:p w14:paraId="1A396A78">
            <w:pPr>
              <w:pStyle w:val="49"/>
            </w:pPr>
            <w:r>
              <w:rPr>
                <w:rFonts w:hint="eastAsia"/>
              </w:rPr>
              <w:t>非甲烷总烃</w:t>
            </w:r>
          </w:p>
        </w:tc>
        <w:tc>
          <w:tcPr>
            <w:tcW w:w="987" w:type="pct"/>
            <w:vAlign w:val="center"/>
          </w:tcPr>
          <w:p w14:paraId="27B64A2C">
            <w:pPr>
              <w:pStyle w:val="49"/>
            </w:pPr>
            <w:r>
              <w:t>加强通风</w:t>
            </w:r>
          </w:p>
        </w:tc>
        <w:tc>
          <w:tcPr>
            <w:tcW w:w="1968" w:type="pct"/>
            <w:vAlign w:val="center"/>
          </w:tcPr>
          <w:p w14:paraId="174845E4">
            <w:pPr>
              <w:pStyle w:val="49"/>
            </w:pPr>
            <w:r>
              <w:t>广东省地方标准《固定污染源挥发性有机物综合排放标准》（DB44/2367-2022）表3厂区内VOCs无组织排放限值</w:t>
            </w:r>
          </w:p>
        </w:tc>
      </w:tr>
      <w:tr w14:paraId="2191FC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Align w:val="center"/>
          </w:tcPr>
          <w:p w14:paraId="0DC534E2">
            <w:pPr>
              <w:pStyle w:val="49"/>
            </w:pPr>
            <w:r>
              <w:t>地表水环境</w:t>
            </w:r>
          </w:p>
        </w:tc>
        <w:tc>
          <w:tcPr>
            <w:tcW w:w="669" w:type="pct"/>
            <w:vAlign w:val="center"/>
          </w:tcPr>
          <w:p w14:paraId="618A7101">
            <w:pPr>
              <w:pStyle w:val="49"/>
            </w:pPr>
            <w:r>
              <w:t>生活污水</w:t>
            </w:r>
          </w:p>
        </w:tc>
        <w:tc>
          <w:tcPr>
            <w:tcW w:w="922" w:type="pct"/>
            <w:vAlign w:val="center"/>
          </w:tcPr>
          <w:p w14:paraId="171E2854">
            <w:pPr>
              <w:pStyle w:val="49"/>
            </w:pPr>
            <w:r>
              <w:t>COD</w:t>
            </w:r>
            <w:r>
              <w:rPr>
                <w:vertAlign w:val="subscript"/>
              </w:rPr>
              <w:t>Cr</w:t>
            </w:r>
          </w:p>
          <w:p w14:paraId="7AFDE6BE">
            <w:pPr>
              <w:pStyle w:val="49"/>
            </w:pPr>
            <w:r>
              <w:t>BOD</w:t>
            </w:r>
            <w:r>
              <w:rPr>
                <w:vertAlign w:val="subscript"/>
              </w:rPr>
              <w:t>5</w:t>
            </w:r>
          </w:p>
          <w:p w14:paraId="798A0B1E">
            <w:pPr>
              <w:pStyle w:val="49"/>
            </w:pPr>
            <w:r>
              <w:t>SS</w:t>
            </w:r>
          </w:p>
          <w:p w14:paraId="3FD98718">
            <w:pPr>
              <w:pStyle w:val="49"/>
            </w:pPr>
            <w:r>
              <w:t>总磷</w:t>
            </w:r>
          </w:p>
          <w:p w14:paraId="17206DAD">
            <w:pPr>
              <w:pStyle w:val="49"/>
            </w:pPr>
            <w:r>
              <w:t>NH</w:t>
            </w:r>
            <w:r>
              <w:rPr>
                <w:vertAlign w:val="subscript"/>
              </w:rPr>
              <w:t>3</w:t>
            </w:r>
            <w:r>
              <w:t>-N</w:t>
            </w:r>
          </w:p>
        </w:tc>
        <w:tc>
          <w:tcPr>
            <w:tcW w:w="987" w:type="pct"/>
            <w:vAlign w:val="center"/>
          </w:tcPr>
          <w:p w14:paraId="521C440A">
            <w:pPr>
              <w:pStyle w:val="49"/>
            </w:pPr>
            <w:r>
              <w:rPr>
                <w:rFonts w:hint="eastAsia"/>
              </w:rPr>
              <w:t>依托厂区现有“微生物处理</w:t>
            </w:r>
            <w:r>
              <w:t>+</w:t>
            </w:r>
            <w:r>
              <w:rPr>
                <w:rFonts w:hint="eastAsia"/>
              </w:rPr>
              <w:t>人工湿地”系统处理达标后，用于山林灌溉</w:t>
            </w:r>
          </w:p>
        </w:tc>
        <w:tc>
          <w:tcPr>
            <w:tcW w:w="1968" w:type="pct"/>
            <w:vAlign w:val="center"/>
          </w:tcPr>
          <w:p w14:paraId="216B0455">
            <w:pPr>
              <w:pStyle w:val="49"/>
            </w:pPr>
            <w:r>
              <w:rPr>
                <w:rFonts w:hint="eastAsia"/>
                <w:bCs/>
              </w:rPr>
              <w:t>《城镇污水处理厂污染物排放标准》</w:t>
            </w:r>
            <w:r>
              <w:rPr>
                <w:bCs/>
              </w:rPr>
              <w:t>(GB18918-2002)</w:t>
            </w:r>
            <w:r>
              <w:rPr>
                <w:rFonts w:hint="eastAsia"/>
                <w:bCs/>
              </w:rPr>
              <w:t>二级标准及广东省《水污染物排放限值》</w:t>
            </w:r>
            <w:r>
              <w:rPr>
                <w:bCs/>
              </w:rPr>
              <w:t>(DB44/26-2001)</w:t>
            </w:r>
            <w:r>
              <w:rPr>
                <w:rFonts w:hint="eastAsia"/>
                <w:bCs/>
              </w:rPr>
              <w:t>第二时段二级标准</w:t>
            </w:r>
            <w:r>
              <w:rPr>
                <w:bCs/>
              </w:rPr>
              <w:t>（</w:t>
            </w:r>
            <w:r>
              <w:rPr>
                <w:rFonts w:hint="eastAsia"/>
                <w:bCs/>
              </w:rPr>
              <w:t>城镇二级污水处理厂</w:t>
            </w:r>
            <w:r>
              <w:rPr>
                <w:bCs/>
              </w:rPr>
              <w:t>）</w:t>
            </w:r>
            <w:r>
              <w:rPr>
                <w:rFonts w:hint="eastAsia"/>
                <w:bCs/>
              </w:rPr>
              <w:t>较严者</w:t>
            </w:r>
          </w:p>
        </w:tc>
      </w:tr>
      <w:tr w14:paraId="7F80D7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Align w:val="center"/>
          </w:tcPr>
          <w:p w14:paraId="788CFF37">
            <w:pPr>
              <w:pStyle w:val="49"/>
            </w:pPr>
            <w:r>
              <w:t>声环境</w:t>
            </w:r>
          </w:p>
        </w:tc>
        <w:tc>
          <w:tcPr>
            <w:tcW w:w="669" w:type="pct"/>
            <w:vAlign w:val="center"/>
          </w:tcPr>
          <w:p w14:paraId="5427CE3A">
            <w:pPr>
              <w:pStyle w:val="49"/>
            </w:pPr>
            <w:r>
              <w:t>生产及辅助设备</w:t>
            </w:r>
          </w:p>
        </w:tc>
        <w:tc>
          <w:tcPr>
            <w:tcW w:w="922" w:type="pct"/>
            <w:vAlign w:val="center"/>
          </w:tcPr>
          <w:p w14:paraId="161F5A9E">
            <w:pPr>
              <w:pStyle w:val="49"/>
            </w:pPr>
            <w:r>
              <w:t>噪声</w:t>
            </w:r>
          </w:p>
        </w:tc>
        <w:tc>
          <w:tcPr>
            <w:tcW w:w="987" w:type="pct"/>
            <w:vAlign w:val="center"/>
          </w:tcPr>
          <w:p w14:paraId="4BE4272E">
            <w:pPr>
              <w:pStyle w:val="49"/>
            </w:pPr>
            <w:r>
              <w:t>车间隔声、基础减振</w:t>
            </w:r>
          </w:p>
        </w:tc>
        <w:tc>
          <w:tcPr>
            <w:tcW w:w="1968" w:type="pct"/>
            <w:vAlign w:val="center"/>
          </w:tcPr>
          <w:p w14:paraId="0ABFEA01">
            <w:pPr>
              <w:pStyle w:val="49"/>
            </w:pPr>
            <w:r>
              <w:t>满足《工业企业厂界环境噪声排放标准》（GB12348-2008）</w:t>
            </w:r>
            <w:r>
              <w:rPr>
                <w:rFonts w:hint="eastAsia"/>
              </w:rPr>
              <w:t>2</w:t>
            </w:r>
            <w:r>
              <w:t>类标准</w:t>
            </w:r>
          </w:p>
        </w:tc>
      </w:tr>
      <w:tr w14:paraId="19429D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Align w:val="center"/>
          </w:tcPr>
          <w:p w14:paraId="0CC980EE">
            <w:pPr>
              <w:pStyle w:val="49"/>
            </w:pPr>
            <w:r>
              <w:t>电磁辐射</w:t>
            </w:r>
          </w:p>
        </w:tc>
        <w:tc>
          <w:tcPr>
            <w:tcW w:w="669" w:type="pct"/>
            <w:vAlign w:val="center"/>
          </w:tcPr>
          <w:p w14:paraId="2963D4A6">
            <w:pPr>
              <w:pStyle w:val="49"/>
            </w:pPr>
            <w:r>
              <w:t>/</w:t>
            </w:r>
          </w:p>
        </w:tc>
        <w:tc>
          <w:tcPr>
            <w:tcW w:w="922" w:type="pct"/>
            <w:vAlign w:val="center"/>
          </w:tcPr>
          <w:p w14:paraId="75E1A1E5">
            <w:pPr>
              <w:pStyle w:val="49"/>
            </w:pPr>
            <w:r>
              <w:t>/</w:t>
            </w:r>
          </w:p>
        </w:tc>
        <w:tc>
          <w:tcPr>
            <w:tcW w:w="987" w:type="pct"/>
            <w:vAlign w:val="center"/>
          </w:tcPr>
          <w:p w14:paraId="6C0CB3DE">
            <w:pPr>
              <w:pStyle w:val="49"/>
            </w:pPr>
            <w:r>
              <w:t>/</w:t>
            </w:r>
          </w:p>
        </w:tc>
        <w:tc>
          <w:tcPr>
            <w:tcW w:w="1968" w:type="pct"/>
            <w:vAlign w:val="center"/>
          </w:tcPr>
          <w:p w14:paraId="3E5D3838">
            <w:pPr>
              <w:pStyle w:val="49"/>
            </w:pPr>
            <w:r>
              <w:t>/</w:t>
            </w:r>
          </w:p>
        </w:tc>
      </w:tr>
      <w:tr w14:paraId="420972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restart"/>
            <w:vAlign w:val="center"/>
          </w:tcPr>
          <w:p w14:paraId="2BAD8D8E">
            <w:pPr>
              <w:pStyle w:val="49"/>
            </w:pPr>
            <w:r>
              <w:t>固体废物</w:t>
            </w:r>
          </w:p>
        </w:tc>
        <w:tc>
          <w:tcPr>
            <w:tcW w:w="669" w:type="pct"/>
            <w:vMerge w:val="restart"/>
            <w:vAlign w:val="center"/>
          </w:tcPr>
          <w:p w14:paraId="3C1C5BA0">
            <w:pPr>
              <w:pStyle w:val="49"/>
            </w:pPr>
            <w:r>
              <w:t>一般固废</w:t>
            </w:r>
          </w:p>
        </w:tc>
        <w:tc>
          <w:tcPr>
            <w:tcW w:w="922" w:type="pct"/>
            <w:vAlign w:val="center"/>
          </w:tcPr>
          <w:p w14:paraId="26F3D734">
            <w:pPr>
              <w:pStyle w:val="49"/>
            </w:pPr>
            <w:r>
              <w:rPr>
                <w:rFonts w:hint="eastAsia"/>
                <w:szCs w:val="24"/>
              </w:rPr>
              <w:t>白土渣</w:t>
            </w:r>
          </w:p>
        </w:tc>
        <w:tc>
          <w:tcPr>
            <w:tcW w:w="987" w:type="pct"/>
            <w:vMerge w:val="restart"/>
            <w:vAlign w:val="center"/>
          </w:tcPr>
          <w:p w14:paraId="7393A3B4">
            <w:pPr>
              <w:pStyle w:val="49"/>
            </w:pPr>
            <w:r>
              <w:t>交由专业公司统一回收处理</w:t>
            </w:r>
          </w:p>
        </w:tc>
        <w:tc>
          <w:tcPr>
            <w:tcW w:w="1968" w:type="pct"/>
            <w:vMerge w:val="restart"/>
            <w:vAlign w:val="center"/>
          </w:tcPr>
          <w:p w14:paraId="01FC2AFA">
            <w:pPr>
              <w:pStyle w:val="49"/>
            </w:pPr>
            <w:r>
              <w:t>符合环保有关要求，对周围环境不会造成影响</w:t>
            </w:r>
            <w:r>
              <w:rPr>
                <w:rFonts w:hint="eastAsia"/>
              </w:rPr>
              <w:t>。</w:t>
            </w:r>
          </w:p>
        </w:tc>
      </w:tr>
      <w:tr w14:paraId="6FE9AE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7F7DE66B">
            <w:pPr>
              <w:pStyle w:val="49"/>
            </w:pPr>
          </w:p>
        </w:tc>
        <w:tc>
          <w:tcPr>
            <w:tcW w:w="669" w:type="pct"/>
            <w:vMerge w:val="continue"/>
            <w:vAlign w:val="center"/>
          </w:tcPr>
          <w:p w14:paraId="1BFD865E">
            <w:pPr>
              <w:pStyle w:val="49"/>
            </w:pPr>
          </w:p>
        </w:tc>
        <w:tc>
          <w:tcPr>
            <w:tcW w:w="922" w:type="pct"/>
            <w:vAlign w:val="center"/>
          </w:tcPr>
          <w:p w14:paraId="68188269">
            <w:pPr>
              <w:pStyle w:val="49"/>
            </w:pPr>
            <w:r>
              <w:rPr>
                <w:rFonts w:hint="eastAsia"/>
                <w:szCs w:val="24"/>
              </w:rPr>
              <w:t>炉渣</w:t>
            </w:r>
          </w:p>
        </w:tc>
        <w:tc>
          <w:tcPr>
            <w:tcW w:w="987" w:type="pct"/>
            <w:vMerge w:val="continue"/>
            <w:vAlign w:val="center"/>
          </w:tcPr>
          <w:p w14:paraId="0F4FF42D">
            <w:pPr>
              <w:pStyle w:val="49"/>
            </w:pPr>
          </w:p>
        </w:tc>
        <w:tc>
          <w:tcPr>
            <w:tcW w:w="1968" w:type="pct"/>
            <w:vMerge w:val="continue"/>
            <w:vAlign w:val="center"/>
          </w:tcPr>
          <w:p w14:paraId="095729C2">
            <w:pPr>
              <w:pStyle w:val="49"/>
            </w:pPr>
          </w:p>
        </w:tc>
      </w:tr>
      <w:tr w14:paraId="3A87E9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72E87D75">
            <w:pPr>
              <w:pStyle w:val="49"/>
            </w:pPr>
          </w:p>
        </w:tc>
        <w:tc>
          <w:tcPr>
            <w:tcW w:w="669" w:type="pct"/>
            <w:vMerge w:val="restart"/>
            <w:vAlign w:val="center"/>
          </w:tcPr>
          <w:p w14:paraId="5C21D6BB">
            <w:pPr>
              <w:pStyle w:val="49"/>
            </w:pPr>
            <w:r>
              <w:t>危险废物</w:t>
            </w:r>
          </w:p>
        </w:tc>
        <w:tc>
          <w:tcPr>
            <w:tcW w:w="922" w:type="pct"/>
            <w:vAlign w:val="center"/>
          </w:tcPr>
          <w:p w14:paraId="1937AD10">
            <w:pPr>
              <w:pStyle w:val="49"/>
            </w:pPr>
            <w:r>
              <w:t>废活性炭</w:t>
            </w:r>
          </w:p>
        </w:tc>
        <w:tc>
          <w:tcPr>
            <w:tcW w:w="987" w:type="pct"/>
            <w:vMerge w:val="restart"/>
            <w:vAlign w:val="center"/>
          </w:tcPr>
          <w:p w14:paraId="07F6EC39">
            <w:pPr>
              <w:pStyle w:val="49"/>
            </w:pPr>
            <w:r>
              <w:t>经收集暂存于危废暂存间，定期委托有危险废物处理资质的单位处理</w:t>
            </w:r>
          </w:p>
        </w:tc>
        <w:tc>
          <w:tcPr>
            <w:tcW w:w="1968" w:type="pct"/>
            <w:vMerge w:val="continue"/>
            <w:vAlign w:val="center"/>
          </w:tcPr>
          <w:p w14:paraId="26D0FD08">
            <w:pPr>
              <w:pStyle w:val="49"/>
            </w:pPr>
          </w:p>
        </w:tc>
      </w:tr>
      <w:tr w14:paraId="77AFEE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2B50B888">
            <w:pPr>
              <w:pStyle w:val="49"/>
            </w:pPr>
          </w:p>
        </w:tc>
        <w:tc>
          <w:tcPr>
            <w:tcW w:w="669" w:type="pct"/>
            <w:vMerge w:val="continue"/>
            <w:vAlign w:val="center"/>
          </w:tcPr>
          <w:p w14:paraId="52C3F799">
            <w:pPr>
              <w:pStyle w:val="49"/>
            </w:pPr>
          </w:p>
        </w:tc>
        <w:tc>
          <w:tcPr>
            <w:tcW w:w="922" w:type="pct"/>
            <w:vAlign w:val="center"/>
          </w:tcPr>
          <w:p w14:paraId="42FE7948">
            <w:pPr>
              <w:pStyle w:val="49"/>
            </w:pPr>
            <w:r>
              <w:t>废机油</w:t>
            </w:r>
          </w:p>
        </w:tc>
        <w:tc>
          <w:tcPr>
            <w:tcW w:w="987" w:type="pct"/>
            <w:vMerge w:val="continue"/>
            <w:vAlign w:val="center"/>
          </w:tcPr>
          <w:p w14:paraId="377F8AAF">
            <w:pPr>
              <w:pStyle w:val="49"/>
            </w:pPr>
          </w:p>
        </w:tc>
        <w:tc>
          <w:tcPr>
            <w:tcW w:w="1968" w:type="pct"/>
            <w:vMerge w:val="continue"/>
            <w:vAlign w:val="center"/>
          </w:tcPr>
          <w:p w14:paraId="32F83903">
            <w:pPr>
              <w:pStyle w:val="49"/>
            </w:pPr>
          </w:p>
        </w:tc>
      </w:tr>
      <w:tr w14:paraId="695988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54" w:type="pct"/>
            <w:vMerge w:val="continue"/>
            <w:vAlign w:val="center"/>
          </w:tcPr>
          <w:p w14:paraId="336F99DA">
            <w:pPr>
              <w:pStyle w:val="49"/>
            </w:pPr>
          </w:p>
        </w:tc>
        <w:tc>
          <w:tcPr>
            <w:tcW w:w="669" w:type="pct"/>
            <w:vMerge w:val="continue"/>
            <w:vAlign w:val="center"/>
          </w:tcPr>
          <w:p w14:paraId="5B6E207A">
            <w:pPr>
              <w:pStyle w:val="49"/>
            </w:pPr>
          </w:p>
        </w:tc>
        <w:tc>
          <w:tcPr>
            <w:tcW w:w="922" w:type="pct"/>
            <w:vAlign w:val="center"/>
          </w:tcPr>
          <w:p w14:paraId="2AE0D1D2">
            <w:pPr>
              <w:pStyle w:val="49"/>
            </w:pPr>
            <w:r>
              <w:t>废机油桶</w:t>
            </w:r>
          </w:p>
        </w:tc>
        <w:tc>
          <w:tcPr>
            <w:tcW w:w="987" w:type="pct"/>
            <w:vMerge w:val="continue"/>
            <w:vAlign w:val="center"/>
          </w:tcPr>
          <w:p w14:paraId="0DDE358A">
            <w:pPr>
              <w:pStyle w:val="49"/>
            </w:pPr>
          </w:p>
        </w:tc>
        <w:tc>
          <w:tcPr>
            <w:tcW w:w="1968" w:type="pct"/>
            <w:vMerge w:val="continue"/>
            <w:vAlign w:val="center"/>
          </w:tcPr>
          <w:p w14:paraId="20B8B737">
            <w:pPr>
              <w:pStyle w:val="49"/>
            </w:pPr>
          </w:p>
        </w:tc>
      </w:tr>
      <w:tr w14:paraId="717C27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4" w:type="pct"/>
            <w:vMerge w:val="continue"/>
            <w:vAlign w:val="center"/>
          </w:tcPr>
          <w:p w14:paraId="651CBF1F">
            <w:pPr>
              <w:pStyle w:val="49"/>
            </w:pPr>
          </w:p>
        </w:tc>
        <w:tc>
          <w:tcPr>
            <w:tcW w:w="669" w:type="pct"/>
            <w:vMerge w:val="continue"/>
            <w:vAlign w:val="center"/>
          </w:tcPr>
          <w:p w14:paraId="1ADCEFE4">
            <w:pPr>
              <w:pStyle w:val="49"/>
            </w:pPr>
          </w:p>
        </w:tc>
        <w:tc>
          <w:tcPr>
            <w:tcW w:w="922" w:type="pct"/>
            <w:vAlign w:val="center"/>
          </w:tcPr>
          <w:p w14:paraId="142F0446">
            <w:pPr>
              <w:pStyle w:val="49"/>
            </w:pPr>
            <w:r>
              <w:rPr>
                <w:rFonts w:hint="eastAsia"/>
              </w:rPr>
              <w:t>含油手套及</w:t>
            </w:r>
          </w:p>
          <w:p w14:paraId="28EBB953">
            <w:pPr>
              <w:pStyle w:val="49"/>
            </w:pPr>
            <w:r>
              <w:rPr>
                <w:rFonts w:hint="eastAsia"/>
              </w:rPr>
              <w:t>废抹布</w:t>
            </w:r>
          </w:p>
        </w:tc>
        <w:tc>
          <w:tcPr>
            <w:tcW w:w="987" w:type="pct"/>
            <w:vMerge w:val="continue"/>
            <w:vAlign w:val="center"/>
          </w:tcPr>
          <w:p w14:paraId="7631612B">
            <w:pPr>
              <w:pStyle w:val="49"/>
            </w:pPr>
          </w:p>
        </w:tc>
        <w:tc>
          <w:tcPr>
            <w:tcW w:w="1968" w:type="pct"/>
            <w:vMerge w:val="continue"/>
            <w:vAlign w:val="center"/>
          </w:tcPr>
          <w:p w14:paraId="5F699B6A">
            <w:pPr>
              <w:pStyle w:val="49"/>
            </w:pPr>
          </w:p>
        </w:tc>
      </w:tr>
      <w:tr w14:paraId="4EEC42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4" w:type="pct"/>
            <w:vMerge w:val="continue"/>
            <w:vAlign w:val="center"/>
          </w:tcPr>
          <w:p w14:paraId="7C9D0673">
            <w:pPr>
              <w:pStyle w:val="49"/>
            </w:pPr>
          </w:p>
        </w:tc>
        <w:tc>
          <w:tcPr>
            <w:tcW w:w="669" w:type="pct"/>
            <w:vAlign w:val="center"/>
          </w:tcPr>
          <w:p w14:paraId="2F0D7179">
            <w:pPr>
              <w:pStyle w:val="49"/>
            </w:pPr>
            <w:r>
              <w:t>生活垃圾</w:t>
            </w:r>
          </w:p>
        </w:tc>
        <w:tc>
          <w:tcPr>
            <w:tcW w:w="922" w:type="pct"/>
            <w:vAlign w:val="center"/>
          </w:tcPr>
          <w:p w14:paraId="31C70700">
            <w:pPr>
              <w:pStyle w:val="49"/>
            </w:pPr>
            <w:r>
              <w:t>生活垃圾</w:t>
            </w:r>
          </w:p>
        </w:tc>
        <w:tc>
          <w:tcPr>
            <w:tcW w:w="987" w:type="pct"/>
            <w:vAlign w:val="center"/>
          </w:tcPr>
          <w:p w14:paraId="3B644EE3">
            <w:pPr>
              <w:pStyle w:val="49"/>
            </w:pPr>
            <w:r>
              <w:t>环卫部门统一处理</w:t>
            </w:r>
          </w:p>
        </w:tc>
        <w:tc>
          <w:tcPr>
            <w:tcW w:w="1968" w:type="pct"/>
            <w:vMerge w:val="continue"/>
            <w:vAlign w:val="center"/>
          </w:tcPr>
          <w:p w14:paraId="123323AC">
            <w:pPr>
              <w:pStyle w:val="49"/>
            </w:pPr>
          </w:p>
        </w:tc>
      </w:tr>
      <w:tr w14:paraId="1A8C4A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0" w:hRule="atLeast"/>
          <w:jc w:val="center"/>
        </w:trPr>
        <w:tc>
          <w:tcPr>
            <w:tcW w:w="454" w:type="pct"/>
            <w:vAlign w:val="center"/>
          </w:tcPr>
          <w:p w14:paraId="0880C755">
            <w:pPr>
              <w:pStyle w:val="49"/>
              <w:spacing w:line="360" w:lineRule="auto"/>
            </w:pPr>
            <w:r>
              <w:t>土壤及地下水</w:t>
            </w:r>
          </w:p>
          <w:p w14:paraId="324217A5">
            <w:pPr>
              <w:pStyle w:val="49"/>
              <w:spacing w:line="360" w:lineRule="auto"/>
            </w:pPr>
            <w:r>
              <w:t>污染防治措施</w:t>
            </w:r>
          </w:p>
        </w:tc>
        <w:tc>
          <w:tcPr>
            <w:tcW w:w="4546" w:type="pct"/>
            <w:gridSpan w:val="4"/>
            <w:vAlign w:val="center"/>
          </w:tcPr>
          <w:p w14:paraId="44EE26F5">
            <w:pPr>
              <w:pStyle w:val="49"/>
              <w:spacing w:before="120" w:beforeLines="50" w:line="360" w:lineRule="auto"/>
              <w:ind w:firstLine="420" w:firstLineChars="200"/>
              <w:jc w:val="both"/>
            </w:pPr>
            <w:r>
              <w:rPr>
                <w:rFonts w:hint="eastAsia"/>
              </w:rPr>
              <w:t>采取的分区防控措施：</w:t>
            </w:r>
          </w:p>
          <w:p w14:paraId="7F5968F4">
            <w:pPr>
              <w:pStyle w:val="49"/>
              <w:spacing w:line="360" w:lineRule="auto"/>
              <w:ind w:firstLine="420" w:firstLineChars="200"/>
              <w:jc w:val="both"/>
            </w:pPr>
            <w:r>
              <w:rPr>
                <w:rFonts w:hint="eastAsia"/>
              </w:rPr>
              <w:t>(</w:t>
            </w:r>
            <w:r>
              <w:t>1</w:t>
            </w:r>
            <w:r>
              <w:rPr>
                <w:rFonts w:hint="eastAsia"/>
              </w:rPr>
              <w:t>）生产车间（含废白土暂存区、白土渣暂存区）、溶剂油罐、危险废物暂存间：采用掺入水泥基渗透结晶型防水剂抗渗混凝土的方法进行处理，防渗层为至少1m厚黏土层(渗透系数不大于10</w:t>
            </w:r>
            <w:r>
              <w:rPr>
                <w:rFonts w:hint="eastAsia"/>
                <w:vertAlign w:val="superscript"/>
              </w:rPr>
              <w:t>-7</w:t>
            </w:r>
            <w:r>
              <w:rPr>
                <w:rFonts w:hint="eastAsia"/>
              </w:rPr>
              <w:t>cm/s)，或至少2mm厚高密度聚乙烯膜等人工防渗材料(渗透系数不大于10</w:t>
            </w:r>
            <w:r>
              <w:rPr>
                <w:rFonts w:hint="eastAsia"/>
                <w:vertAlign w:val="superscript"/>
              </w:rPr>
              <w:t>-10</w:t>
            </w:r>
            <w:r>
              <w:rPr>
                <w:rFonts w:hint="eastAsia"/>
              </w:rPr>
              <w:t>cm/s)，抗渗混凝土厚度不宜小于100mm，抗渗等级不低于P6，强度等级不低于C25，水灰比不宜大于0.5。危废暂存间地面和墙面1m处涂环氧树脂漆防腐。</w:t>
            </w:r>
          </w:p>
          <w:p w14:paraId="69B9C3D6">
            <w:pPr>
              <w:pStyle w:val="49"/>
              <w:spacing w:line="360" w:lineRule="auto"/>
              <w:ind w:firstLine="420" w:firstLineChars="200"/>
              <w:jc w:val="both"/>
            </w:pPr>
            <w:r>
              <w:rPr>
                <w:rFonts w:hint="eastAsia"/>
              </w:rPr>
              <w:t>（</w:t>
            </w:r>
            <w:r>
              <w:t>2</w:t>
            </w:r>
            <w:r>
              <w:rPr>
                <w:rFonts w:hint="eastAsia"/>
              </w:rPr>
              <w:t>）成品油罐区：</w:t>
            </w:r>
            <w:r>
              <w:t xml:space="preserve">地面采取黏土铺底，再在上层铺设10-15cm厚的水泥进行硬化，等效黏土防渗层 </w:t>
            </w:r>
            <w:r>
              <w:rPr>
                <w:i/>
                <w:iCs/>
              </w:rPr>
              <w:t>Mb</w:t>
            </w:r>
            <w:r>
              <w:t>≥1.5m，</w:t>
            </w:r>
            <w:r>
              <w:rPr>
                <w:i/>
                <w:iCs/>
              </w:rPr>
              <w:t>K</w:t>
            </w:r>
            <w:r>
              <w:t>≤1.0×10</w:t>
            </w:r>
            <w:r>
              <w:rPr>
                <w:vertAlign w:val="superscript"/>
              </w:rPr>
              <w:t>-7</w:t>
            </w:r>
            <w:r>
              <w:t xml:space="preserve"> cm/s</w:t>
            </w:r>
            <w:r>
              <w:rPr>
                <w:rFonts w:hint="eastAsia"/>
              </w:rPr>
              <w:t>。</w:t>
            </w:r>
          </w:p>
          <w:p w14:paraId="5899ACF0">
            <w:pPr>
              <w:pStyle w:val="49"/>
              <w:spacing w:line="360" w:lineRule="auto"/>
              <w:ind w:firstLine="420" w:firstLineChars="200"/>
              <w:jc w:val="both"/>
            </w:pPr>
            <w:r>
              <w:rPr>
                <w:rFonts w:hint="eastAsia"/>
              </w:rPr>
              <w:t>（3）</w:t>
            </w:r>
            <w:r>
              <w:t>办公</w:t>
            </w:r>
            <w:r>
              <w:rPr>
                <w:rFonts w:hint="eastAsia"/>
              </w:rPr>
              <w:t>区及其他公共区域：</w:t>
            </w:r>
            <w:r>
              <w:t>一般地面硬底化</w:t>
            </w:r>
            <w:r>
              <w:rPr>
                <w:rFonts w:hint="eastAsia"/>
              </w:rPr>
              <w:t>。</w:t>
            </w:r>
          </w:p>
        </w:tc>
      </w:tr>
      <w:tr w14:paraId="0D05A2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49" w:hRule="atLeast"/>
          <w:jc w:val="center"/>
        </w:trPr>
        <w:tc>
          <w:tcPr>
            <w:tcW w:w="454" w:type="pct"/>
            <w:vAlign w:val="center"/>
          </w:tcPr>
          <w:p w14:paraId="5277AEEB">
            <w:pPr>
              <w:pStyle w:val="49"/>
              <w:spacing w:line="360" w:lineRule="auto"/>
            </w:pPr>
            <w:r>
              <w:t>生态保护措施</w:t>
            </w:r>
          </w:p>
        </w:tc>
        <w:tc>
          <w:tcPr>
            <w:tcW w:w="4546" w:type="pct"/>
            <w:gridSpan w:val="4"/>
            <w:vAlign w:val="center"/>
          </w:tcPr>
          <w:p w14:paraId="547E5166">
            <w:pPr>
              <w:pStyle w:val="49"/>
              <w:spacing w:line="360" w:lineRule="auto"/>
              <w:ind w:firstLine="420" w:firstLineChars="200"/>
              <w:jc w:val="both"/>
            </w:pPr>
            <w:r>
              <w:t>本项目占地范围内不存在生态环境保护目标</w:t>
            </w:r>
            <w:r>
              <w:rPr>
                <w:rFonts w:hint="eastAsia"/>
              </w:rPr>
              <w:t>。</w:t>
            </w:r>
          </w:p>
        </w:tc>
      </w:tr>
      <w:tr w14:paraId="3D059F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85" w:hRule="atLeast"/>
          <w:jc w:val="center"/>
        </w:trPr>
        <w:tc>
          <w:tcPr>
            <w:tcW w:w="454" w:type="pct"/>
            <w:vAlign w:val="center"/>
          </w:tcPr>
          <w:p w14:paraId="7CD59FF6">
            <w:pPr>
              <w:pStyle w:val="49"/>
              <w:spacing w:line="360" w:lineRule="auto"/>
            </w:pPr>
            <w:r>
              <w:t>环境风险防范措施</w:t>
            </w:r>
          </w:p>
        </w:tc>
        <w:tc>
          <w:tcPr>
            <w:tcW w:w="4546" w:type="pct"/>
            <w:gridSpan w:val="4"/>
            <w:vAlign w:val="center"/>
          </w:tcPr>
          <w:p w14:paraId="2A6698EE">
            <w:pPr>
              <w:pStyle w:val="49"/>
              <w:spacing w:line="360" w:lineRule="auto"/>
              <w:ind w:firstLine="420" w:firstLineChars="200"/>
              <w:jc w:val="both"/>
            </w:pPr>
            <w:r>
              <w:t>严格</w:t>
            </w:r>
            <w:r>
              <w:rPr>
                <w:rFonts w:hint="eastAsia"/>
              </w:rPr>
              <w:t>按</w:t>
            </w:r>
            <w:r>
              <w:t>本环评</w:t>
            </w:r>
            <w:r>
              <w:rPr>
                <w:rFonts w:hint="eastAsia"/>
              </w:rPr>
              <w:t>专项评价</w:t>
            </w:r>
            <w:r>
              <w:t>要求</w:t>
            </w:r>
            <w:r>
              <w:rPr>
                <w:rFonts w:hint="eastAsia"/>
              </w:rPr>
              <w:t>落实</w:t>
            </w:r>
            <w:r>
              <w:t>火灾风险防范措施、</w:t>
            </w:r>
            <w:r>
              <w:rPr>
                <w:rFonts w:hint="eastAsia"/>
              </w:rPr>
              <w:t>化学品及危废泄漏的风险防范措施、废气处理系统风险防范措施，</w:t>
            </w:r>
            <w:r>
              <w:t>制定完善的管理制度及相应的应急预案，设立管理专员</w:t>
            </w:r>
            <w:r>
              <w:rPr>
                <w:rFonts w:hint="eastAsia"/>
              </w:rPr>
              <w:t>负责废气处理设施</w:t>
            </w:r>
            <w:r>
              <w:t>的运行</w:t>
            </w:r>
            <w:r>
              <w:rPr>
                <w:rFonts w:hint="eastAsia"/>
              </w:rPr>
              <w:t>和维护。</w:t>
            </w:r>
          </w:p>
        </w:tc>
      </w:tr>
      <w:tr w14:paraId="0A359D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81" w:hRule="atLeast"/>
          <w:jc w:val="center"/>
        </w:trPr>
        <w:tc>
          <w:tcPr>
            <w:tcW w:w="454" w:type="pct"/>
            <w:vAlign w:val="center"/>
          </w:tcPr>
          <w:p w14:paraId="2F3CFDAB">
            <w:pPr>
              <w:pStyle w:val="49"/>
              <w:spacing w:line="360" w:lineRule="auto"/>
            </w:pPr>
            <w:r>
              <w:t>其他环境管理要求</w:t>
            </w:r>
          </w:p>
        </w:tc>
        <w:tc>
          <w:tcPr>
            <w:tcW w:w="4546" w:type="pct"/>
            <w:gridSpan w:val="4"/>
            <w:vAlign w:val="center"/>
          </w:tcPr>
          <w:p w14:paraId="51DC4450">
            <w:pPr>
              <w:pStyle w:val="49"/>
              <w:spacing w:line="360" w:lineRule="auto"/>
              <w:rPr>
                <w:rFonts w:cs="宋体"/>
              </w:rPr>
            </w:pPr>
            <w:r>
              <w:rPr>
                <w:rFonts w:hint="eastAsia"/>
              </w:rPr>
              <w:t>/</w:t>
            </w:r>
          </w:p>
        </w:tc>
      </w:tr>
    </w:tbl>
    <w:p w14:paraId="7749FAAE">
      <w:pPr>
        <w:spacing w:line="360" w:lineRule="auto"/>
      </w:pPr>
    </w:p>
    <w:p w14:paraId="6C22E629">
      <w:pPr>
        <w:sectPr>
          <w:pgSz w:w="11906" w:h="16838"/>
          <w:pgMar w:top="1418" w:right="1134" w:bottom="1560" w:left="1418" w:header="851" w:footer="992" w:gutter="0"/>
          <w:pgNumType w:fmt="decimal"/>
          <w:cols w:space="425" w:num="1"/>
          <w:docGrid w:linePitch="312" w:charSpace="0"/>
        </w:sectPr>
      </w:pPr>
    </w:p>
    <w:p w14:paraId="12AFB70D">
      <w:pPr>
        <w:pStyle w:val="32"/>
        <w:widowControl w:val="0"/>
        <w:spacing w:before="0" w:beforeAutospacing="0" w:after="0" w:afterAutospacing="0"/>
        <w:jc w:val="center"/>
        <w:outlineLvl w:val="0"/>
        <w:rPr>
          <w:rFonts w:hint="eastAsia" w:ascii="黑体" w:hAnsi="黑体" w:eastAsia="黑体"/>
          <w:snapToGrid w:val="0"/>
          <w:sz w:val="30"/>
          <w:szCs w:val="30"/>
        </w:rPr>
      </w:pPr>
      <w:bookmarkStart w:id="26" w:name="_Toc209949144"/>
      <w:r>
        <w:rPr>
          <w:rFonts w:ascii="黑体" w:hAnsi="黑体" w:eastAsia="黑体"/>
          <w:snapToGrid w:val="0"/>
          <w:sz w:val="30"/>
          <w:szCs w:val="30"/>
        </w:rPr>
        <w:t>六、结论</w:t>
      </w:r>
      <w:bookmarkEnd w:id="26"/>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70"/>
      </w:tblGrid>
      <w:tr w14:paraId="4771BD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80" w:hRule="atLeast"/>
          <w:jc w:val="center"/>
        </w:trPr>
        <w:tc>
          <w:tcPr>
            <w:tcW w:w="5000" w:type="pct"/>
          </w:tcPr>
          <w:p w14:paraId="7A0E1CED">
            <w:pPr>
              <w:spacing w:before="120" w:beforeLines="50" w:line="360" w:lineRule="auto"/>
              <w:ind w:firstLine="480" w:firstLineChars="200"/>
              <w:rPr>
                <w:sz w:val="24"/>
                <w:szCs w:val="24"/>
              </w:rPr>
            </w:pPr>
            <w:r>
              <w:rPr>
                <w:sz w:val="24"/>
                <w:szCs w:val="24"/>
              </w:rPr>
              <w:t>通过</w:t>
            </w:r>
            <w:r>
              <w:rPr>
                <w:rFonts w:hint="eastAsia"/>
                <w:sz w:val="24"/>
                <w:szCs w:val="24"/>
              </w:rPr>
              <w:t>对改扩建项目施工期和</w:t>
            </w:r>
            <w:r>
              <w:rPr>
                <w:sz w:val="24"/>
                <w:szCs w:val="24"/>
              </w:rPr>
              <w:t>营运期污染物排放的环境影响分析和对环境风险的分析，</w:t>
            </w:r>
            <w:r>
              <w:rPr>
                <w:rFonts w:hint="eastAsia"/>
                <w:sz w:val="24"/>
                <w:szCs w:val="24"/>
              </w:rPr>
              <w:t>并</w:t>
            </w:r>
            <w:r>
              <w:rPr>
                <w:sz w:val="24"/>
                <w:szCs w:val="24"/>
              </w:rPr>
              <w:t>提出了项目污染防治</w:t>
            </w:r>
            <w:r>
              <w:rPr>
                <w:rFonts w:hint="eastAsia"/>
                <w:sz w:val="24"/>
                <w:szCs w:val="24"/>
              </w:rPr>
              <w:t>的</w:t>
            </w:r>
            <w:r>
              <w:rPr>
                <w:sz w:val="24"/>
                <w:szCs w:val="24"/>
              </w:rPr>
              <w:t>要求和意见，</w:t>
            </w:r>
            <w:r>
              <w:rPr>
                <w:rFonts w:hint="eastAsia"/>
                <w:sz w:val="24"/>
                <w:szCs w:val="24"/>
              </w:rPr>
              <w:t>改扩建项目的各项</w:t>
            </w:r>
            <w:r>
              <w:rPr>
                <w:sz w:val="24"/>
                <w:szCs w:val="24"/>
              </w:rPr>
              <w:t>污染物排放均能够符合相关标准，符合国家环境保护的要求。</w:t>
            </w:r>
          </w:p>
          <w:p w14:paraId="0A789A93">
            <w:pPr>
              <w:pStyle w:val="42"/>
              <w:spacing w:line="360" w:lineRule="auto"/>
              <w:ind w:firstLine="480" w:firstLineChars="200"/>
              <w:rPr>
                <w:rFonts w:hint="default" w:ascii="Times New Roman" w:hAnsi="Times New Roman"/>
                <w:b w:val="0"/>
                <w:color w:val="auto"/>
                <w:szCs w:val="24"/>
              </w:rPr>
            </w:pPr>
            <w:r>
              <w:rPr>
                <w:rFonts w:hint="default" w:ascii="Times New Roman" w:hAnsi="Times New Roman"/>
                <w:b w:val="0"/>
                <w:color w:val="auto"/>
                <w:szCs w:val="24"/>
              </w:rPr>
              <w:t>本项目运行期间产生一定量的废气、噪声和固体废物，通过采取有效的污染防治措施，可将项目对周围环境造成的影响降到最低。同时，项目建设和运营过程中，依据本评价所提出的有关污染防治措施，全面落实</w:t>
            </w:r>
            <w:r>
              <w:rPr>
                <w:rFonts w:ascii="Times New Roman" w:hAnsi="Times New Roman"/>
                <w:b w:val="0"/>
                <w:color w:val="auto"/>
                <w:szCs w:val="24"/>
              </w:rPr>
              <w:t>“</w:t>
            </w:r>
            <w:r>
              <w:rPr>
                <w:rFonts w:hint="default" w:ascii="Times New Roman" w:hAnsi="Times New Roman"/>
                <w:b w:val="0"/>
                <w:color w:val="auto"/>
                <w:szCs w:val="24"/>
              </w:rPr>
              <w:t>三同时</w:t>
            </w:r>
            <w:r>
              <w:rPr>
                <w:rFonts w:ascii="Times New Roman" w:hAnsi="Times New Roman"/>
                <w:b w:val="0"/>
                <w:color w:val="auto"/>
                <w:szCs w:val="24"/>
              </w:rPr>
              <w:t>”</w:t>
            </w:r>
            <w:r>
              <w:rPr>
                <w:rFonts w:hint="default" w:ascii="Times New Roman" w:hAnsi="Times New Roman"/>
                <w:b w:val="0"/>
                <w:color w:val="auto"/>
                <w:szCs w:val="24"/>
              </w:rPr>
              <w:t>制度，加强环境管理，定期监测，确保污染防治设施稳定达标运行，则项目建设对周围环境质量不会产生明显的影响。</w:t>
            </w:r>
          </w:p>
          <w:p w14:paraId="4FCEB139">
            <w:pPr>
              <w:pStyle w:val="12"/>
              <w:spacing w:line="360" w:lineRule="auto"/>
              <w:ind w:left="0" w:leftChars="0" w:firstLine="480" w:firstLineChars="200"/>
              <w:rPr>
                <w:szCs w:val="21"/>
              </w:rPr>
            </w:pPr>
            <w:r>
              <w:rPr>
                <w:sz w:val="24"/>
              </w:rPr>
              <w:t>综上所述，从环境保护出发，本项目建设可行。</w:t>
            </w:r>
          </w:p>
        </w:tc>
      </w:tr>
    </w:tbl>
    <w:p w14:paraId="58C2B6B7"/>
    <w:p w14:paraId="25038FC2">
      <w:pPr>
        <w:sectPr>
          <w:type w:val="continuous"/>
          <w:pgSz w:w="11906" w:h="16838"/>
          <w:pgMar w:top="1418" w:right="1134" w:bottom="1418" w:left="1418" w:header="851" w:footer="992" w:gutter="0"/>
          <w:pgNumType w:fmt="decimal"/>
          <w:cols w:space="425" w:num="1"/>
          <w:docGrid w:linePitch="312" w:charSpace="0"/>
        </w:sectPr>
      </w:pPr>
    </w:p>
    <w:p w14:paraId="14AEC4F2">
      <w:pPr>
        <w:pStyle w:val="32"/>
        <w:adjustRightInd w:val="0"/>
        <w:snapToGrid w:val="0"/>
        <w:spacing w:before="0" w:beforeAutospacing="0" w:after="0" w:afterAutospacing="0"/>
        <w:outlineLvl w:val="0"/>
        <w:rPr>
          <w:rFonts w:ascii="Times New Roman" w:hAnsi="Times New Roman" w:eastAsia="黑体" w:cs="Times New Roman"/>
          <w:snapToGrid w:val="0"/>
          <w:sz w:val="32"/>
          <w:szCs w:val="32"/>
        </w:rPr>
      </w:pPr>
      <w:bookmarkStart w:id="27" w:name="_Toc209949145"/>
      <w:r>
        <w:rPr>
          <w:rFonts w:ascii="Times New Roman" w:hAnsi="Times New Roman" w:eastAsia="黑体" w:cs="Times New Roman"/>
          <w:snapToGrid w:val="0"/>
          <w:sz w:val="32"/>
          <w:szCs w:val="32"/>
        </w:rPr>
        <w:t>附表</w:t>
      </w:r>
      <w:bookmarkEnd w:id="27"/>
    </w:p>
    <w:p w14:paraId="0FC625A0">
      <w:pPr>
        <w:jc w:val="center"/>
        <w:rPr>
          <w:b/>
          <w:bCs/>
          <w:snapToGrid w:val="0"/>
          <w:sz w:val="38"/>
          <w:szCs w:val="38"/>
        </w:rPr>
      </w:pPr>
      <w:r>
        <w:rPr>
          <w:b/>
          <w:bCs/>
          <w:snapToGrid w:val="0"/>
          <w:sz w:val="38"/>
          <w:szCs w:val="38"/>
        </w:rPr>
        <w:t>建设项目污染物排放量汇总表</w:t>
      </w:r>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2065"/>
        <w:gridCol w:w="1532"/>
        <w:gridCol w:w="1328"/>
        <w:gridCol w:w="1770"/>
        <w:gridCol w:w="1621"/>
        <w:gridCol w:w="1695"/>
        <w:gridCol w:w="1672"/>
        <w:gridCol w:w="1360"/>
      </w:tblGrid>
      <w:tr w14:paraId="07E60A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453" w:type="pct"/>
            <w:tcBorders>
              <w:tl2br w:val="single" w:color="auto" w:sz="4" w:space="0"/>
            </w:tcBorders>
            <w:tcMar>
              <w:left w:w="28" w:type="dxa"/>
              <w:right w:w="28" w:type="dxa"/>
            </w:tcMar>
            <w:vAlign w:val="center"/>
          </w:tcPr>
          <w:p w14:paraId="3F9E16F5">
            <w:pPr>
              <w:pStyle w:val="50"/>
              <w:adjustRightInd w:val="0"/>
              <w:snapToGrid w:val="0"/>
              <w:spacing w:line="240" w:lineRule="auto"/>
              <w:rPr>
                <w:snapToGrid w:val="0"/>
                <w:spacing w:val="-6"/>
                <w:kern w:val="21"/>
                <w:szCs w:val="21"/>
              </w:rPr>
            </w:pPr>
            <w:r>
              <w:rPr>
                <w:rFonts w:hint="eastAsia"/>
                <w:snapToGrid w:val="0"/>
                <w:spacing w:val="-6"/>
                <w:kern w:val="21"/>
                <w:szCs w:val="21"/>
              </w:rPr>
              <w:t xml:space="preserve">       </w:t>
            </w:r>
            <w:r>
              <w:rPr>
                <w:snapToGrid w:val="0"/>
                <w:spacing w:val="-6"/>
                <w:kern w:val="21"/>
                <w:szCs w:val="21"/>
              </w:rPr>
              <w:t>项目</w:t>
            </w:r>
          </w:p>
          <w:p w14:paraId="2EE398CF">
            <w:pPr>
              <w:pStyle w:val="50"/>
              <w:adjustRightInd w:val="0"/>
              <w:snapToGrid w:val="0"/>
              <w:spacing w:line="240" w:lineRule="auto"/>
              <w:jc w:val="both"/>
              <w:rPr>
                <w:snapToGrid w:val="0"/>
                <w:spacing w:val="-6"/>
                <w:kern w:val="21"/>
                <w:szCs w:val="21"/>
              </w:rPr>
            </w:pPr>
            <w:r>
              <w:rPr>
                <w:snapToGrid w:val="0"/>
                <w:spacing w:val="-6"/>
                <w:kern w:val="21"/>
                <w:szCs w:val="21"/>
              </w:rPr>
              <w:t>分类</w:t>
            </w:r>
          </w:p>
        </w:tc>
        <w:tc>
          <w:tcPr>
            <w:tcW w:w="720" w:type="pct"/>
            <w:tcMar>
              <w:left w:w="28" w:type="dxa"/>
              <w:right w:w="28" w:type="dxa"/>
            </w:tcMar>
            <w:vAlign w:val="center"/>
          </w:tcPr>
          <w:p w14:paraId="6C6A14F0">
            <w:pPr>
              <w:pStyle w:val="50"/>
              <w:adjustRightInd w:val="0"/>
              <w:snapToGrid w:val="0"/>
              <w:spacing w:line="240" w:lineRule="auto"/>
              <w:rPr>
                <w:snapToGrid w:val="0"/>
                <w:spacing w:val="-6"/>
                <w:kern w:val="21"/>
                <w:szCs w:val="21"/>
              </w:rPr>
            </w:pPr>
            <w:r>
              <w:rPr>
                <w:snapToGrid w:val="0"/>
                <w:spacing w:val="-6"/>
                <w:kern w:val="21"/>
                <w:szCs w:val="21"/>
              </w:rPr>
              <w:t>污染物名称</w:t>
            </w:r>
          </w:p>
        </w:tc>
        <w:tc>
          <w:tcPr>
            <w:tcW w:w="534" w:type="pct"/>
            <w:tcMar>
              <w:left w:w="28" w:type="dxa"/>
              <w:right w:w="28" w:type="dxa"/>
            </w:tcMar>
            <w:vAlign w:val="center"/>
          </w:tcPr>
          <w:p w14:paraId="3CB22FED">
            <w:pPr>
              <w:pStyle w:val="50"/>
              <w:adjustRightInd w:val="0"/>
              <w:snapToGrid w:val="0"/>
              <w:spacing w:line="240" w:lineRule="auto"/>
              <w:rPr>
                <w:snapToGrid w:val="0"/>
                <w:spacing w:val="-6"/>
                <w:kern w:val="21"/>
                <w:szCs w:val="21"/>
              </w:rPr>
            </w:pPr>
            <w:r>
              <w:rPr>
                <w:snapToGrid w:val="0"/>
                <w:spacing w:val="-6"/>
                <w:kern w:val="21"/>
                <w:szCs w:val="21"/>
              </w:rPr>
              <w:t>现有工程排放量（固体废物产生量）</w:t>
            </w:r>
            <w:r>
              <w:rPr>
                <w:snapToGrid w:val="0"/>
                <w:spacing w:val="-6"/>
                <w:kern w:val="21"/>
                <w:szCs w:val="21"/>
              </w:rPr>
              <w:fldChar w:fldCharType="begin"/>
            </w:r>
            <w:r>
              <w:rPr>
                <w:snapToGrid w:val="0"/>
                <w:spacing w:val="-6"/>
                <w:kern w:val="21"/>
                <w:szCs w:val="21"/>
              </w:rPr>
              <w:instrText xml:space="preserve"> = 1 \* GB3 \* MERGEFORMAT </w:instrText>
            </w:r>
            <w:r>
              <w:rPr>
                <w:snapToGrid w:val="0"/>
                <w:spacing w:val="-6"/>
                <w:kern w:val="21"/>
                <w:szCs w:val="21"/>
              </w:rPr>
              <w:fldChar w:fldCharType="separate"/>
            </w:r>
            <w:r>
              <w:rPr>
                <w:rFonts w:ascii="Cambria Math" w:hAnsi="Cambria Math" w:cs="Cambria Math"/>
                <w:szCs w:val="21"/>
              </w:rPr>
              <w:t>①</w:t>
            </w:r>
            <w:r>
              <w:rPr>
                <w:snapToGrid w:val="0"/>
                <w:spacing w:val="-6"/>
                <w:kern w:val="21"/>
                <w:szCs w:val="21"/>
              </w:rPr>
              <w:fldChar w:fldCharType="end"/>
            </w:r>
          </w:p>
        </w:tc>
        <w:tc>
          <w:tcPr>
            <w:tcW w:w="463" w:type="pct"/>
            <w:tcMar>
              <w:left w:w="28" w:type="dxa"/>
              <w:right w:w="28" w:type="dxa"/>
            </w:tcMar>
            <w:vAlign w:val="center"/>
          </w:tcPr>
          <w:p w14:paraId="1AE570F0">
            <w:pPr>
              <w:pStyle w:val="50"/>
              <w:adjustRightInd w:val="0"/>
              <w:snapToGrid w:val="0"/>
              <w:spacing w:line="240" w:lineRule="auto"/>
              <w:rPr>
                <w:snapToGrid w:val="0"/>
                <w:spacing w:val="-6"/>
                <w:kern w:val="21"/>
                <w:szCs w:val="21"/>
              </w:rPr>
            </w:pPr>
            <w:r>
              <w:rPr>
                <w:snapToGrid w:val="0"/>
                <w:spacing w:val="-6"/>
                <w:kern w:val="21"/>
                <w:szCs w:val="21"/>
              </w:rPr>
              <w:t>现有工程许可排放量</w:t>
            </w:r>
          </w:p>
          <w:p w14:paraId="6F2A78DB">
            <w:pPr>
              <w:pStyle w:val="50"/>
              <w:adjustRightInd w:val="0"/>
              <w:snapToGrid w:val="0"/>
              <w:spacing w:line="240" w:lineRule="auto"/>
              <w:rPr>
                <w:snapToGrid w:val="0"/>
                <w:spacing w:val="-6"/>
                <w:kern w:val="21"/>
                <w:szCs w:val="21"/>
              </w:rPr>
            </w:pPr>
            <w:r>
              <w:rPr>
                <w:snapToGrid w:val="0"/>
                <w:spacing w:val="-6"/>
                <w:kern w:val="21"/>
                <w:szCs w:val="21"/>
              </w:rPr>
              <w:fldChar w:fldCharType="begin"/>
            </w:r>
            <w:r>
              <w:rPr>
                <w:snapToGrid w:val="0"/>
                <w:spacing w:val="-6"/>
                <w:kern w:val="21"/>
                <w:szCs w:val="21"/>
              </w:rPr>
              <w:instrText xml:space="preserve"> = 2 \* GB3 \* MERGEFORMAT </w:instrText>
            </w:r>
            <w:r>
              <w:rPr>
                <w:snapToGrid w:val="0"/>
                <w:spacing w:val="-6"/>
                <w:kern w:val="21"/>
                <w:szCs w:val="21"/>
              </w:rPr>
              <w:fldChar w:fldCharType="separate"/>
            </w:r>
            <w:r>
              <w:rPr>
                <w:rFonts w:ascii="Cambria Math" w:hAnsi="Cambria Math" w:cs="Cambria Math"/>
                <w:snapToGrid w:val="0"/>
                <w:spacing w:val="-6"/>
                <w:kern w:val="21"/>
                <w:szCs w:val="21"/>
              </w:rPr>
              <w:t>②</w:t>
            </w:r>
            <w:r>
              <w:rPr>
                <w:snapToGrid w:val="0"/>
                <w:spacing w:val="-6"/>
                <w:kern w:val="21"/>
                <w:szCs w:val="21"/>
              </w:rPr>
              <w:fldChar w:fldCharType="end"/>
            </w:r>
          </w:p>
        </w:tc>
        <w:tc>
          <w:tcPr>
            <w:tcW w:w="617" w:type="pct"/>
            <w:tcMar>
              <w:left w:w="28" w:type="dxa"/>
              <w:right w:w="28" w:type="dxa"/>
            </w:tcMar>
            <w:vAlign w:val="center"/>
          </w:tcPr>
          <w:p w14:paraId="4B6B6950">
            <w:pPr>
              <w:pStyle w:val="50"/>
              <w:adjustRightInd w:val="0"/>
              <w:snapToGrid w:val="0"/>
              <w:spacing w:line="240" w:lineRule="auto"/>
              <w:rPr>
                <w:snapToGrid w:val="0"/>
                <w:spacing w:val="-6"/>
                <w:kern w:val="21"/>
                <w:szCs w:val="21"/>
              </w:rPr>
            </w:pPr>
            <w:r>
              <w:rPr>
                <w:snapToGrid w:val="0"/>
                <w:spacing w:val="-6"/>
                <w:kern w:val="21"/>
                <w:szCs w:val="21"/>
              </w:rPr>
              <w:t>在建工程排放量（固体废物产生量）</w:t>
            </w:r>
            <w:r>
              <w:rPr>
                <w:snapToGrid w:val="0"/>
                <w:spacing w:val="-6"/>
                <w:kern w:val="21"/>
                <w:szCs w:val="21"/>
              </w:rPr>
              <w:fldChar w:fldCharType="begin"/>
            </w:r>
            <w:r>
              <w:rPr>
                <w:snapToGrid w:val="0"/>
                <w:spacing w:val="-6"/>
                <w:kern w:val="21"/>
                <w:szCs w:val="21"/>
              </w:rPr>
              <w:instrText xml:space="preserve"> = 3 \* GB3 \* MERGEFORMAT </w:instrText>
            </w:r>
            <w:r>
              <w:rPr>
                <w:snapToGrid w:val="0"/>
                <w:spacing w:val="-6"/>
                <w:kern w:val="21"/>
                <w:szCs w:val="21"/>
              </w:rPr>
              <w:fldChar w:fldCharType="separate"/>
            </w:r>
            <w:r>
              <w:rPr>
                <w:rFonts w:ascii="Cambria Math" w:hAnsi="Cambria Math" w:cs="Cambria Math"/>
                <w:szCs w:val="21"/>
              </w:rPr>
              <w:t>③</w:t>
            </w:r>
            <w:r>
              <w:rPr>
                <w:snapToGrid w:val="0"/>
                <w:spacing w:val="-6"/>
                <w:kern w:val="21"/>
                <w:szCs w:val="21"/>
              </w:rPr>
              <w:fldChar w:fldCharType="end"/>
            </w:r>
          </w:p>
        </w:tc>
        <w:tc>
          <w:tcPr>
            <w:tcW w:w="565" w:type="pct"/>
            <w:tcMar>
              <w:left w:w="28" w:type="dxa"/>
              <w:right w:w="28" w:type="dxa"/>
            </w:tcMar>
            <w:vAlign w:val="center"/>
          </w:tcPr>
          <w:p w14:paraId="72B3F05C">
            <w:pPr>
              <w:pStyle w:val="50"/>
              <w:adjustRightInd w:val="0"/>
              <w:snapToGrid w:val="0"/>
              <w:spacing w:line="240" w:lineRule="auto"/>
              <w:rPr>
                <w:snapToGrid w:val="0"/>
                <w:spacing w:val="-6"/>
                <w:kern w:val="21"/>
                <w:szCs w:val="21"/>
              </w:rPr>
            </w:pPr>
            <w:r>
              <w:rPr>
                <w:snapToGrid w:val="0"/>
                <w:spacing w:val="-6"/>
                <w:kern w:val="21"/>
                <w:szCs w:val="21"/>
              </w:rPr>
              <w:t>本项目排放量（固体废物产生量）</w:t>
            </w:r>
            <w:r>
              <w:rPr>
                <w:snapToGrid w:val="0"/>
                <w:spacing w:val="-6"/>
                <w:kern w:val="21"/>
                <w:szCs w:val="21"/>
              </w:rPr>
              <w:fldChar w:fldCharType="begin"/>
            </w:r>
            <w:r>
              <w:rPr>
                <w:snapToGrid w:val="0"/>
                <w:spacing w:val="-6"/>
                <w:kern w:val="21"/>
                <w:szCs w:val="21"/>
              </w:rPr>
              <w:instrText xml:space="preserve"> = 4 \* GB3 \* MERGEFORMAT </w:instrText>
            </w:r>
            <w:r>
              <w:rPr>
                <w:snapToGrid w:val="0"/>
                <w:spacing w:val="-6"/>
                <w:kern w:val="21"/>
                <w:szCs w:val="21"/>
              </w:rPr>
              <w:fldChar w:fldCharType="separate"/>
            </w:r>
            <w:r>
              <w:rPr>
                <w:rFonts w:ascii="Cambria Math" w:hAnsi="Cambria Math" w:cs="Cambria Math"/>
                <w:szCs w:val="21"/>
              </w:rPr>
              <w:t>④</w:t>
            </w:r>
            <w:r>
              <w:rPr>
                <w:snapToGrid w:val="0"/>
                <w:spacing w:val="-6"/>
                <w:kern w:val="21"/>
                <w:szCs w:val="21"/>
              </w:rPr>
              <w:fldChar w:fldCharType="end"/>
            </w:r>
          </w:p>
        </w:tc>
        <w:tc>
          <w:tcPr>
            <w:tcW w:w="591" w:type="pct"/>
            <w:tcMar>
              <w:left w:w="28" w:type="dxa"/>
              <w:right w:w="28" w:type="dxa"/>
            </w:tcMar>
            <w:vAlign w:val="center"/>
          </w:tcPr>
          <w:p w14:paraId="7C18F281">
            <w:pPr>
              <w:pStyle w:val="50"/>
              <w:adjustRightInd w:val="0"/>
              <w:snapToGrid w:val="0"/>
              <w:spacing w:line="240" w:lineRule="auto"/>
              <w:rPr>
                <w:snapToGrid w:val="0"/>
                <w:spacing w:val="-16"/>
                <w:kern w:val="21"/>
                <w:szCs w:val="21"/>
              </w:rPr>
            </w:pPr>
            <w:r>
              <w:rPr>
                <w:snapToGrid w:val="0"/>
                <w:spacing w:val="-16"/>
                <w:kern w:val="21"/>
                <w:szCs w:val="21"/>
              </w:rPr>
              <w:t>以新带老削减量</w:t>
            </w:r>
          </w:p>
          <w:p w14:paraId="641C2D15">
            <w:pPr>
              <w:pStyle w:val="50"/>
              <w:adjustRightInd w:val="0"/>
              <w:snapToGrid w:val="0"/>
              <w:spacing w:line="240" w:lineRule="auto"/>
              <w:rPr>
                <w:snapToGrid w:val="0"/>
                <w:spacing w:val="-16"/>
                <w:kern w:val="21"/>
                <w:szCs w:val="21"/>
              </w:rPr>
            </w:pPr>
            <w:r>
              <w:rPr>
                <w:snapToGrid w:val="0"/>
                <w:spacing w:val="-16"/>
                <w:kern w:val="21"/>
                <w:szCs w:val="21"/>
              </w:rPr>
              <w:t>（新建项目不填）</w:t>
            </w:r>
            <w:r>
              <w:rPr>
                <w:snapToGrid w:val="0"/>
                <w:spacing w:val="-16"/>
                <w:kern w:val="21"/>
                <w:szCs w:val="21"/>
              </w:rPr>
              <w:fldChar w:fldCharType="begin"/>
            </w:r>
            <w:r>
              <w:rPr>
                <w:snapToGrid w:val="0"/>
                <w:spacing w:val="-16"/>
                <w:kern w:val="21"/>
                <w:szCs w:val="21"/>
              </w:rPr>
              <w:instrText xml:space="preserve"> = 5 \* GB3 \* MERGEFORMAT </w:instrText>
            </w:r>
            <w:r>
              <w:rPr>
                <w:snapToGrid w:val="0"/>
                <w:spacing w:val="-16"/>
                <w:kern w:val="21"/>
                <w:szCs w:val="21"/>
              </w:rPr>
              <w:fldChar w:fldCharType="separate"/>
            </w:r>
            <w:r>
              <w:rPr>
                <w:rFonts w:ascii="Cambria Math" w:hAnsi="Cambria Math" w:cs="Cambria Math"/>
                <w:szCs w:val="21"/>
              </w:rPr>
              <w:t>⑤</w:t>
            </w:r>
            <w:r>
              <w:rPr>
                <w:snapToGrid w:val="0"/>
                <w:spacing w:val="-16"/>
                <w:kern w:val="21"/>
                <w:szCs w:val="21"/>
              </w:rPr>
              <w:fldChar w:fldCharType="end"/>
            </w:r>
          </w:p>
        </w:tc>
        <w:tc>
          <w:tcPr>
            <w:tcW w:w="583" w:type="pct"/>
            <w:tcMar>
              <w:left w:w="28" w:type="dxa"/>
              <w:right w:w="28" w:type="dxa"/>
            </w:tcMar>
            <w:vAlign w:val="center"/>
          </w:tcPr>
          <w:p w14:paraId="27FA5FF6">
            <w:pPr>
              <w:pStyle w:val="50"/>
              <w:adjustRightInd w:val="0"/>
              <w:snapToGrid w:val="0"/>
              <w:spacing w:line="240" w:lineRule="auto"/>
              <w:rPr>
                <w:snapToGrid w:val="0"/>
                <w:spacing w:val="-16"/>
                <w:kern w:val="21"/>
                <w:szCs w:val="21"/>
              </w:rPr>
            </w:pPr>
            <w:r>
              <w:rPr>
                <w:snapToGrid w:val="0"/>
                <w:spacing w:val="-16"/>
                <w:kern w:val="21"/>
                <w:szCs w:val="21"/>
              </w:rPr>
              <w:t>本项目建成后全厂排放量（固体废物产生量）</w:t>
            </w:r>
            <w:r>
              <w:rPr>
                <w:snapToGrid w:val="0"/>
                <w:spacing w:val="-16"/>
                <w:kern w:val="21"/>
                <w:szCs w:val="21"/>
              </w:rPr>
              <w:fldChar w:fldCharType="begin"/>
            </w:r>
            <w:r>
              <w:rPr>
                <w:snapToGrid w:val="0"/>
                <w:spacing w:val="-16"/>
                <w:kern w:val="21"/>
                <w:szCs w:val="21"/>
              </w:rPr>
              <w:instrText xml:space="preserve"> = 6 \* GB3 \* MERGEFORMAT </w:instrText>
            </w:r>
            <w:r>
              <w:rPr>
                <w:snapToGrid w:val="0"/>
                <w:spacing w:val="-16"/>
                <w:kern w:val="21"/>
                <w:szCs w:val="21"/>
              </w:rPr>
              <w:fldChar w:fldCharType="separate"/>
            </w:r>
            <w:r>
              <w:rPr>
                <w:rFonts w:ascii="Cambria Math" w:hAnsi="Cambria Math" w:cs="Cambria Math"/>
                <w:szCs w:val="21"/>
              </w:rPr>
              <w:t>⑥</w:t>
            </w:r>
            <w:r>
              <w:rPr>
                <w:snapToGrid w:val="0"/>
                <w:spacing w:val="-16"/>
                <w:kern w:val="21"/>
                <w:szCs w:val="21"/>
              </w:rPr>
              <w:fldChar w:fldCharType="end"/>
            </w:r>
          </w:p>
        </w:tc>
        <w:tc>
          <w:tcPr>
            <w:tcW w:w="474" w:type="pct"/>
            <w:tcMar>
              <w:left w:w="28" w:type="dxa"/>
              <w:right w:w="28" w:type="dxa"/>
            </w:tcMar>
            <w:vAlign w:val="center"/>
          </w:tcPr>
          <w:p w14:paraId="4B403855">
            <w:pPr>
              <w:pStyle w:val="50"/>
              <w:adjustRightInd w:val="0"/>
              <w:snapToGrid w:val="0"/>
              <w:spacing w:line="240" w:lineRule="auto"/>
              <w:rPr>
                <w:snapToGrid w:val="0"/>
                <w:spacing w:val="-6"/>
                <w:kern w:val="21"/>
                <w:szCs w:val="21"/>
              </w:rPr>
            </w:pPr>
            <w:r>
              <w:rPr>
                <w:snapToGrid w:val="0"/>
                <w:spacing w:val="-6"/>
                <w:kern w:val="21"/>
                <w:szCs w:val="21"/>
              </w:rPr>
              <w:t>变化量</w:t>
            </w:r>
          </w:p>
          <w:p w14:paraId="79BDF828">
            <w:pPr>
              <w:pStyle w:val="50"/>
              <w:adjustRightInd w:val="0"/>
              <w:snapToGrid w:val="0"/>
              <w:spacing w:line="240" w:lineRule="auto"/>
              <w:rPr>
                <w:snapToGrid w:val="0"/>
                <w:spacing w:val="-6"/>
                <w:kern w:val="21"/>
                <w:szCs w:val="21"/>
              </w:rPr>
            </w:pPr>
            <w:r>
              <w:rPr>
                <w:snapToGrid w:val="0"/>
                <w:spacing w:val="-6"/>
                <w:kern w:val="21"/>
                <w:szCs w:val="21"/>
              </w:rPr>
              <w:fldChar w:fldCharType="begin"/>
            </w:r>
            <w:r>
              <w:rPr>
                <w:snapToGrid w:val="0"/>
                <w:spacing w:val="-6"/>
                <w:kern w:val="21"/>
                <w:szCs w:val="21"/>
              </w:rPr>
              <w:instrText xml:space="preserve"> = 7 \* GB3 \* MERGEFORMAT </w:instrText>
            </w:r>
            <w:r>
              <w:rPr>
                <w:snapToGrid w:val="0"/>
                <w:spacing w:val="-6"/>
                <w:kern w:val="21"/>
                <w:szCs w:val="21"/>
              </w:rPr>
              <w:fldChar w:fldCharType="separate"/>
            </w:r>
            <w:r>
              <w:rPr>
                <w:rFonts w:ascii="Cambria Math" w:hAnsi="Cambria Math" w:cs="Cambria Math"/>
                <w:szCs w:val="21"/>
              </w:rPr>
              <w:t>⑦</w:t>
            </w:r>
            <w:r>
              <w:rPr>
                <w:snapToGrid w:val="0"/>
                <w:spacing w:val="-6"/>
                <w:kern w:val="21"/>
                <w:szCs w:val="21"/>
              </w:rPr>
              <w:fldChar w:fldCharType="end"/>
            </w:r>
          </w:p>
        </w:tc>
      </w:tr>
      <w:tr w14:paraId="52B801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restart"/>
            <w:vAlign w:val="center"/>
          </w:tcPr>
          <w:p w14:paraId="1F22F192">
            <w:pPr>
              <w:pStyle w:val="50"/>
              <w:adjustRightInd w:val="0"/>
              <w:snapToGrid w:val="0"/>
              <w:spacing w:line="240" w:lineRule="auto"/>
              <w:rPr>
                <w:snapToGrid w:val="0"/>
                <w:kern w:val="21"/>
                <w:szCs w:val="21"/>
              </w:rPr>
            </w:pPr>
            <w:r>
              <w:rPr>
                <w:snapToGrid w:val="0"/>
                <w:kern w:val="21"/>
                <w:szCs w:val="21"/>
              </w:rPr>
              <w:t>废气</w:t>
            </w:r>
          </w:p>
        </w:tc>
        <w:tc>
          <w:tcPr>
            <w:tcW w:w="720" w:type="pct"/>
            <w:vAlign w:val="center"/>
          </w:tcPr>
          <w:p w14:paraId="1A9A1EBF">
            <w:pPr>
              <w:pStyle w:val="59"/>
              <w:rPr>
                <w:szCs w:val="21"/>
              </w:rPr>
            </w:pPr>
            <w:r>
              <w:rPr>
                <w:rFonts w:hint="eastAsia" w:cs="宋体"/>
                <w:kern w:val="0"/>
              </w:rPr>
              <w:t>颗粒物</w:t>
            </w:r>
          </w:p>
        </w:tc>
        <w:tc>
          <w:tcPr>
            <w:tcW w:w="534" w:type="pct"/>
            <w:vAlign w:val="center"/>
          </w:tcPr>
          <w:p w14:paraId="259A3B69">
            <w:pPr>
              <w:pStyle w:val="44"/>
              <w:rPr>
                <w:snapToGrid w:val="0"/>
                <w:kern w:val="21"/>
              </w:rPr>
            </w:pPr>
            <w:r>
              <w:rPr>
                <w:rFonts w:hint="eastAsia"/>
              </w:rPr>
              <w:t>0.17</w:t>
            </w:r>
            <w:r>
              <w:rPr>
                <w:snapToGrid w:val="0"/>
                <w:kern w:val="21"/>
              </w:rPr>
              <w:t xml:space="preserve"> </w:t>
            </w:r>
            <w:r>
              <w:t>t/a</w:t>
            </w:r>
          </w:p>
        </w:tc>
        <w:tc>
          <w:tcPr>
            <w:tcW w:w="463" w:type="pct"/>
            <w:vAlign w:val="center"/>
          </w:tcPr>
          <w:p w14:paraId="28E60390">
            <w:pPr>
              <w:pStyle w:val="44"/>
              <w:rPr>
                <w:snapToGrid w:val="0"/>
                <w:kern w:val="21"/>
              </w:rPr>
            </w:pPr>
            <w:r>
              <w:rPr>
                <w:rFonts w:hint="eastAsia"/>
              </w:rPr>
              <w:t>0</w:t>
            </w:r>
          </w:p>
        </w:tc>
        <w:tc>
          <w:tcPr>
            <w:tcW w:w="617" w:type="pct"/>
            <w:vAlign w:val="center"/>
          </w:tcPr>
          <w:p w14:paraId="1B236BAE">
            <w:pPr>
              <w:pStyle w:val="44"/>
              <w:rPr>
                <w:snapToGrid w:val="0"/>
                <w:kern w:val="21"/>
              </w:rPr>
            </w:pPr>
            <w:r>
              <w:rPr>
                <w:rFonts w:hint="eastAsia"/>
              </w:rPr>
              <w:t>0</w:t>
            </w:r>
          </w:p>
        </w:tc>
        <w:tc>
          <w:tcPr>
            <w:tcW w:w="565" w:type="pct"/>
            <w:vAlign w:val="center"/>
          </w:tcPr>
          <w:p w14:paraId="38E6A6D0">
            <w:pPr>
              <w:widowControl/>
              <w:jc w:val="center"/>
              <w:textAlignment w:val="center"/>
            </w:pPr>
            <w:r>
              <w:rPr>
                <w:rFonts w:hint="eastAsia"/>
              </w:rPr>
              <w:t>0.005</w:t>
            </w:r>
            <w:r>
              <w:rPr>
                <w:bCs/>
                <w:snapToGrid w:val="0"/>
                <w:kern w:val="21"/>
              </w:rPr>
              <w:t>t/a</w:t>
            </w:r>
          </w:p>
        </w:tc>
        <w:tc>
          <w:tcPr>
            <w:tcW w:w="591" w:type="pct"/>
            <w:vAlign w:val="center"/>
          </w:tcPr>
          <w:p w14:paraId="039A40AC">
            <w:pPr>
              <w:pStyle w:val="44"/>
              <w:rPr>
                <w:bCs w:val="0"/>
                <w:snapToGrid w:val="0"/>
                <w:kern w:val="21"/>
              </w:rPr>
            </w:pPr>
            <w:r>
              <w:rPr>
                <w:rFonts w:hint="eastAsia"/>
                <w:bCs w:val="0"/>
              </w:rPr>
              <w:t>0.17</w:t>
            </w:r>
            <w:r>
              <w:rPr>
                <w:bCs w:val="0"/>
                <w:snapToGrid w:val="0"/>
                <w:kern w:val="21"/>
              </w:rPr>
              <w:t xml:space="preserve"> </w:t>
            </w:r>
            <w:r>
              <w:rPr>
                <w:bCs w:val="0"/>
              </w:rPr>
              <w:t>t/a</w:t>
            </w:r>
          </w:p>
        </w:tc>
        <w:tc>
          <w:tcPr>
            <w:tcW w:w="583" w:type="pct"/>
            <w:vAlign w:val="center"/>
          </w:tcPr>
          <w:p w14:paraId="4FAFC86C">
            <w:pPr>
              <w:widowControl/>
              <w:jc w:val="center"/>
              <w:textAlignment w:val="center"/>
            </w:pPr>
            <w:r>
              <w:rPr>
                <w:rFonts w:hint="eastAsia"/>
              </w:rPr>
              <w:t>0.005</w:t>
            </w:r>
            <w:r>
              <w:rPr>
                <w:bCs/>
                <w:snapToGrid w:val="0"/>
                <w:kern w:val="21"/>
              </w:rPr>
              <w:t>t/a</w:t>
            </w:r>
          </w:p>
        </w:tc>
        <w:tc>
          <w:tcPr>
            <w:tcW w:w="474" w:type="pct"/>
            <w:vAlign w:val="center"/>
          </w:tcPr>
          <w:p w14:paraId="25A8AB15">
            <w:pPr>
              <w:widowControl/>
              <w:jc w:val="center"/>
              <w:textAlignment w:val="center"/>
            </w:pPr>
            <w:r>
              <w:rPr>
                <w:rFonts w:hint="eastAsia"/>
                <w:kern w:val="0"/>
                <w:lang w:bidi="ar"/>
              </w:rPr>
              <w:t>-0.165</w:t>
            </w:r>
            <w:r>
              <w:rPr>
                <w:bCs/>
                <w:snapToGrid w:val="0"/>
                <w:kern w:val="21"/>
              </w:rPr>
              <w:t>t/a</w:t>
            </w:r>
          </w:p>
        </w:tc>
      </w:tr>
      <w:tr w14:paraId="0CC1A2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59ADE81C">
            <w:pPr>
              <w:pStyle w:val="50"/>
              <w:adjustRightInd w:val="0"/>
              <w:snapToGrid w:val="0"/>
              <w:spacing w:line="240" w:lineRule="auto"/>
              <w:rPr>
                <w:snapToGrid w:val="0"/>
                <w:kern w:val="21"/>
                <w:szCs w:val="21"/>
              </w:rPr>
            </w:pPr>
          </w:p>
        </w:tc>
        <w:tc>
          <w:tcPr>
            <w:tcW w:w="720" w:type="pct"/>
            <w:vAlign w:val="center"/>
          </w:tcPr>
          <w:p w14:paraId="7FAE5F2C">
            <w:pPr>
              <w:pStyle w:val="59"/>
              <w:rPr>
                <w:snapToGrid w:val="0"/>
                <w:kern w:val="21"/>
                <w:szCs w:val="21"/>
              </w:rPr>
            </w:pPr>
            <w:r>
              <w:rPr>
                <w:rFonts w:hint="eastAsia" w:cs="宋体"/>
                <w:kern w:val="0"/>
              </w:rPr>
              <w:t>氮氧化物</w:t>
            </w:r>
          </w:p>
        </w:tc>
        <w:tc>
          <w:tcPr>
            <w:tcW w:w="534" w:type="pct"/>
            <w:vAlign w:val="center"/>
          </w:tcPr>
          <w:p w14:paraId="5F86157E">
            <w:pPr>
              <w:pStyle w:val="44"/>
            </w:pPr>
            <w:r>
              <w:rPr>
                <w:rFonts w:hint="eastAsia"/>
              </w:rPr>
              <w:t>0.9</w:t>
            </w:r>
            <w:r>
              <w:t xml:space="preserve"> t/a</w:t>
            </w:r>
          </w:p>
        </w:tc>
        <w:tc>
          <w:tcPr>
            <w:tcW w:w="463" w:type="pct"/>
            <w:vAlign w:val="center"/>
          </w:tcPr>
          <w:p w14:paraId="35F35C04">
            <w:pPr>
              <w:pStyle w:val="44"/>
            </w:pPr>
            <w:r>
              <w:rPr>
                <w:rFonts w:hint="eastAsia"/>
              </w:rPr>
              <w:t>1.26</w:t>
            </w:r>
            <w:r>
              <w:t xml:space="preserve"> t/a</w:t>
            </w:r>
          </w:p>
        </w:tc>
        <w:tc>
          <w:tcPr>
            <w:tcW w:w="617" w:type="pct"/>
            <w:vAlign w:val="center"/>
          </w:tcPr>
          <w:p w14:paraId="541DC5BE">
            <w:pPr>
              <w:pStyle w:val="44"/>
            </w:pPr>
            <w:r>
              <w:rPr>
                <w:rFonts w:hint="eastAsia"/>
              </w:rPr>
              <w:t>0</w:t>
            </w:r>
          </w:p>
        </w:tc>
        <w:tc>
          <w:tcPr>
            <w:tcW w:w="565" w:type="pct"/>
            <w:vAlign w:val="center"/>
          </w:tcPr>
          <w:p w14:paraId="1537DE05">
            <w:pPr>
              <w:widowControl/>
              <w:jc w:val="center"/>
              <w:textAlignment w:val="center"/>
            </w:pPr>
            <w:r>
              <w:rPr>
                <w:rFonts w:hint="eastAsia"/>
              </w:rPr>
              <w:t>0.71</w:t>
            </w:r>
            <w:r>
              <w:rPr>
                <w:bCs/>
              </w:rPr>
              <w:t xml:space="preserve"> t/a</w:t>
            </w:r>
          </w:p>
        </w:tc>
        <w:tc>
          <w:tcPr>
            <w:tcW w:w="591" w:type="pct"/>
            <w:vAlign w:val="center"/>
          </w:tcPr>
          <w:p w14:paraId="1B4D310C">
            <w:pPr>
              <w:pStyle w:val="44"/>
              <w:rPr>
                <w:bCs w:val="0"/>
              </w:rPr>
            </w:pPr>
            <w:r>
              <w:rPr>
                <w:rFonts w:hint="eastAsia"/>
                <w:bCs w:val="0"/>
              </w:rPr>
              <w:t>0.9</w:t>
            </w:r>
            <w:r>
              <w:rPr>
                <w:bCs w:val="0"/>
              </w:rPr>
              <w:t xml:space="preserve"> t/a</w:t>
            </w:r>
          </w:p>
        </w:tc>
        <w:tc>
          <w:tcPr>
            <w:tcW w:w="583" w:type="pct"/>
            <w:vAlign w:val="center"/>
          </w:tcPr>
          <w:p w14:paraId="7B5F5AEB">
            <w:pPr>
              <w:widowControl/>
              <w:jc w:val="center"/>
              <w:textAlignment w:val="center"/>
            </w:pPr>
            <w:r>
              <w:rPr>
                <w:rFonts w:hint="eastAsia"/>
              </w:rPr>
              <w:t>0.71</w:t>
            </w:r>
            <w:r>
              <w:rPr>
                <w:bCs/>
              </w:rPr>
              <w:t xml:space="preserve"> t/a</w:t>
            </w:r>
          </w:p>
        </w:tc>
        <w:tc>
          <w:tcPr>
            <w:tcW w:w="474" w:type="pct"/>
            <w:vAlign w:val="center"/>
          </w:tcPr>
          <w:p w14:paraId="142FE71B">
            <w:pPr>
              <w:widowControl/>
              <w:jc w:val="center"/>
              <w:textAlignment w:val="center"/>
              <w:rPr>
                <w:kern w:val="0"/>
                <w:lang w:bidi="ar"/>
              </w:rPr>
            </w:pPr>
            <w:r>
              <w:rPr>
                <w:rFonts w:hint="eastAsia"/>
                <w:kern w:val="0"/>
                <w:lang w:bidi="ar"/>
              </w:rPr>
              <w:t>-0.19</w:t>
            </w:r>
            <w:r>
              <w:rPr>
                <w:bCs/>
                <w:snapToGrid w:val="0"/>
                <w:kern w:val="21"/>
              </w:rPr>
              <w:t>t/a</w:t>
            </w:r>
          </w:p>
        </w:tc>
      </w:tr>
      <w:tr w14:paraId="3B3381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36EEA267">
            <w:pPr>
              <w:pStyle w:val="50"/>
              <w:adjustRightInd w:val="0"/>
              <w:snapToGrid w:val="0"/>
              <w:spacing w:line="240" w:lineRule="auto"/>
              <w:rPr>
                <w:snapToGrid w:val="0"/>
                <w:kern w:val="21"/>
                <w:szCs w:val="21"/>
              </w:rPr>
            </w:pPr>
          </w:p>
        </w:tc>
        <w:tc>
          <w:tcPr>
            <w:tcW w:w="720" w:type="pct"/>
            <w:vAlign w:val="center"/>
          </w:tcPr>
          <w:p w14:paraId="7BD909A1">
            <w:pPr>
              <w:pStyle w:val="59"/>
              <w:rPr>
                <w:snapToGrid w:val="0"/>
                <w:kern w:val="21"/>
                <w:szCs w:val="21"/>
              </w:rPr>
            </w:pPr>
            <w:r>
              <w:rPr>
                <w:rFonts w:hint="eastAsia" w:cs="宋体"/>
                <w:kern w:val="0"/>
              </w:rPr>
              <w:t>二氧化硫</w:t>
            </w:r>
          </w:p>
        </w:tc>
        <w:tc>
          <w:tcPr>
            <w:tcW w:w="534" w:type="pct"/>
            <w:vAlign w:val="center"/>
          </w:tcPr>
          <w:p w14:paraId="505358E1">
            <w:pPr>
              <w:pStyle w:val="44"/>
            </w:pPr>
            <w:r>
              <w:rPr>
                <w:rFonts w:hint="eastAsia"/>
              </w:rPr>
              <w:t>0.026</w:t>
            </w:r>
            <w:r>
              <w:t xml:space="preserve"> t/a</w:t>
            </w:r>
          </w:p>
        </w:tc>
        <w:tc>
          <w:tcPr>
            <w:tcW w:w="463" w:type="pct"/>
            <w:vAlign w:val="center"/>
          </w:tcPr>
          <w:p w14:paraId="28857F17">
            <w:pPr>
              <w:pStyle w:val="44"/>
            </w:pPr>
            <w:r>
              <w:rPr>
                <w:rFonts w:hint="eastAsia"/>
              </w:rPr>
              <w:t>0.5</w:t>
            </w:r>
            <w:r>
              <w:t xml:space="preserve"> t/a t/a</w:t>
            </w:r>
          </w:p>
        </w:tc>
        <w:tc>
          <w:tcPr>
            <w:tcW w:w="617" w:type="pct"/>
            <w:vAlign w:val="center"/>
          </w:tcPr>
          <w:p w14:paraId="2469568C">
            <w:pPr>
              <w:pStyle w:val="44"/>
            </w:pPr>
            <w:r>
              <w:rPr>
                <w:rFonts w:hint="eastAsia"/>
              </w:rPr>
              <w:t>0</w:t>
            </w:r>
          </w:p>
        </w:tc>
        <w:tc>
          <w:tcPr>
            <w:tcW w:w="565" w:type="pct"/>
            <w:vAlign w:val="center"/>
          </w:tcPr>
          <w:p w14:paraId="7829ED62">
            <w:pPr>
              <w:widowControl/>
              <w:jc w:val="center"/>
              <w:textAlignment w:val="center"/>
            </w:pPr>
            <w:r>
              <w:rPr>
                <w:rFonts w:hint="eastAsia"/>
              </w:rPr>
              <w:t>0.56</w:t>
            </w:r>
            <w:r>
              <w:t xml:space="preserve"> t/a</w:t>
            </w:r>
          </w:p>
        </w:tc>
        <w:tc>
          <w:tcPr>
            <w:tcW w:w="591" w:type="pct"/>
            <w:vAlign w:val="center"/>
          </w:tcPr>
          <w:p w14:paraId="7B84AF1A">
            <w:pPr>
              <w:pStyle w:val="44"/>
              <w:rPr>
                <w:bCs w:val="0"/>
              </w:rPr>
            </w:pPr>
            <w:r>
              <w:rPr>
                <w:rFonts w:hint="eastAsia"/>
                <w:bCs w:val="0"/>
              </w:rPr>
              <w:t>0.026</w:t>
            </w:r>
            <w:r>
              <w:rPr>
                <w:bCs w:val="0"/>
              </w:rPr>
              <w:t xml:space="preserve"> t/a</w:t>
            </w:r>
          </w:p>
        </w:tc>
        <w:tc>
          <w:tcPr>
            <w:tcW w:w="583" w:type="pct"/>
            <w:vAlign w:val="center"/>
          </w:tcPr>
          <w:p w14:paraId="2C3E64DE">
            <w:pPr>
              <w:widowControl/>
              <w:jc w:val="center"/>
              <w:textAlignment w:val="center"/>
            </w:pPr>
            <w:r>
              <w:rPr>
                <w:rFonts w:hint="eastAsia"/>
              </w:rPr>
              <w:t>0.56</w:t>
            </w:r>
            <w:r>
              <w:t xml:space="preserve"> t/a</w:t>
            </w:r>
          </w:p>
        </w:tc>
        <w:tc>
          <w:tcPr>
            <w:tcW w:w="474" w:type="pct"/>
            <w:vAlign w:val="center"/>
          </w:tcPr>
          <w:p w14:paraId="70B06C31">
            <w:pPr>
              <w:widowControl/>
              <w:jc w:val="center"/>
              <w:textAlignment w:val="center"/>
              <w:rPr>
                <w:kern w:val="0"/>
                <w:lang w:bidi="ar"/>
              </w:rPr>
            </w:pPr>
            <w:r>
              <w:rPr>
                <w:rFonts w:hint="eastAsia"/>
                <w:kern w:val="0"/>
                <w:lang w:bidi="ar"/>
              </w:rPr>
              <w:t>+</w:t>
            </w:r>
            <w:r>
              <w:rPr>
                <w:kern w:val="0"/>
                <w:lang w:bidi="ar"/>
              </w:rPr>
              <w:t>0.</w:t>
            </w:r>
            <w:r>
              <w:rPr>
                <w:rFonts w:hint="eastAsia"/>
                <w:kern w:val="0"/>
                <w:lang w:bidi="ar"/>
              </w:rPr>
              <w:t>534</w:t>
            </w:r>
            <w:r>
              <w:rPr>
                <w:kern w:val="0"/>
                <w:lang w:bidi="ar"/>
              </w:rPr>
              <w:t>t/a</w:t>
            </w:r>
          </w:p>
        </w:tc>
      </w:tr>
      <w:tr w14:paraId="619427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1240C0B8">
            <w:pPr>
              <w:pStyle w:val="50"/>
              <w:adjustRightInd w:val="0"/>
              <w:snapToGrid w:val="0"/>
              <w:spacing w:line="240" w:lineRule="auto"/>
              <w:rPr>
                <w:snapToGrid w:val="0"/>
                <w:kern w:val="21"/>
                <w:szCs w:val="21"/>
              </w:rPr>
            </w:pPr>
          </w:p>
        </w:tc>
        <w:tc>
          <w:tcPr>
            <w:tcW w:w="720" w:type="pct"/>
            <w:vAlign w:val="center"/>
          </w:tcPr>
          <w:p w14:paraId="592E1F0B">
            <w:pPr>
              <w:pStyle w:val="59"/>
              <w:rPr>
                <w:snapToGrid w:val="0"/>
                <w:kern w:val="21"/>
                <w:szCs w:val="21"/>
              </w:rPr>
            </w:pPr>
            <w:r>
              <w:rPr>
                <w:rFonts w:hint="eastAsia"/>
                <w:snapToGrid w:val="0"/>
                <w:kern w:val="21"/>
                <w:szCs w:val="21"/>
              </w:rPr>
              <w:t>VOCs</w:t>
            </w:r>
          </w:p>
        </w:tc>
        <w:tc>
          <w:tcPr>
            <w:tcW w:w="534" w:type="pct"/>
            <w:vAlign w:val="center"/>
          </w:tcPr>
          <w:p w14:paraId="5969DEC8">
            <w:pPr>
              <w:pStyle w:val="44"/>
            </w:pPr>
            <w:r>
              <w:rPr>
                <w:rFonts w:hint="eastAsia"/>
              </w:rPr>
              <w:t>1.49</w:t>
            </w:r>
            <w:r>
              <w:t xml:space="preserve"> t/a</w:t>
            </w:r>
          </w:p>
        </w:tc>
        <w:tc>
          <w:tcPr>
            <w:tcW w:w="463" w:type="pct"/>
            <w:vAlign w:val="center"/>
          </w:tcPr>
          <w:p w14:paraId="4D948D2D">
            <w:pPr>
              <w:pStyle w:val="44"/>
            </w:pPr>
            <w:r>
              <w:rPr>
                <w:rFonts w:hint="eastAsia"/>
              </w:rPr>
              <w:t>0</w:t>
            </w:r>
          </w:p>
        </w:tc>
        <w:tc>
          <w:tcPr>
            <w:tcW w:w="617" w:type="pct"/>
            <w:vAlign w:val="center"/>
          </w:tcPr>
          <w:p w14:paraId="56F8CE1D">
            <w:pPr>
              <w:pStyle w:val="44"/>
            </w:pPr>
            <w:r>
              <w:rPr>
                <w:rFonts w:hint="eastAsia"/>
              </w:rPr>
              <w:t>0.0495</w:t>
            </w:r>
            <w:r>
              <w:t xml:space="preserve"> t/a</w:t>
            </w:r>
          </w:p>
        </w:tc>
        <w:tc>
          <w:tcPr>
            <w:tcW w:w="565" w:type="pct"/>
            <w:vAlign w:val="center"/>
          </w:tcPr>
          <w:p w14:paraId="2208156A">
            <w:pPr>
              <w:widowControl/>
              <w:jc w:val="center"/>
              <w:textAlignment w:val="center"/>
            </w:pPr>
            <w:r>
              <w:rPr>
                <w:rFonts w:hint="eastAsia"/>
              </w:rPr>
              <w:t>0.503</w:t>
            </w:r>
            <w:r>
              <w:t xml:space="preserve"> t/a</w:t>
            </w:r>
          </w:p>
        </w:tc>
        <w:tc>
          <w:tcPr>
            <w:tcW w:w="591" w:type="pct"/>
            <w:vAlign w:val="center"/>
          </w:tcPr>
          <w:p w14:paraId="2B2A460C">
            <w:pPr>
              <w:pStyle w:val="44"/>
              <w:rPr>
                <w:bCs w:val="0"/>
              </w:rPr>
            </w:pPr>
            <w:r>
              <w:rPr>
                <w:rFonts w:hint="eastAsia"/>
                <w:bCs w:val="0"/>
              </w:rPr>
              <w:t>0</w:t>
            </w:r>
          </w:p>
        </w:tc>
        <w:tc>
          <w:tcPr>
            <w:tcW w:w="583" w:type="pct"/>
            <w:vAlign w:val="center"/>
          </w:tcPr>
          <w:p w14:paraId="0FCDF93A">
            <w:pPr>
              <w:widowControl/>
              <w:jc w:val="center"/>
              <w:textAlignment w:val="center"/>
            </w:pPr>
            <w:r>
              <w:rPr>
                <w:rFonts w:hint="eastAsia"/>
              </w:rPr>
              <w:t>2.0425</w:t>
            </w:r>
            <w:r>
              <w:t xml:space="preserve"> t/a</w:t>
            </w:r>
          </w:p>
        </w:tc>
        <w:tc>
          <w:tcPr>
            <w:tcW w:w="474" w:type="pct"/>
            <w:vAlign w:val="center"/>
          </w:tcPr>
          <w:p w14:paraId="6BDEE8C1">
            <w:pPr>
              <w:widowControl/>
              <w:jc w:val="center"/>
              <w:textAlignment w:val="center"/>
              <w:rPr>
                <w:kern w:val="0"/>
                <w:lang w:bidi="ar"/>
              </w:rPr>
            </w:pPr>
            <w:r>
              <w:rPr>
                <w:rFonts w:hint="eastAsia"/>
                <w:kern w:val="0"/>
                <w:lang w:bidi="ar"/>
              </w:rPr>
              <w:t>+</w:t>
            </w:r>
            <w:r>
              <w:rPr>
                <w:kern w:val="0"/>
                <w:lang w:bidi="ar"/>
              </w:rPr>
              <w:t>0.</w:t>
            </w:r>
            <w:r>
              <w:rPr>
                <w:rFonts w:hint="eastAsia"/>
                <w:kern w:val="0"/>
                <w:lang w:bidi="ar"/>
              </w:rPr>
              <w:t>5525</w:t>
            </w:r>
            <w:r>
              <w:rPr>
                <w:kern w:val="0"/>
                <w:lang w:bidi="ar"/>
              </w:rPr>
              <w:t>t/a</w:t>
            </w:r>
          </w:p>
        </w:tc>
      </w:tr>
      <w:tr w14:paraId="488896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369BAAF9">
            <w:pPr>
              <w:pStyle w:val="50"/>
              <w:adjustRightInd w:val="0"/>
              <w:snapToGrid w:val="0"/>
              <w:spacing w:line="240" w:lineRule="auto"/>
              <w:rPr>
                <w:snapToGrid w:val="0"/>
                <w:kern w:val="21"/>
                <w:szCs w:val="21"/>
              </w:rPr>
            </w:pPr>
          </w:p>
        </w:tc>
        <w:tc>
          <w:tcPr>
            <w:tcW w:w="720" w:type="pct"/>
            <w:vAlign w:val="center"/>
          </w:tcPr>
          <w:p w14:paraId="0CFAD3A6">
            <w:pPr>
              <w:pStyle w:val="59"/>
              <w:rPr>
                <w:snapToGrid w:val="0"/>
                <w:kern w:val="21"/>
                <w:szCs w:val="21"/>
              </w:rPr>
            </w:pPr>
            <w:r>
              <w:rPr>
                <w:rFonts w:cs="Calibri"/>
                <w:kern w:val="0"/>
                <w:szCs w:val="22"/>
              </w:rPr>
              <w:t>氨</w:t>
            </w:r>
          </w:p>
        </w:tc>
        <w:tc>
          <w:tcPr>
            <w:tcW w:w="534" w:type="pct"/>
            <w:vAlign w:val="center"/>
          </w:tcPr>
          <w:p w14:paraId="0D963BD5">
            <w:pPr>
              <w:pStyle w:val="44"/>
            </w:pPr>
            <w:r>
              <w:rPr>
                <w:rFonts w:hint="eastAsia"/>
              </w:rPr>
              <w:t>0.082</w:t>
            </w:r>
            <w:r>
              <w:t xml:space="preserve"> t/a</w:t>
            </w:r>
          </w:p>
        </w:tc>
        <w:tc>
          <w:tcPr>
            <w:tcW w:w="463" w:type="pct"/>
            <w:vAlign w:val="center"/>
          </w:tcPr>
          <w:p w14:paraId="57821A84">
            <w:pPr>
              <w:pStyle w:val="44"/>
            </w:pPr>
            <w:r>
              <w:rPr>
                <w:rFonts w:hint="eastAsia"/>
              </w:rPr>
              <w:t>0</w:t>
            </w:r>
          </w:p>
        </w:tc>
        <w:tc>
          <w:tcPr>
            <w:tcW w:w="617" w:type="pct"/>
            <w:vAlign w:val="center"/>
          </w:tcPr>
          <w:p w14:paraId="35402660">
            <w:pPr>
              <w:pStyle w:val="44"/>
            </w:pPr>
            <w:r>
              <w:rPr>
                <w:rFonts w:hint="eastAsia"/>
              </w:rPr>
              <w:t>0</w:t>
            </w:r>
          </w:p>
        </w:tc>
        <w:tc>
          <w:tcPr>
            <w:tcW w:w="565" w:type="pct"/>
            <w:vAlign w:val="center"/>
          </w:tcPr>
          <w:p w14:paraId="790D0458">
            <w:pPr>
              <w:widowControl/>
              <w:jc w:val="center"/>
              <w:textAlignment w:val="center"/>
            </w:pPr>
            <w:r>
              <w:rPr>
                <w:rFonts w:hint="eastAsia"/>
              </w:rPr>
              <w:t>0.036</w:t>
            </w:r>
            <w:r>
              <w:t xml:space="preserve"> t/a</w:t>
            </w:r>
          </w:p>
        </w:tc>
        <w:tc>
          <w:tcPr>
            <w:tcW w:w="591" w:type="pct"/>
            <w:vAlign w:val="center"/>
          </w:tcPr>
          <w:p w14:paraId="036C8B26">
            <w:pPr>
              <w:pStyle w:val="44"/>
              <w:rPr>
                <w:bCs w:val="0"/>
              </w:rPr>
            </w:pPr>
            <w:r>
              <w:rPr>
                <w:rFonts w:hint="eastAsia"/>
                <w:bCs w:val="0"/>
              </w:rPr>
              <w:t>0</w:t>
            </w:r>
          </w:p>
        </w:tc>
        <w:tc>
          <w:tcPr>
            <w:tcW w:w="583" w:type="pct"/>
            <w:vAlign w:val="center"/>
          </w:tcPr>
          <w:p w14:paraId="7622E8EC">
            <w:pPr>
              <w:widowControl/>
              <w:jc w:val="center"/>
              <w:textAlignment w:val="center"/>
            </w:pPr>
            <w:r>
              <w:rPr>
                <w:rFonts w:hint="eastAsia"/>
              </w:rPr>
              <w:t>0.118</w:t>
            </w:r>
            <w:r>
              <w:t xml:space="preserve"> t/a</w:t>
            </w:r>
          </w:p>
        </w:tc>
        <w:tc>
          <w:tcPr>
            <w:tcW w:w="474" w:type="pct"/>
            <w:vAlign w:val="center"/>
          </w:tcPr>
          <w:p w14:paraId="344EA7D0">
            <w:pPr>
              <w:widowControl/>
              <w:jc w:val="center"/>
              <w:textAlignment w:val="center"/>
              <w:rPr>
                <w:kern w:val="0"/>
                <w:lang w:bidi="ar"/>
              </w:rPr>
            </w:pPr>
            <w:r>
              <w:rPr>
                <w:rFonts w:hint="eastAsia"/>
                <w:kern w:val="0"/>
                <w:lang w:bidi="ar"/>
              </w:rPr>
              <w:t>+0.036</w:t>
            </w:r>
            <w:r>
              <w:rPr>
                <w:kern w:val="0"/>
                <w:lang w:bidi="ar"/>
              </w:rPr>
              <w:t>t/a</w:t>
            </w:r>
          </w:p>
        </w:tc>
      </w:tr>
      <w:tr w14:paraId="731897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122FEF3B">
            <w:pPr>
              <w:pStyle w:val="50"/>
              <w:adjustRightInd w:val="0"/>
              <w:snapToGrid w:val="0"/>
              <w:spacing w:line="240" w:lineRule="auto"/>
              <w:rPr>
                <w:snapToGrid w:val="0"/>
                <w:kern w:val="21"/>
                <w:szCs w:val="21"/>
              </w:rPr>
            </w:pPr>
          </w:p>
        </w:tc>
        <w:tc>
          <w:tcPr>
            <w:tcW w:w="720" w:type="pct"/>
            <w:vAlign w:val="center"/>
          </w:tcPr>
          <w:p w14:paraId="53F954C4">
            <w:pPr>
              <w:pStyle w:val="59"/>
              <w:rPr>
                <w:snapToGrid w:val="0"/>
                <w:kern w:val="21"/>
                <w:szCs w:val="21"/>
              </w:rPr>
            </w:pPr>
            <w:r>
              <w:rPr>
                <w:rFonts w:cs="Calibri"/>
                <w:kern w:val="0"/>
                <w:szCs w:val="22"/>
              </w:rPr>
              <w:t>硫化氢</w:t>
            </w:r>
          </w:p>
        </w:tc>
        <w:tc>
          <w:tcPr>
            <w:tcW w:w="534" w:type="pct"/>
            <w:vAlign w:val="center"/>
          </w:tcPr>
          <w:p w14:paraId="1F35D519">
            <w:pPr>
              <w:pStyle w:val="44"/>
            </w:pPr>
            <w:r>
              <w:rPr>
                <w:rFonts w:hint="eastAsia"/>
              </w:rPr>
              <w:t>0.0083</w:t>
            </w:r>
            <w:r>
              <w:t xml:space="preserve"> t/a</w:t>
            </w:r>
          </w:p>
        </w:tc>
        <w:tc>
          <w:tcPr>
            <w:tcW w:w="463" w:type="pct"/>
            <w:vAlign w:val="center"/>
          </w:tcPr>
          <w:p w14:paraId="6F3CD727">
            <w:pPr>
              <w:pStyle w:val="44"/>
            </w:pPr>
            <w:r>
              <w:rPr>
                <w:rFonts w:hint="eastAsia"/>
              </w:rPr>
              <w:t>0</w:t>
            </w:r>
          </w:p>
        </w:tc>
        <w:tc>
          <w:tcPr>
            <w:tcW w:w="617" w:type="pct"/>
            <w:vAlign w:val="center"/>
          </w:tcPr>
          <w:p w14:paraId="0C16E06B">
            <w:pPr>
              <w:pStyle w:val="44"/>
            </w:pPr>
            <w:r>
              <w:rPr>
                <w:rFonts w:hint="eastAsia"/>
              </w:rPr>
              <w:t>0</w:t>
            </w:r>
          </w:p>
        </w:tc>
        <w:tc>
          <w:tcPr>
            <w:tcW w:w="565" w:type="pct"/>
            <w:vAlign w:val="center"/>
          </w:tcPr>
          <w:p w14:paraId="64AC160D">
            <w:pPr>
              <w:widowControl/>
              <w:jc w:val="center"/>
              <w:textAlignment w:val="center"/>
            </w:pPr>
            <w:r>
              <w:rPr>
                <w:rFonts w:hint="eastAsia"/>
              </w:rPr>
              <w:t>0.00194</w:t>
            </w:r>
            <w:r>
              <w:t xml:space="preserve"> t/a</w:t>
            </w:r>
          </w:p>
        </w:tc>
        <w:tc>
          <w:tcPr>
            <w:tcW w:w="591" w:type="pct"/>
            <w:vAlign w:val="center"/>
          </w:tcPr>
          <w:p w14:paraId="38D6DEDE">
            <w:pPr>
              <w:pStyle w:val="44"/>
              <w:rPr>
                <w:bCs w:val="0"/>
              </w:rPr>
            </w:pPr>
            <w:r>
              <w:rPr>
                <w:rFonts w:hint="eastAsia"/>
                <w:bCs w:val="0"/>
              </w:rPr>
              <w:t>0</w:t>
            </w:r>
          </w:p>
        </w:tc>
        <w:tc>
          <w:tcPr>
            <w:tcW w:w="583" w:type="pct"/>
            <w:vAlign w:val="center"/>
          </w:tcPr>
          <w:p w14:paraId="2630C4F0">
            <w:pPr>
              <w:widowControl/>
              <w:jc w:val="center"/>
              <w:textAlignment w:val="center"/>
            </w:pPr>
            <w:r>
              <w:rPr>
                <w:rFonts w:hint="eastAsia"/>
              </w:rPr>
              <w:t>0.0443</w:t>
            </w:r>
            <w:r>
              <w:t xml:space="preserve"> t/a</w:t>
            </w:r>
          </w:p>
        </w:tc>
        <w:tc>
          <w:tcPr>
            <w:tcW w:w="474" w:type="pct"/>
            <w:vAlign w:val="center"/>
          </w:tcPr>
          <w:p w14:paraId="3800004F">
            <w:pPr>
              <w:widowControl/>
              <w:jc w:val="center"/>
              <w:textAlignment w:val="center"/>
              <w:rPr>
                <w:kern w:val="0"/>
                <w:lang w:bidi="ar"/>
              </w:rPr>
            </w:pPr>
            <w:r>
              <w:rPr>
                <w:rFonts w:hint="eastAsia"/>
                <w:kern w:val="0"/>
                <w:lang w:bidi="ar"/>
              </w:rPr>
              <w:t>+0.036</w:t>
            </w:r>
            <w:r>
              <w:rPr>
                <w:kern w:val="0"/>
                <w:lang w:bidi="ar"/>
              </w:rPr>
              <w:t>t/a</w:t>
            </w:r>
          </w:p>
        </w:tc>
      </w:tr>
      <w:tr w14:paraId="677AA4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7169D972">
            <w:pPr>
              <w:pStyle w:val="50"/>
              <w:adjustRightInd w:val="0"/>
              <w:snapToGrid w:val="0"/>
              <w:spacing w:line="240" w:lineRule="auto"/>
              <w:rPr>
                <w:snapToGrid w:val="0"/>
                <w:kern w:val="21"/>
                <w:szCs w:val="21"/>
              </w:rPr>
            </w:pPr>
          </w:p>
        </w:tc>
        <w:tc>
          <w:tcPr>
            <w:tcW w:w="720" w:type="pct"/>
            <w:vAlign w:val="center"/>
          </w:tcPr>
          <w:p w14:paraId="04C7DBEF">
            <w:pPr>
              <w:pStyle w:val="59"/>
              <w:rPr>
                <w:rFonts w:cs="Calibri"/>
                <w:kern w:val="0"/>
                <w:szCs w:val="22"/>
              </w:rPr>
            </w:pPr>
            <w:r>
              <w:rPr>
                <w:rFonts w:hint="eastAsia" w:cs="Calibri"/>
                <w:kern w:val="0"/>
                <w:szCs w:val="22"/>
              </w:rPr>
              <w:t>硫酸雾</w:t>
            </w:r>
          </w:p>
        </w:tc>
        <w:tc>
          <w:tcPr>
            <w:tcW w:w="534" w:type="pct"/>
            <w:vAlign w:val="center"/>
          </w:tcPr>
          <w:p w14:paraId="024D1A7F">
            <w:pPr>
              <w:pStyle w:val="44"/>
            </w:pPr>
            <w:r>
              <w:rPr>
                <w:rFonts w:hint="eastAsia"/>
              </w:rPr>
              <w:t>0</w:t>
            </w:r>
          </w:p>
        </w:tc>
        <w:tc>
          <w:tcPr>
            <w:tcW w:w="463" w:type="pct"/>
            <w:vAlign w:val="center"/>
          </w:tcPr>
          <w:p w14:paraId="62FE363A">
            <w:pPr>
              <w:pStyle w:val="44"/>
            </w:pPr>
            <w:r>
              <w:rPr>
                <w:rFonts w:hint="eastAsia"/>
              </w:rPr>
              <w:t>0</w:t>
            </w:r>
          </w:p>
        </w:tc>
        <w:tc>
          <w:tcPr>
            <w:tcW w:w="617" w:type="pct"/>
            <w:vAlign w:val="center"/>
          </w:tcPr>
          <w:p w14:paraId="4D7342D6">
            <w:pPr>
              <w:pStyle w:val="44"/>
            </w:pPr>
            <w:r>
              <w:rPr>
                <w:rFonts w:hint="eastAsia"/>
              </w:rPr>
              <w:t>0.049</w:t>
            </w:r>
            <w:r>
              <w:t xml:space="preserve"> t/a</w:t>
            </w:r>
          </w:p>
        </w:tc>
        <w:tc>
          <w:tcPr>
            <w:tcW w:w="565" w:type="pct"/>
            <w:vAlign w:val="center"/>
          </w:tcPr>
          <w:p w14:paraId="59D7EE92">
            <w:pPr>
              <w:widowControl/>
              <w:jc w:val="center"/>
              <w:textAlignment w:val="center"/>
            </w:pPr>
            <w:r>
              <w:rPr>
                <w:rFonts w:hint="eastAsia"/>
              </w:rPr>
              <w:t>0</w:t>
            </w:r>
          </w:p>
        </w:tc>
        <w:tc>
          <w:tcPr>
            <w:tcW w:w="591" w:type="pct"/>
            <w:vAlign w:val="center"/>
          </w:tcPr>
          <w:p w14:paraId="4BE84748">
            <w:pPr>
              <w:pStyle w:val="44"/>
              <w:rPr>
                <w:bCs w:val="0"/>
              </w:rPr>
            </w:pPr>
            <w:r>
              <w:rPr>
                <w:rFonts w:hint="eastAsia"/>
                <w:bCs w:val="0"/>
              </w:rPr>
              <w:t>0</w:t>
            </w:r>
          </w:p>
        </w:tc>
        <w:tc>
          <w:tcPr>
            <w:tcW w:w="583" w:type="pct"/>
            <w:vAlign w:val="center"/>
          </w:tcPr>
          <w:p w14:paraId="290372BE">
            <w:pPr>
              <w:widowControl/>
              <w:jc w:val="center"/>
              <w:textAlignment w:val="center"/>
            </w:pPr>
            <w:r>
              <w:rPr>
                <w:rFonts w:hint="eastAsia"/>
              </w:rPr>
              <w:t>0.049</w:t>
            </w:r>
            <w:r>
              <w:t xml:space="preserve"> t/a</w:t>
            </w:r>
          </w:p>
        </w:tc>
        <w:tc>
          <w:tcPr>
            <w:tcW w:w="474" w:type="pct"/>
            <w:vAlign w:val="center"/>
          </w:tcPr>
          <w:p w14:paraId="0455B7D9">
            <w:pPr>
              <w:widowControl/>
              <w:jc w:val="center"/>
              <w:textAlignment w:val="center"/>
              <w:rPr>
                <w:kern w:val="0"/>
                <w:lang w:bidi="ar"/>
              </w:rPr>
            </w:pPr>
            <w:r>
              <w:rPr>
                <w:rFonts w:hint="eastAsia"/>
                <w:kern w:val="0"/>
                <w:lang w:bidi="ar"/>
              </w:rPr>
              <w:t>+0.049</w:t>
            </w:r>
            <w:r>
              <w:rPr>
                <w:kern w:val="0"/>
                <w:lang w:bidi="ar"/>
              </w:rPr>
              <w:t>t/a</w:t>
            </w:r>
          </w:p>
        </w:tc>
      </w:tr>
      <w:tr w14:paraId="16E83A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restart"/>
            <w:vAlign w:val="center"/>
          </w:tcPr>
          <w:p w14:paraId="782E8489">
            <w:pPr>
              <w:pStyle w:val="50"/>
              <w:adjustRightInd w:val="0"/>
              <w:snapToGrid w:val="0"/>
              <w:spacing w:line="240" w:lineRule="auto"/>
              <w:rPr>
                <w:snapToGrid w:val="0"/>
                <w:kern w:val="21"/>
                <w:szCs w:val="21"/>
              </w:rPr>
            </w:pPr>
            <w:r>
              <w:rPr>
                <w:snapToGrid w:val="0"/>
                <w:kern w:val="21"/>
                <w:szCs w:val="21"/>
              </w:rPr>
              <w:t>废水</w:t>
            </w:r>
          </w:p>
        </w:tc>
        <w:tc>
          <w:tcPr>
            <w:tcW w:w="720" w:type="pct"/>
            <w:vAlign w:val="center"/>
          </w:tcPr>
          <w:p w14:paraId="2B9F78C0">
            <w:pPr>
              <w:pStyle w:val="50"/>
              <w:adjustRightInd w:val="0"/>
              <w:snapToGrid w:val="0"/>
              <w:spacing w:line="240" w:lineRule="auto"/>
              <w:rPr>
                <w:snapToGrid w:val="0"/>
                <w:kern w:val="21"/>
                <w:szCs w:val="21"/>
              </w:rPr>
            </w:pPr>
            <w:r>
              <w:rPr>
                <w:snapToGrid w:val="0"/>
                <w:kern w:val="21"/>
                <w:szCs w:val="21"/>
              </w:rPr>
              <w:t>废水量</w:t>
            </w:r>
          </w:p>
        </w:tc>
        <w:tc>
          <w:tcPr>
            <w:tcW w:w="534" w:type="pct"/>
            <w:vAlign w:val="center"/>
          </w:tcPr>
          <w:p w14:paraId="1FE836B1">
            <w:pPr>
              <w:adjustRightInd w:val="0"/>
              <w:jc w:val="center"/>
              <w:rPr>
                <w:bCs/>
                <w:snapToGrid w:val="0"/>
                <w:kern w:val="21"/>
              </w:rPr>
            </w:pPr>
            <w:r>
              <w:rPr>
                <w:rFonts w:hint="eastAsia"/>
              </w:rPr>
              <w:t>0</w:t>
            </w:r>
          </w:p>
        </w:tc>
        <w:tc>
          <w:tcPr>
            <w:tcW w:w="463" w:type="pct"/>
            <w:vAlign w:val="center"/>
          </w:tcPr>
          <w:p w14:paraId="2A86EF15">
            <w:pPr>
              <w:adjustRightInd w:val="0"/>
              <w:jc w:val="center"/>
              <w:rPr>
                <w:bCs/>
                <w:snapToGrid w:val="0"/>
                <w:kern w:val="21"/>
              </w:rPr>
            </w:pPr>
            <w:r>
              <w:rPr>
                <w:rFonts w:hint="eastAsia"/>
              </w:rPr>
              <w:t>0</w:t>
            </w:r>
          </w:p>
        </w:tc>
        <w:tc>
          <w:tcPr>
            <w:tcW w:w="617" w:type="pct"/>
            <w:vAlign w:val="center"/>
          </w:tcPr>
          <w:p w14:paraId="158EB6BF">
            <w:pPr>
              <w:adjustRightInd w:val="0"/>
              <w:jc w:val="center"/>
              <w:rPr>
                <w:bCs/>
                <w:snapToGrid w:val="0"/>
                <w:kern w:val="21"/>
              </w:rPr>
            </w:pPr>
            <w:r>
              <w:rPr>
                <w:rFonts w:hint="eastAsia"/>
              </w:rPr>
              <w:t>0</w:t>
            </w:r>
          </w:p>
        </w:tc>
        <w:tc>
          <w:tcPr>
            <w:tcW w:w="565" w:type="pct"/>
            <w:vAlign w:val="center"/>
          </w:tcPr>
          <w:p w14:paraId="1F05871E">
            <w:pPr>
              <w:pStyle w:val="60"/>
              <w:rPr>
                <w:szCs w:val="21"/>
              </w:rPr>
            </w:pPr>
            <w:r>
              <w:rPr>
                <w:rFonts w:hint="eastAsia"/>
              </w:rPr>
              <w:t>0</w:t>
            </w:r>
          </w:p>
        </w:tc>
        <w:tc>
          <w:tcPr>
            <w:tcW w:w="591" w:type="pct"/>
            <w:vAlign w:val="center"/>
          </w:tcPr>
          <w:p w14:paraId="321D598C">
            <w:pPr>
              <w:adjustRightInd w:val="0"/>
              <w:jc w:val="center"/>
              <w:rPr>
                <w:snapToGrid w:val="0"/>
                <w:kern w:val="21"/>
              </w:rPr>
            </w:pPr>
            <w:r>
              <w:rPr>
                <w:rFonts w:hint="eastAsia"/>
              </w:rPr>
              <w:t>0</w:t>
            </w:r>
          </w:p>
        </w:tc>
        <w:tc>
          <w:tcPr>
            <w:tcW w:w="583" w:type="pct"/>
            <w:vAlign w:val="center"/>
          </w:tcPr>
          <w:p w14:paraId="2B012CEC">
            <w:pPr>
              <w:pStyle w:val="60"/>
              <w:rPr>
                <w:szCs w:val="21"/>
              </w:rPr>
            </w:pPr>
            <w:r>
              <w:rPr>
                <w:rFonts w:hint="eastAsia"/>
              </w:rPr>
              <w:t>0</w:t>
            </w:r>
          </w:p>
        </w:tc>
        <w:tc>
          <w:tcPr>
            <w:tcW w:w="474" w:type="pct"/>
            <w:vAlign w:val="center"/>
          </w:tcPr>
          <w:p w14:paraId="67252423">
            <w:pPr>
              <w:pStyle w:val="60"/>
              <w:rPr>
                <w:szCs w:val="21"/>
              </w:rPr>
            </w:pPr>
            <w:r>
              <w:rPr>
                <w:rFonts w:hint="eastAsia"/>
              </w:rPr>
              <w:t>0</w:t>
            </w:r>
          </w:p>
        </w:tc>
      </w:tr>
      <w:tr w14:paraId="0B6111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66215CD0">
            <w:pPr>
              <w:pStyle w:val="50"/>
              <w:adjustRightInd w:val="0"/>
              <w:snapToGrid w:val="0"/>
              <w:spacing w:line="240" w:lineRule="auto"/>
              <w:rPr>
                <w:snapToGrid w:val="0"/>
                <w:kern w:val="21"/>
                <w:szCs w:val="21"/>
              </w:rPr>
            </w:pPr>
          </w:p>
        </w:tc>
        <w:tc>
          <w:tcPr>
            <w:tcW w:w="720" w:type="pct"/>
            <w:vAlign w:val="center"/>
          </w:tcPr>
          <w:p w14:paraId="28F28BB4">
            <w:pPr>
              <w:pStyle w:val="44"/>
              <w:rPr>
                <w:snapToGrid w:val="0"/>
                <w:kern w:val="21"/>
              </w:rPr>
            </w:pPr>
            <w:r>
              <w:t>COD</w:t>
            </w:r>
            <w:r>
              <w:rPr>
                <w:vertAlign w:val="subscript"/>
              </w:rPr>
              <w:t>cr</w:t>
            </w:r>
          </w:p>
        </w:tc>
        <w:tc>
          <w:tcPr>
            <w:tcW w:w="534" w:type="pct"/>
            <w:vAlign w:val="center"/>
          </w:tcPr>
          <w:p w14:paraId="7BE640B1">
            <w:pPr>
              <w:adjustRightInd w:val="0"/>
              <w:jc w:val="center"/>
              <w:rPr>
                <w:bCs/>
                <w:snapToGrid w:val="0"/>
                <w:kern w:val="21"/>
              </w:rPr>
            </w:pPr>
            <w:r>
              <w:rPr>
                <w:rFonts w:hint="eastAsia"/>
              </w:rPr>
              <w:t>0</w:t>
            </w:r>
          </w:p>
        </w:tc>
        <w:tc>
          <w:tcPr>
            <w:tcW w:w="463" w:type="pct"/>
            <w:vAlign w:val="center"/>
          </w:tcPr>
          <w:p w14:paraId="4B4CD15E">
            <w:pPr>
              <w:adjustRightInd w:val="0"/>
              <w:jc w:val="center"/>
              <w:rPr>
                <w:bCs/>
                <w:snapToGrid w:val="0"/>
                <w:kern w:val="21"/>
              </w:rPr>
            </w:pPr>
            <w:r>
              <w:rPr>
                <w:rFonts w:hint="eastAsia"/>
              </w:rPr>
              <w:t>0</w:t>
            </w:r>
          </w:p>
        </w:tc>
        <w:tc>
          <w:tcPr>
            <w:tcW w:w="617" w:type="pct"/>
            <w:vAlign w:val="center"/>
          </w:tcPr>
          <w:p w14:paraId="5D08E1C8">
            <w:pPr>
              <w:adjustRightInd w:val="0"/>
              <w:jc w:val="center"/>
              <w:rPr>
                <w:bCs/>
                <w:snapToGrid w:val="0"/>
                <w:kern w:val="21"/>
              </w:rPr>
            </w:pPr>
            <w:r>
              <w:rPr>
                <w:rFonts w:hint="eastAsia"/>
              </w:rPr>
              <w:t>0</w:t>
            </w:r>
          </w:p>
        </w:tc>
        <w:tc>
          <w:tcPr>
            <w:tcW w:w="565" w:type="pct"/>
            <w:vAlign w:val="center"/>
          </w:tcPr>
          <w:p w14:paraId="38CA9F4E">
            <w:pPr>
              <w:pStyle w:val="60"/>
              <w:rPr>
                <w:szCs w:val="21"/>
              </w:rPr>
            </w:pPr>
            <w:r>
              <w:rPr>
                <w:rFonts w:hint="eastAsia"/>
              </w:rPr>
              <w:t>0</w:t>
            </w:r>
          </w:p>
        </w:tc>
        <w:tc>
          <w:tcPr>
            <w:tcW w:w="591" w:type="pct"/>
            <w:vAlign w:val="center"/>
          </w:tcPr>
          <w:p w14:paraId="504E5185">
            <w:pPr>
              <w:adjustRightInd w:val="0"/>
              <w:jc w:val="center"/>
              <w:rPr>
                <w:snapToGrid w:val="0"/>
                <w:kern w:val="21"/>
              </w:rPr>
            </w:pPr>
            <w:r>
              <w:rPr>
                <w:rFonts w:hint="eastAsia"/>
              </w:rPr>
              <w:t>0</w:t>
            </w:r>
          </w:p>
        </w:tc>
        <w:tc>
          <w:tcPr>
            <w:tcW w:w="583" w:type="pct"/>
            <w:vAlign w:val="center"/>
          </w:tcPr>
          <w:p w14:paraId="679A4184">
            <w:pPr>
              <w:pStyle w:val="60"/>
              <w:rPr>
                <w:szCs w:val="21"/>
              </w:rPr>
            </w:pPr>
            <w:r>
              <w:rPr>
                <w:rFonts w:hint="eastAsia"/>
              </w:rPr>
              <w:t>0</w:t>
            </w:r>
          </w:p>
        </w:tc>
        <w:tc>
          <w:tcPr>
            <w:tcW w:w="474" w:type="pct"/>
            <w:vAlign w:val="center"/>
          </w:tcPr>
          <w:p w14:paraId="23D05BDE">
            <w:pPr>
              <w:pStyle w:val="60"/>
              <w:rPr>
                <w:szCs w:val="21"/>
              </w:rPr>
            </w:pPr>
            <w:r>
              <w:rPr>
                <w:rFonts w:hint="eastAsia"/>
              </w:rPr>
              <w:t>0</w:t>
            </w:r>
          </w:p>
        </w:tc>
      </w:tr>
      <w:tr w14:paraId="2BC18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25DF36D7">
            <w:pPr>
              <w:pStyle w:val="50"/>
              <w:adjustRightInd w:val="0"/>
              <w:snapToGrid w:val="0"/>
              <w:spacing w:line="240" w:lineRule="auto"/>
              <w:rPr>
                <w:snapToGrid w:val="0"/>
                <w:kern w:val="21"/>
                <w:szCs w:val="21"/>
              </w:rPr>
            </w:pPr>
          </w:p>
        </w:tc>
        <w:tc>
          <w:tcPr>
            <w:tcW w:w="720" w:type="pct"/>
            <w:vAlign w:val="center"/>
          </w:tcPr>
          <w:p w14:paraId="7F479C3C">
            <w:pPr>
              <w:pStyle w:val="44"/>
              <w:rPr>
                <w:snapToGrid w:val="0"/>
                <w:kern w:val="21"/>
              </w:rPr>
            </w:pPr>
            <w:r>
              <w:t>NH</w:t>
            </w:r>
            <w:r>
              <w:rPr>
                <w:vertAlign w:val="subscript"/>
              </w:rPr>
              <w:t>3</w:t>
            </w:r>
            <w:r>
              <w:t>-N</w:t>
            </w:r>
          </w:p>
        </w:tc>
        <w:tc>
          <w:tcPr>
            <w:tcW w:w="534" w:type="pct"/>
            <w:vAlign w:val="center"/>
          </w:tcPr>
          <w:p w14:paraId="7941AA98">
            <w:pPr>
              <w:pStyle w:val="44"/>
              <w:rPr>
                <w:snapToGrid w:val="0"/>
                <w:kern w:val="21"/>
              </w:rPr>
            </w:pPr>
            <w:r>
              <w:rPr>
                <w:rFonts w:hint="eastAsia"/>
              </w:rPr>
              <w:t>0</w:t>
            </w:r>
          </w:p>
        </w:tc>
        <w:tc>
          <w:tcPr>
            <w:tcW w:w="463" w:type="pct"/>
            <w:vAlign w:val="center"/>
          </w:tcPr>
          <w:p w14:paraId="673A92B6">
            <w:pPr>
              <w:pStyle w:val="44"/>
              <w:rPr>
                <w:snapToGrid w:val="0"/>
                <w:kern w:val="21"/>
              </w:rPr>
            </w:pPr>
            <w:r>
              <w:rPr>
                <w:rFonts w:hint="eastAsia"/>
              </w:rPr>
              <w:t>0</w:t>
            </w:r>
          </w:p>
        </w:tc>
        <w:tc>
          <w:tcPr>
            <w:tcW w:w="617" w:type="pct"/>
            <w:vAlign w:val="center"/>
          </w:tcPr>
          <w:p w14:paraId="4D1B35F2">
            <w:pPr>
              <w:pStyle w:val="44"/>
              <w:rPr>
                <w:snapToGrid w:val="0"/>
                <w:kern w:val="21"/>
              </w:rPr>
            </w:pPr>
            <w:r>
              <w:rPr>
                <w:rFonts w:hint="eastAsia"/>
              </w:rPr>
              <w:t>0</w:t>
            </w:r>
          </w:p>
        </w:tc>
        <w:tc>
          <w:tcPr>
            <w:tcW w:w="565" w:type="pct"/>
            <w:vAlign w:val="center"/>
          </w:tcPr>
          <w:p w14:paraId="27F158FC">
            <w:pPr>
              <w:pStyle w:val="60"/>
              <w:rPr>
                <w:szCs w:val="21"/>
              </w:rPr>
            </w:pPr>
            <w:r>
              <w:rPr>
                <w:rFonts w:hint="eastAsia"/>
              </w:rPr>
              <w:t>0</w:t>
            </w:r>
          </w:p>
        </w:tc>
        <w:tc>
          <w:tcPr>
            <w:tcW w:w="591" w:type="pct"/>
            <w:vAlign w:val="center"/>
          </w:tcPr>
          <w:p w14:paraId="70EF8DBE">
            <w:pPr>
              <w:pStyle w:val="44"/>
              <w:rPr>
                <w:bCs w:val="0"/>
                <w:snapToGrid w:val="0"/>
                <w:kern w:val="21"/>
              </w:rPr>
            </w:pPr>
            <w:r>
              <w:rPr>
                <w:rFonts w:hint="eastAsia"/>
                <w:bCs w:val="0"/>
              </w:rPr>
              <w:t>0</w:t>
            </w:r>
          </w:p>
        </w:tc>
        <w:tc>
          <w:tcPr>
            <w:tcW w:w="583" w:type="pct"/>
            <w:vAlign w:val="center"/>
          </w:tcPr>
          <w:p w14:paraId="311D95D4">
            <w:pPr>
              <w:pStyle w:val="60"/>
              <w:rPr>
                <w:szCs w:val="21"/>
              </w:rPr>
            </w:pPr>
            <w:r>
              <w:rPr>
                <w:rFonts w:hint="eastAsia"/>
              </w:rPr>
              <w:t>0</w:t>
            </w:r>
          </w:p>
        </w:tc>
        <w:tc>
          <w:tcPr>
            <w:tcW w:w="474" w:type="pct"/>
            <w:vAlign w:val="center"/>
          </w:tcPr>
          <w:p w14:paraId="5709BDC1">
            <w:pPr>
              <w:pStyle w:val="60"/>
              <w:rPr>
                <w:szCs w:val="21"/>
              </w:rPr>
            </w:pPr>
            <w:r>
              <w:rPr>
                <w:rFonts w:hint="eastAsia"/>
              </w:rPr>
              <w:t>0</w:t>
            </w:r>
          </w:p>
        </w:tc>
      </w:tr>
      <w:tr w14:paraId="0BAB35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restart"/>
            <w:vAlign w:val="center"/>
          </w:tcPr>
          <w:p w14:paraId="3AD249E3">
            <w:pPr>
              <w:pStyle w:val="50"/>
              <w:adjustRightInd w:val="0"/>
              <w:snapToGrid w:val="0"/>
              <w:spacing w:line="240" w:lineRule="auto"/>
              <w:rPr>
                <w:snapToGrid w:val="0"/>
                <w:kern w:val="21"/>
                <w:szCs w:val="21"/>
              </w:rPr>
            </w:pPr>
            <w:r>
              <w:rPr>
                <w:snapToGrid w:val="0"/>
                <w:kern w:val="21"/>
                <w:szCs w:val="21"/>
              </w:rPr>
              <w:t>一般工业</w:t>
            </w:r>
          </w:p>
          <w:p w14:paraId="30694D34">
            <w:pPr>
              <w:pStyle w:val="50"/>
              <w:adjustRightInd w:val="0"/>
              <w:snapToGrid w:val="0"/>
              <w:spacing w:line="240" w:lineRule="auto"/>
              <w:rPr>
                <w:snapToGrid w:val="0"/>
                <w:kern w:val="21"/>
                <w:szCs w:val="21"/>
              </w:rPr>
            </w:pPr>
            <w:r>
              <w:rPr>
                <w:snapToGrid w:val="0"/>
                <w:kern w:val="21"/>
                <w:szCs w:val="21"/>
              </w:rPr>
              <w:t>固体废物</w:t>
            </w:r>
          </w:p>
        </w:tc>
        <w:tc>
          <w:tcPr>
            <w:tcW w:w="720" w:type="pct"/>
            <w:vAlign w:val="center"/>
          </w:tcPr>
          <w:p w14:paraId="52C37F28">
            <w:pPr>
              <w:autoSpaceDE w:val="0"/>
              <w:autoSpaceDN w:val="0"/>
              <w:adjustRightInd w:val="0"/>
              <w:snapToGrid w:val="0"/>
              <w:jc w:val="center"/>
              <w:textAlignment w:val="baseline"/>
            </w:pPr>
            <w:r>
              <w:rPr>
                <w:rFonts w:hint="eastAsia"/>
                <w:lang w:bidi="ar"/>
              </w:rPr>
              <w:t>白土渣</w:t>
            </w:r>
          </w:p>
        </w:tc>
        <w:tc>
          <w:tcPr>
            <w:tcW w:w="534" w:type="pct"/>
            <w:vAlign w:val="center"/>
          </w:tcPr>
          <w:p w14:paraId="30F2155F">
            <w:pPr>
              <w:adjustRightInd w:val="0"/>
              <w:jc w:val="center"/>
              <w:rPr>
                <w:bCs/>
                <w:snapToGrid w:val="0"/>
                <w:kern w:val="21"/>
              </w:rPr>
            </w:pPr>
            <w:r>
              <w:rPr>
                <w:rFonts w:hint="eastAsia"/>
              </w:rPr>
              <w:t>62400</w:t>
            </w:r>
            <w:r>
              <w:rPr>
                <w:kern w:val="0"/>
                <w:lang w:bidi="ar"/>
              </w:rPr>
              <w:t xml:space="preserve"> t/a</w:t>
            </w:r>
          </w:p>
        </w:tc>
        <w:tc>
          <w:tcPr>
            <w:tcW w:w="463" w:type="pct"/>
            <w:vAlign w:val="center"/>
          </w:tcPr>
          <w:p w14:paraId="522AB04F">
            <w:pPr>
              <w:adjustRightInd w:val="0"/>
              <w:jc w:val="center"/>
              <w:rPr>
                <w:bCs/>
                <w:snapToGrid w:val="0"/>
                <w:kern w:val="21"/>
              </w:rPr>
            </w:pPr>
            <w:r>
              <w:rPr>
                <w:rFonts w:hint="eastAsia"/>
              </w:rPr>
              <w:t>0</w:t>
            </w:r>
          </w:p>
        </w:tc>
        <w:tc>
          <w:tcPr>
            <w:tcW w:w="617" w:type="pct"/>
            <w:vAlign w:val="center"/>
          </w:tcPr>
          <w:p w14:paraId="4ABA9586">
            <w:pPr>
              <w:adjustRightInd w:val="0"/>
              <w:jc w:val="center"/>
              <w:rPr>
                <w:bCs/>
                <w:snapToGrid w:val="0"/>
                <w:kern w:val="21"/>
              </w:rPr>
            </w:pPr>
            <w:r>
              <w:rPr>
                <w:rFonts w:hint="eastAsia"/>
              </w:rPr>
              <w:t>0</w:t>
            </w:r>
          </w:p>
        </w:tc>
        <w:tc>
          <w:tcPr>
            <w:tcW w:w="565" w:type="pct"/>
            <w:vAlign w:val="center"/>
          </w:tcPr>
          <w:p w14:paraId="730712D0">
            <w:pPr>
              <w:widowControl/>
              <w:adjustRightInd w:val="0"/>
              <w:snapToGrid w:val="0"/>
              <w:jc w:val="center"/>
              <w:textAlignment w:val="center"/>
              <w:rPr>
                <w:kern w:val="0"/>
              </w:rPr>
            </w:pPr>
            <w:r>
              <w:rPr>
                <w:rFonts w:hint="eastAsia"/>
                <w:kern w:val="0"/>
                <w:lang w:bidi="ar"/>
              </w:rPr>
              <w:t>28813</w:t>
            </w:r>
            <w:r>
              <w:rPr>
                <w:kern w:val="0"/>
                <w:lang w:bidi="ar"/>
              </w:rPr>
              <w:t>t/a</w:t>
            </w:r>
          </w:p>
        </w:tc>
        <w:tc>
          <w:tcPr>
            <w:tcW w:w="591" w:type="pct"/>
            <w:vAlign w:val="center"/>
          </w:tcPr>
          <w:p w14:paraId="7169AD4C">
            <w:pPr>
              <w:adjustRightInd w:val="0"/>
              <w:jc w:val="center"/>
              <w:rPr>
                <w:snapToGrid w:val="0"/>
                <w:kern w:val="21"/>
              </w:rPr>
            </w:pPr>
            <w:r>
              <w:rPr>
                <w:rFonts w:hint="eastAsia"/>
              </w:rPr>
              <w:t>0</w:t>
            </w:r>
          </w:p>
        </w:tc>
        <w:tc>
          <w:tcPr>
            <w:tcW w:w="583" w:type="pct"/>
            <w:vAlign w:val="center"/>
          </w:tcPr>
          <w:p w14:paraId="7E2A20A3">
            <w:pPr>
              <w:widowControl/>
              <w:adjustRightInd w:val="0"/>
              <w:snapToGrid w:val="0"/>
              <w:jc w:val="center"/>
              <w:textAlignment w:val="center"/>
              <w:rPr>
                <w:kern w:val="0"/>
              </w:rPr>
            </w:pPr>
            <w:r>
              <w:rPr>
                <w:rFonts w:hint="eastAsia"/>
                <w:kern w:val="0"/>
                <w:lang w:bidi="ar"/>
              </w:rPr>
              <w:t>91213</w:t>
            </w:r>
            <w:r>
              <w:rPr>
                <w:kern w:val="0"/>
                <w:lang w:bidi="ar"/>
              </w:rPr>
              <w:t>t/a</w:t>
            </w:r>
          </w:p>
        </w:tc>
        <w:tc>
          <w:tcPr>
            <w:tcW w:w="474" w:type="pct"/>
            <w:vAlign w:val="center"/>
          </w:tcPr>
          <w:p w14:paraId="3132F9F0">
            <w:pPr>
              <w:widowControl/>
              <w:adjustRightInd w:val="0"/>
              <w:snapToGrid w:val="0"/>
              <w:jc w:val="center"/>
              <w:textAlignment w:val="center"/>
              <w:rPr>
                <w:kern w:val="0"/>
              </w:rPr>
            </w:pPr>
            <w:r>
              <w:rPr>
                <w:rFonts w:hint="eastAsia"/>
                <w:kern w:val="0"/>
                <w:lang w:bidi="ar"/>
              </w:rPr>
              <w:t>+28813</w:t>
            </w:r>
            <w:r>
              <w:rPr>
                <w:kern w:val="0"/>
                <w:lang w:bidi="ar"/>
              </w:rPr>
              <w:t>t/a</w:t>
            </w:r>
          </w:p>
        </w:tc>
      </w:tr>
      <w:tr w14:paraId="04E217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4226692F">
            <w:pPr>
              <w:widowControl/>
              <w:adjustRightInd w:val="0"/>
              <w:snapToGrid w:val="0"/>
              <w:jc w:val="center"/>
              <w:textAlignment w:val="center"/>
              <w:rPr>
                <w:snapToGrid w:val="0"/>
                <w:kern w:val="21"/>
              </w:rPr>
            </w:pPr>
          </w:p>
        </w:tc>
        <w:tc>
          <w:tcPr>
            <w:tcW w:w="720" w:type="pct"/>
            <w:vAlign w:val="center"/>
          </w:tcPr>
          <w:p w14:paraId="569E0BDC">
            <w:pPr>
              <w:autoSpaceDE w:val="0"/>
              <w:autoSpaceDN w:val="0"/>
              <w:adjustRightInd w:val="0"/>
              <w:snapToGrid w:val="0"/>
              <w:jc w:val="center"/>
              <w:textAlignment w:val="baseline"/>
              <w:rPr>
                <w:lang w:bidi="ar"/>
              </w:rPr>
            </w:pPr>
            <w:r>
              <w:rPr>
                <w:rFonts w:hint="eastAsia"/>
                <w:lang w:bidi="ar"/>
              </w:rPr>
              <w:t>炉渣</w:t>
            </w:r>
          </w:p>
        </w:tc>
        <w:tc>
          <w:tcPr>
            <w:tcW w:w="534" w:type="pct"/>
            <w:vAlign w:val="center"/>
          </w:tcPr>
          <w:p w14:paraId="0839E452">
            <w:pPr>
              <w:adjustRightInd w:val="0"/>
              <w:jc w:val="center"/>
              <w:rPr>
                <w:bCs/>
                <w:snapToGrid w:val="0"/>
                <w:kern w:val="21"/>
              </w:rPr>
            </w:pPr>
            <w:r>
              <w:rPr>
                <w:rFonts w:hint="eastAsia"/>
              </w:rPr>
              <w:t>73</w:t>
            </w:r>
            <w:r>
              <w:rPr>
                <w:kern w:val="0"/>
                <w:lang w:bidi="ar"/>
              </w:rPr>
              <w:t xml:space="preserve"> t/a</w:t>
            </w:r>
          </w:p>
        </w:tc>
        <w:tc>
          <w:tcPr>
            <w:tcW w:w="463" w:type="pct"/>
            <w:vAlign w:val="center"/>
          </w:tcPr>
          <w:p w14:paraId="2FF8D8C2">
            <w:pPr>
              <w:adjustRightInd w:val="0"/>
              <w:jc w:val="center"/>
              <w:rPr>
                <w:bCs/>
                <w:snapToGrid w:val="0"/>
                <w:kern w:val="21"/>
              </w:rPr>
            </w:pPr>
            <w:r>
              <w:rPr>
                <w:rFonts w:hint="eastAsia"/>
              </w:rPr>
              <w:t>0</w:t>
            </w:r>
          </w:p>
        </w:tc>
        <w:tc>
          <w:tcPr>
            <w:tcW w:w="617" w:type="pct"/>
            <w:vAlign w:val="center"/>
          </w:tcPr>
          <w:p w14:paraId="78A06270">
            <w:pPr>
              <w:adjustRightInd w:val="0"/>
              <w:jc w:val="center"/>
              <w:rPr>
                <w:bCs/>
                <w:snapToGrid w:val="0"/>
                <w:kern w:val="21"/>
              </w:rPr>
            </w:pPr>
            <w:r>
              <w:rPr>
                <w:rFonts w:hint="eastAsia"/>
              </w:rPr>
              <w:t>0</w:t>
            </w:r>
          </w:p>
        </w:tc>
        <w:tc>
          <w:tcPr>
            <w:tcW w:w="565" w:type="pct"/>
            <w:vAlign w:val="center"/>
          </w:tcPr>
          <w:p w14:paraId="3BED6C55">
            <w:pPr>
              <w:autoSpaceDE w:val="0"/>
              <w:autoSpaceDN w:val="0"/>
              <w:adjustRightInd w:val="0"/>
              <w:snapToGrid w:val="0"/>
              <w:jc w:val="center"/>
              <w:textAlignment w:val="baseline"/>
              <w:rPr>
                <w:lang w:bidi="ar"/>
              </w:rPr>
            </w:pPr>
            <w:r>
              <w:rPr>
                <w:rFonts w:hint="eastAsia"/>
                <w:lang w:bidi="ar"/>
              </w:rPr>
              <w:t>219</w:t>
            </w:r>
            <w:r>
              <w:rPr>
                <w:lang w:bidi="ar"/>
              </w:rPr>
              <w:t>t/a</w:t>
            </w:r>
          </w:p>
        </w:tc>
        <w:tc>
          <w:tcPr>
            <w:tcW w:w="591" w:type="pct"/>
            <w:vAlign w:val="center"/>
          </w:tcPr>
          <w:p w14:paraId="1E61C648">
            <w:pPr>
              <w:adjustRightInd w:val="0"/>
              <w:jc w:val="center"/>
              <w:rPr>
                <w:snapToGrid w:val="0"/>
                <w:kern w:val="21"/>
              </w:rPr>
            </w:pPr>
            <w:r>
              <w:rPr>
                <w:rFonts w:hint="eastAsia"/>
              </w:rPr>
              <w:t>0</w:t>
            </w:r>
          </w:p>
        </w:tc>
        <w:tc>
          <w:tcPr>
            <w:tcW w:w="583" w:type="pct"/>
            <w:vAlign w:val="center"/>
          </w:tcPr>
          <w:p w14:paraId="280083FC">
            <w:pPr>
              <w:autoSpaceDE w:val="0"/>
              <w:autoSpaceDN w:val="0"/>
              <w:adjustRightInd w:val="0"/>
              <w:snapToGrid w:val="0"/>
              <w:jc w:val="center"/>
              <w:textAlignment w:val="baseline"/>
              <w:rPr>
                <w:lang w:bidi="ar"/>
              </w:rPr>
            </w:pPr>
            <w:r>
              <w:rPr>
                <w:rFonts w:hint="eastAsia"/>
                <w:lang w:bidi="ar"/>
              </w:rPr>
              <w:t>292</w:t>
            </w:r>
            <w:r>
              <w:rPr>
                <w:lang w:bidi="ar"/>
              </w:rPr>
              <w:t>t/a</w:t>
            </w:r>
          </w:p>
        </w:tc>
        <w:tc>
          <w:tcPr>
            <w:tcW w:w="474" w:type="pct"/>
            <w:vAlign w:val="center"/>
          </w:tcPr>
          <w:p w14:paraId="36D42D7E">
            <w:pPr>
              <w:autoSpaceDE w:val="0"/>
              <w:autoSpaceDN w:val="0"/>
              <w:adjustRightInd w:val="0"/>
              <w:snapToGrid w:val="0"/>
              <w:jc w:val="center"/>
              <w:textAlignment w:val="baseline"/>
              <w:rPr>
                <w:lang w:bidi="ar"/>
              </w:rPr>
            </w:pPr>
            <w:r>
              <w:rPr>
                <w:rFonts w:hint="eastAsia"/>
                <w:lang w:bidi="ar"/>
              </w:rPr>
              <w:t>+219</w:t>
            </w:r>
            <w:r>
              <w:rPr>
                <w:lang w:bidi="ar"/>
              </w:rPr>
              <w:t>t/a</w:t>
            </w:r>
          </w:p>
        </w:tc>
      </w:tr>
      <w:tr w14:paraId="67F955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restart"/>
            <w:vAlign w:val="center"/>
          </w:tcPr>
          <w:p w14:paraId="70ADB7A9">
            <w:pPr>
              <w:pStyle w:val="50"/>
              <w:adjustRightInd w:val="0"/>
              <w:snapToGrid w:val="0"/>
              <w:spacing w:line="240" w:lineRule="auto"/>
              <w:rPr>
                <w:snapToGrid w:val="0"/>
                <w:kern w:val="21"/>
                <w:szCs w:val="21"/>
              </w:rPr>
            </w:pPr>
            <w:r>
              <w:rPr>
                <w:snapToGrid w:val="0"/>
                <w:kern w:val="21"/>
                <w:szCs w:val="21"/>
              </w:rPr>
              <w:t>危险废物</w:t>
            </w:r>
          </w:p>
        </w:tc>
        <w:tc>
          <w:tcPr>
            <w:tcW w:w="720" w:type="pct"/>
            <w:vAlign w:val="center"/>
          </w:tcPr>
          <w:p w14:paraId="536BC6E1">
            <w:pPr>
              <w:autoSpaceDE w:val="0"/>
              <w:autoSpaceDN w:val="0"/>
              <w:adjustRightInd w:val="0"/>
              <w:snapToGrid w:val="0"/>
              <w:jc w:val="center"/>
              <w:textAlignment w:val="baseline"/>
            </w:pPr>
            <w:r>
              <w:t>废活性炭</w:t>
            </w:r>
          </w:p>
        </w:tc>
        <w:tc>
          <w:tcPr>
            <w:tcW w:w="534" w:type="pct"/>
            <w:vAlign w:val="center"/>
          </w:tcPr>
          <w:p w14:paraId="68B98293">
            <w:pPr>
              <w:pStyle w:val="44"/>
              <w:rPr>
                <w:snapToGrid w:val="0"/>
                <w:kern w:val="21"/>
              </w:rPr>
            </w:pPr>
            <w:r>
              <w:rPr>
                <w:rFonts w:hint="eastAsia"/>
              </w:rPr>
              <w:t>1</w:t>
            </w:r>
            <w:r>
              <w:rPr>
                <w:kern w:val="0"/>
                <w:lang w:bidi="ar"/>
              </w:rPr>
              <w:t xml:space="preserve"> t/a</w:t>
            </w:r>
          </w:p>
        </w:tc>
        <w:tc>
          <w:tcPr>
            <w:tcW w:w="463" w:type="pct"/>
            <w:vAlign w:val="center"/>
          </w:tcPr>
          <w:p w14:paraId="2FD31D44">
            <w:pPr>
              <w:pStyle w:val="44"/>
              <w:rPr>
                <w:snapToGrid w:val="0"/>
                <w:kern w:val="21"/>
              </w:rPr>
            </w:pPr>
            <w:r>
              <w:rPr>
                <w:rFonts w:hint="eastAsia"/>
              </w:rPr>
              <w:t>0</w:t>
            </w:r>
          </w:p>
        </w:tc>
        <w:tc>
          <w:tcPr>
            <w:tcW w:w="617" w:type="pct"/>
            <w:vAlign w:val="center"/>
          </w:tcPr>
          <w:p w14:paraId="511687B4">
            <w:pPr>
              <w:pStyle w:val="44"/>
              <w:rPr>
                <w:snapToGrid w:val="0"/>
                <w:kern w:val="21"/>
              </w:rPr>
            </w:pPr>
            <w:r>
              <w:rPr>
                <w:rFonts w:hint="eastAsia"/>
              </w:rPr>
              <w:t>0</w:t>
            </w:r>
          </w:p>
        </w:tc>
        <w:tc>
          <w:tcPr>
            <w:tcW w:w="565" w:type="pct"/>
            <w:vAlign w:val="center"/>
          </w:tcPr>
          <w:p w14:paraId="6860E199">
            <w:pPr>
              <w:widowControl/>
              <w:adjustRightInd w:val="0"/>
              <w:snapToGrid w:val="0"/>
              <w:jc w:val="center"/>
              <w:textAlignment w:val="center"/>
              <w:rPr>
                <w:kern w:val="0"/>
                <w:lang w:bidi="ar"/>
              </w:rPr>
            </w:pPr>
            <w:r>
              <w:rPr>
                <w:rFonts w:hint="eastAsia"/>
              </w:rPr>
              <w:t>11.17</w:t>
            </w:r>
            <w:r>
              <w:rPr>
                <w:kern w:val="0"/>
                <w:lang w:bidi="ar"/>
              </w:rPr>
              <w:t xml:space="preserve"> t/a</w:t>
            </w:r>
          </w:p>
        </w:tc>
        <w:tc>
          <w:tcPr>
            <w:tcW w:w="591" w:type="pct"/>
            <w:vAlign w:val="center"/>
          </w:tcPr>
          <w:p w14:paraId="67BBA949">
            <w:pPr>
              <w:pStyle w:val="44"/>
              <w:rPr>
                <w:bCs w:val="0"/>
                <w:snapToGrid w:val="0"/>
                <w:kern w:val="21"/>
              </w:rPr>
            </w:pPr>
            <w:r>
              <w:rPr>
                <w:rFonts w:hint="eastAsia"/>
                <w:bCs w:val="0"/>
              </w:rPr>
              <w:t>0</w:t>
            </w:r>
          </w:p>
        </w:tc>
        <w:tc>
          <w:tcPr>
            <w:tcW w:w="583" w:type="pct"/>
            <w:vAlign w:val="center"/>
          </w:tcPr>
          <w:p w14:paraId="255A3548">
            <w:pPr>
              <w:widowControl/>
              <w:adjustRightInd w:val="0"/>
              <w:snapToGrid w:val="0"/>
              <w:jc w:val="center"/>
              <w:textAlignment w:val="center"/>
              <w:rPr>
                <w:kern w:val="0"/>
                <w:lang w:bidi="ar"/>
              </w:rPr>
            </w:pPr>
            <w:r>
              <w:rPr>
                <w:rFonts w:hint="eastAsia"/>
              </w:rPr>
              <w:t>12.17</w:t>
            </w:r>
            <w:r>
              <w:rPr>
                <w:kern w:val="0"/>
                <w:lang w:bidi="ar"/>
              </w:rPr>
              <w:t>t/a</w:t>
            </w:r>
          </w:p>
        </w:tc>
        <w:tc>
          <w:tcPr>
            <w:tcW w:w="474" w:type="pct"/>
            <w:vAlign w:val="center"/>
          </w:tcPr>
          <w:p w14:paraId="10BAC3E1">
            <w:pPr>
              <w:widowControl/>
              <w:adjustRightInd w:val="0"/>
              <w:snapToGrid w:val="0"/>
              <w:jc w:val="center"/>
              <w:textAlignment w:val="center"/>
              <w:rPr>
                <w:kern w:val="0"/>
                <w:lang w:bidi="ar"/>
              </w:rPr>
            </w:pPr>
            <w:r>
              <w:rPr>
                <w:rFonts w:hint="eastAsia"/>
                <w:kern w:val="0"/>
                <w:lang w:bidi="ar"/>
              </w:rPr>
              <w:t>+</w:t>
            </w:r>
            <w:r>
              <w:rPr>
                <w:rFonts w:hint="eastAsia"/>
              </w:rPr>
              <w:t>11.17</w:t>
            </w:r>
            <w:r>
              <w:rPr>
                <w:kern w:val="0"/>
                <w:lang w:bidi="ar"/>
              </w:rPr>
              <w:t>t/a</w:t>
            </w:r>
          </w:p>
        </w:tc>
      </w:tr>
      <w:tr w14:paraId="456328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695B2FBE">
            <w:pPr>
              <w:pStyle w:val="50"/>
              <w:adjustRightInd w:val="0"/>
              <w:snapToGrid w:val="0"/>
              <w:spacing w:line="240" w:lineRule="auto"/>
              <w:rPr>
                <w:snapToGrid w:val="0"/>
                <w:kern w:val="21"/>
                <w:szCs w:val="21"/>
              </w:rPr>
            </w:pPr>
          </w:p>
        </w:tc>
        <w:tc>
          <w:tcPr>
            <w:tcW w:w="720" w:type="pct"/>
            <w:vAlign w:val="center"/>
          </w:tcPr>
          <w:p w14:paraId="6A437AB1">
            <w:pPr>
              <w:autoSpaceDE w:val="0"/>
              <w:autoSpaceDN w:val="0"/>
              <w:adjustRightInd w:val="0"/>
              <w:snapToGrid w:val="0"/>
              <w:jc w:val="center"/>
              <w:textAlignment w:val="baseline"/>
            </w:pPr>
            <w:r>
              <w:t>废</w:t>
            </w:r>
            <w:r>
              <w:rPr>
                <w:rFonts w:hint="eastAsia"/>
              </w:rPr>
              <w:t>机油</w:t>
            </w:r>
          </w:p>
        </w:tc>
        <w:tc>
          <w:tcPr>
            <w:tcW w:w="534" w:type="pct"/>
            <w:vAlign w:val="center"/>
          </w:tcPr>
          <w:p w14:paraId="39C6BD01">
            <w:pPr>
              <w:adjustRightInd w:val="0"/>
              <w:jc w:val="center"/>
              <w:rPr>
                <w:bCs/>
                <w:snapToGrid w:val="0"/>
                <w:kern w:val="21"/>
              </w:rPr>
            </w:pPr>
            <w:r>
              <w:rPr>
                <w:rFonts w:hint="eastAsia"/>
              </w:rPr>
              <w:t>0.01</w:t>
            </w:r>
            <w:r>
              <w:rPr>
                <w:kern w:val="0"/>
                <w:lang w:bidi="ar"/>
              </w:rPr>
              <w:t xml:space="preserve"> t/a</w:t>
            </w:r>
          </w:p>
        </w:tc>
        <w:tc>
          <w:tcPr>
            <w:tcW w:w="463" w:type="pct"/>
            <w:vAlign w:val="center"/>
          </w:tcPr>
          <w:p w14:paraId="184DAE00">
            <w:pPr>
              <w:adjustRightInd w:val="0"/>
              <w:jc w:val="center"/>
              <w:rPr>
                <w:bCs/>
                <w:snapToGrid w:val="0"/>
                <w:kern w:val="21"/>
              </w:rPr>
            </w:pPr>
            <w:r>
              <w:rPr>
                <w:rFonts w:hint="eastAsia"/>
              </w:rPr>
              <w:t>0</w:t>
            </w:r>
          </w:p>
        </w:tc>
        <w:tc>
          <w:tcPr>
            <w:tcW w:w="617" w:type="pct"/>
            <w:vAlign w:val="center"/>
          </w:tcPr>
          <w:p w14:paraId="7718F948">
            <w:pPr>
              <w:adjustRightInd w:val="0"/>
              <w:jc w:val="center"/>
              <w:rPr>
                <w:bCs/>
                <w:snapToGrid w:val="0"/>
                <w:kern w:val="21"/>
              </w:rPr>
            </w:pPr>
            <w:r>
              <w:rPr>
                <w:rFonts w:hint="eastAsia"/>
              </w:rPr>
              <w:t>0</w:t>
            </w:r>
          </w:p>
        </w:tc>
        <w:tc>
          <w:tcPr>
            <w:tcW w:w="565" w:type="pct"/>
            <w:vAlign w:val="center"/>
          </w:tcPr>
          <w:p w14:paraId="142043B5">
            <w:pPr>
              <w:widowControl/>
              <w:adjustRightInd w:val="0"/>
              <w:snapToGrid w:val="0"/>
              <w:jc w:val="center"/>
              <w:textAlignment w:val="center"/>
              <w:rPr>
                <w:kern w:val="0"/>
                <w:lang w:bidi="ar"/>
              </w:rPr>
            </w:pPr>
            <w:r>
              <w:rPr>
                <w:kern w:val="0"/>
                <w:lang w:bidi="ar"/>
              </w:rPr>
              <w:t>0.</w:t>
            </w:r>
            <w:r>
              <w:rPr>
                <w:rFonts w:hint="eastAsia"/>
                <w:kern w:val="0"/>
                <w:lang w:bidi="ar"/>
              </w:rPr>
              <w:t>05</w:t>
            </w:r>
            <w:r>
              <w:rPr>
                <w:kern w:val="0"/>
                <w:lang w:bidi="ar"/>
              </w:rPr>
              <w:t xml:space="preserve"> t/a</w:t>
            </w:r>
          </w:p>
        </w:tc>
        <w:tc>
          <w:tcPr>
            <w:tcW w:w="591" w:type="pct"/>
            <w:vAlign w:val="center"/>
          </w:tcPr>
          <w:p w14:paraId="34D236AB">
            <w:pPr>
              <w:adjustRightInd w:val="0"/>
              <w:jc w:val="center"/>
              <w:rPr>
                <w:snapToGrid w:val="0"/>
                <w:kern w:val="21"/>
              </w:rPr>
            </w:pPr>
            <w:r>
              <w:rPr>
                <w:rFonts w:hint="eastAsia"/>
              </w:rPr>
              <w:t>0</w:t>
            </w:r>
          </w:p>
        </w:tc>
        <w:tc>
          <w:tcPr>
            <w:tcW w:w="583" w:type="pct"/>
            <w:vAlign w:val="center"/>
          </w:tcPr>
          <w:p w14:paraId="7F8815A2">
            <w:pPr>
              <w:widowControl/>
              <w:adjustRightInd w:val="0"/>
              <w:snapToGrid w:val="0"/>
              <w:jc w:val="center"/>
              <w:textAlignment w:val="center"/>
              <w:rPr>
                <w:kern w:val="0"/>
                <w:lang w:bidi="ar"/>
              </w:rPr>
            </w:pPr>
            <w:r>
              <w:rPr>
                <w:rFonts w:hint="eastAsia"/>
                <w:kern w:val="0"/>
                <w:lang w:bidi="ar"/>
              </w:rPr>
              <w:t>0.06</w:t>
            </w:r>
            <w:r>
              <w:rPr>
                <w:kern w:val="0"/>
                <w:lang w:bidi="ar"/>
              </w:rPr>
              <w:t>t/a</w:t>
            </w:r>
          </w:p>
        </w:tc>
        <w:tc>
          <w:tcPr>
            <w:tcW w:w="474" w:type="pct"/>
            <w:vAlign w:val="center"/>
          </w:tcPr>
          <w:p w14:paraId="22B2EE0D">
            <w:pPr>
              <w:widowControl/>
              <w:adjustRightInd w:val="0"/>
              <w:snapToGrid w:val="0"/>
              <w:jc w:val="center"/>
              <w:textAlignment w:val="center"/>
              <w:rPr>
                <w:kern w:val="0"/>
                <w:lang w:bidi="ar"/>
              </w:rPr>
            </w:pPr>
            <w:r>
              <w:rPr>
                <w:rFonts w:hint="eastAsia"/>
                <w:kern w:val="0"/>
                <w:lang w:bidi="ar"/>
              </w:rPr>
              <w:t>+0.05</w:t>
            </w:r>
            <w:r>
              <w:rPr>
                <w:kern w:val="0"/>
                <w:lang w:bidi="ar"/>
              </w:rPr>
              <w:t>t/a</w:t>
            </w:r>
          </w:p>
        </w:tc>
      </w:tr>
      <w:tr w14:paraId="363E29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08150CFE">
            <w:pPr>
              <w:pStyle w:val="50"/>
              <w:adjustRightInd w:val="0"/>
              <w:snapToGrid w:val="0"/>
              <w:spacing w:line="240" w:lineRule="auto"/>
              <w:rPr>
                <w:snapToGrid w:val="0"/>
                <w:kern w:val="21"/>
                <w:szCs w:val="21"/>
              </w:rPr>
            </w:pPr>
          </w:p>
        </w:tc>
        <w:tc>
          <w:tcPr>
            <w:tcW w:w="720" w:type="pct"/>
            <w:vAlign w:val="center"/>
          </w:tcPr>
          <w:p w14:paraId="2AA02DFD">
            <w:pPr>
              <w:autoSpaceDE w:val="0"/>
              <w:autoSpaceDN w:val="0"/>
              <w:adjustRightInd w:val="0"/>
              <w:snapToGrid w:val="0"/>
              <w:jc w:val="center"/>
              <w:textAlignment w:val="baseline"/>
            </w:pPr>
            <w:r>
              <w:t>废机油桶</w:t>
            </w:r>
          </w:p>
        </w:tc>
        <w:tc>
          <w:tcPr>
            <w:tcW w:w="534" w:type="pct"/>
            <w:vAlign w:val="center"/>
          </w:tcPr>
          <w:p w14:paraId="5E1101D9">
            <w:pPr>
              <w:adjustRightInd w:val="0"/>
              <w:jc w:val="center"/>
            </w:pPr>
            <w:r>
              <w:rPr>
                <w:rFonts w:hint="eastAsia"/>
              </w:rPr>
              <w:t>0.01</w:t>
            </w:r>
            <w:r>
              <w:rPr>
                <w:kern w:val="0"/>
                <w:lang w:bidi="ar"/>
              </w:rPr>
              <w:t xml:space="preserve"> t/a</w:t>
            </w:r>
          </w:p>
        </w:tc>
        <w:tc>
          <w:tcPr>
            <w:tcW w:w="463" w:type="pct"/>
            <w:vAlign w:val="center"/>
          </w:tcPr>
          <w:p w14:paraId="4D80D1D9">
            <w:pPr>
              <w:adjustRightInd w:val="0"/>
              <w:jc w:val="center"/>
            </w:pPr>
            <w:r>
              <w:rPr>
                <w:rFonts w:hint="eastAsia"/>
              </w:rPr>
              <w:t>0</w:t>
            </w:r>
          </w:p>
        </w:tc>
        <w:tc>
          <w:tcPr>
            <w:tcW w:w="617" w:type="pct"/>
            <w:vAlign w:val="center"/>
          </w:tcPr>
          <w:p w14:paraId="61FF60E0">
            <w:pPr>
              <w:adjustRightInd w:val="0"/>
              <w:jc w:val="center"/>
            </w:pPr>
            <w:r>
              <w:rPr>
                <w:rFonts w:hint="eastAsia"/>
              </w:rPr>
              <w:t>0</w:t>
            </w:r>
          </w:p>
        </w:tc>
        <w:tc>
          <w:tcPr>
            <w:tcW w:w="565" w:type="pct"/>
            <w:vAlign w:val="center"/>
          </w:tcPr>
          <w:p w14:paraId="1D34528F">
            <w:pPr>
              <w:widowControl/>
              <w:adjustRightInd w:val="0"/>
              <w:snapToGrid w:val="0"/>
              <w:jc w:val="center"/>
              <w:textAlignment w:val="center"/>
              <w:rPr>
                <w:kern w:val="0"/>
                <w:lang w:bidi="ar"/>
              </w:rPr>
            </w:pPr>
            <w:r>
              <w:rPr>
                <w:kern w:val="0"/>
                <w:lang w:bidi="ar"/>
              </w:rPr>
              <w:t>0.0</w:t>
            </w:r>
            <w:r>
              <w:rPr>
                <w:rFonts w:hint="eastAsia"/>
                <w:kern w:val="0"/>
                <w:lang w:bidi="ar"/>
              </w:rPr>
              <w:t>1</w:t>
            </w:r>
            <w:r>
              <w:rPr>
                <w:kern w:val="0"/>
                <w:lang w:bidi="ar"/>
              </w:rPr>
              <w:t xml:space="preserve"> t/a</w:t>
            </w:r>
          </w:p>
        </w:tc>
        <w:tc>
          <w:tcPr>
            <w:tcW w:w="591" w:type="pct"/>
            <w:vAlign w:val="center"/>
          </w:tcPr>
          <w:p w14:paraId="7B5001FA">
            <w:pPr>
              <w:adjustRightInd w:val="0"/>
              <w:jc w:val="center"/>
            </w:pPr>
            <w:r>
              <w:rPr>
                <w:rFonts w:hint="eastAsia"/>
              </w:rPr>
              <w:t>0</w:t>
            </w:r>
          </w:p>
        </w:tc>
        <w:tc>
          <w:tcPr>
            <w:tcW w:w="583" w:type="pct"/>
            <w:vAlign w:val="center"/>
          </w:tcPr>
          <w:p w14:paraId="4768BF58">
            <w:pPr>
              <w:widowControl/>
              <w:adjustRightInd w:val="0"/>
              <w:snapToGrid w:val="0"/>
              <w:jc w:val="center"/>
              <w:textAlignment w:val="center"/>
              <w:rPr>
                <w:kern w:val="0"/>
                <w:lang w:bidi="ar"/>
              </w:rPr>
            </w:pPr>
            <w:r>
              <w:rPr>
                <w:rFonts w:hint="eastAsia"/>
                <w:kern w:val="0"/>
                <w:lang w:bidi="ar"/>
              </w:rPr>
              <w:t>0.02</w:t>
            </w:r>
            <w:r>
              <w:rPr>
                <w:kern w:val="0"/>
                <w:lang w:bidi="ar"/>
              </w:rPr>
              <w:t>t/a</w:t>
            </w:r>
          </w:p>
        </w:tc>
        <w:tc>
          <w:tcPr>
            <w:tcW w:w="474" w:type="pct"/>
            <w:vAlign w:val="center"/>
          </w:tcPr>
          <w:p w14:paraId="18815FA0">
            <w:pPr>
              <w:widowControl/>
              <w:adjustRightInd w:val="0"/>
              <w:snapToGrid w:val="0"/>
              <w:jc w:val="center"/>
              <w:textAlignment w:val="center"/>
              <w:rPr>
                <w:kern w:val="0"/>
                <w:lang w:bidi="ar"/>
              </w:rPr>
            </w:pPr>
            <w:r>
              <w:rPr>
                <w:rFonts w:hint="eastAsia"/>
                <w:kern w:val="0"/>
                <w:lang w:bidi="ar"/>
              </w:rPr>
              <w:t>+0.01</w:t>
            </w:r>
            <w:r>
              <w:rPr>
                <w:kern w:val="0"/>
                <w:lang w:bidi="ar"/>
              </w:rPr>
              <w:t>t/a</w:t>
            </w:r>
          </w:p>
        </w:tc>
      </w:tr>
      <w:tr w14:paraId="581012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Merge w:val="continue"/>
            <w:vAlign w:val="center"/>
          </w:tcPr>
          <w:p w14:paraId="09D001A6">
            <w:pPr>
              <w:pStyle w:val="50"/>
              <w:adjustRightInd w:val="0"/>
              <w:snapToGrid w:val="0"/>
              <w:spacing w:line="240" w:lineRule="auto"/>
              <w:rPr>
                <w:snapToGrid w:val="0"/>
                <w:kern w:val="21"/>
                <w:szCs w:val="21"/>
              </w:rPr>
            </w:pPr>
          </w:p>
        </w:tc>
        <w:tc>
          <w:tcPr>
            <w:tcW w:w="720" w:type="pct"/>
            <w:vAlign w:val="center"/>
          </w:tcPr>
          <w:p w14:paraId="0BDBEFF6">
            <w:pPr>
              <w:autoSpaceDE w:val="0"/>
              <w:autoSpaceDN w:val="0"/>
              <w:adjustRightInd w:val="0"/>
              <w:snapToGrid w:val="0"/>
              <w:jc w:val="center"/>
              <w:textAlignment w:val="baseline"/>
            </w:pPr>
            <w:r>
              <w:rPr>
                <w:rFonts w:hint="eastAsia"/>
              </w:rPr>
              <w:t>含油手套及废抹布</w:t>
            </w:r>
          </w:p>
        </w:tc>
        <w:tc>
          <w:tcPr>
            <w:tcW w:w="534" w:type="pct"/>
            <w:vAlign w:val="center"/>
          </w:tcPr>
          <w:p w14:paraId="0F915BC1">
            <w:pPr>
              <w:pStyle w:val="44"/>
              <w:rPr>
                <w:snapToGrid w:val="0"/>
                <w:kern w:val="21"/>
              </w:rPr>
            </w:pPr>
            <w:r>
              <w:rPr>
                <w:rFonts w:hint="eastAsia"/>
              </w:rPr>
              <w:t>0.01</w:t>
            </w:r>
            <w:r>
              <w:rPr>
                <w:kern w:val="0"/>
                <w:lang w:bidi="ar"/>
              </w:rPr>
              <w:t xml:space="preserve"> t/a</w:t>
            </w:r>
          </w:p>
        </w:tc>
        <w:tc>
          <w:tcPr>
            <w:tcW w:w="463" w:type="pct"/>
            <w:vAlign w:val="center"/>
          </w:tcPr>
          <w:p w14:paraId="5679B51B">
            <w:pPr>
              <w:pStyle w:val="44"/>
              <w:rPr>
                <w:snapToGrid w:val="0"/>
                <w:kern w:val="21"/>
              </w:rPr>
            </w:pPr>
            <w:r>
              <w:rPr>
                <w:rFonts w:hint="eastAsia"/>
              </w:rPr>
              <w:t>0</w:t>
            </w:r>
          </w:p>
        </w:tc>
        <w:tc>
          <w:tcPr>
            <w:tcW w:w="617" w:type="pct"/>
            <w:vAlign w:val="center"/>
          </w:tcPr>
          <w:p w14:paraId="1625BD47">
            <w:pPr>
              <w:pStyle w:val="44"/>
              <w:rPr>
                <w:snapToGrid w:val="0"/>
                <w:kern w:val="21"/>
              </w:rPr>
            </w:pPr>
            <w:r>
              <w:rPr>
                <w:rFonts w:hint="eastAsia"/>
              </w:rPr>
              <w:t>0</w:t>
            </w:r>
          </w:p>
        </w:tc>
        <w:tc>
          <w:tcPr>
            <w:tcW w:w="565" w:type="pct"/>
            <w:vAlign w:val="center"/>
          </w:tcPr>
          <w:p w14:paraId="40DB18EC">
            <w:pPr>
              <w:widowControl/>
              <w:adjustRightInd w:val="0"/>
              <w:snapToGrid w:val="0"/>
              <w:jc w:val="center"/>
              <w:textAlignment w:val="center"/>
              <w:rPr>
                <w:kern w:val="0"/>
                <w:lang w:bidi="ar"/>
              </w:rPr>
            </w:pPr>
            <w:r>
              <w:rPr>
                <w:rFonts w:hint="eastAsia"/>
                <w:kern w:val="0"/>
                <w:lang w:bidi="ar"/>
              </w:rPr>
              <w:t>0.01</w:t>
            </w:r>
            <w:r>
              <w:rPr>
                <w:kern w:val="0"/>
                <w:lang w:bidi="ar"/>
              </w:rPr>
              <w:t xml:space="preserve"> t/a</w:t>
            </w:r>
          </w:p>
        </w:tc>
        <w:tc>
          <w:tcPr>
            <w:tcW w:w="591" w:type="pct"/>
            <w:vAlign w:val="center"/>
          </w:tcPr>
          <w:p w14:paraId="3057DE31">
            <w:pPr>
              <w:pStyle w:val="44"/>
              <w:rPr>
                <w:bCs w:val="0"/>
              </w:rPr>
            </w:pPr>
            <w:r>
              <w:rPr>
                <w:rFonts w:hint="eastAsia"/>
                <w:bCs w:val="0"/>
              </w:rPr>
              <w:t>0</w:t>
            </w:r>
          </w:p>
        </w:tc>
        <w:tc>
          <w:tcPr>
            <w:tcW w:w="583" w:type="pct"/>
            <w:vAlign w:val="center"/>
          </w:tcPr>
          <w:p w14:paraId="35F3CA14">
            <w:pPr>
              <w:widowControl/>
              <w:adjustRightInd w:val="0"/>
              <w:snapToGrid w:val="0"/>
              <w:jc w:val="center"/>
              <w:textAlignment w:val="center"/>
              <w:rPr>
                <w:kern w:val="0"/>
                <w:lang w:bidi="ar"/>
              </w:rPr>
            </w:pPr>
            <w:r>
              <w:rPr>
                <w:rFonts w:hint="eastAsia"/>
                <w:kern w:val="0"/>
                <w:lang w:bidi="ar"/>
              </w:rPr>
              <w:t>0.02</w:t>
            </w:r>
            <w:r>
              <w:rPr>
                <w:kern w:val="0"/>
                <w:lang w:bidi="ar"/>
              </w:rPr>
              <w:t>t/a</w:t>
            </w:r>
          </w:p>
        </w:tc>
        <w:tc>
          <w:tcPr>
            <w:tcW w:w="474" w:type="pct"/>
            <w:vAlign w:val="center"/>
          </w:tcPr>
          <w:p w14:paraId="649C37A8">
            <w:pPr>
              <w:widowControl/>
              <w:adjustRightInd w:val="0"/>
              <w:snapToGrid w:val="0"/>
              <w:jc w:val="center"/>
              <w:textAlignment w:val="center"/>
              <w:rPr>
                <w:kern w:val="0"/>
                <w:lang w:bidi="ar"/>
              </w:rPr>
            </w:pPr>
            <w:r>
              <w:rPr>
                <w:rFonts w:hint="eastAsia"/>
                <w:kern w:val="0"/>
                <w:lang w:bidi="ar"/>
              </w:rPr>
              <w:t>+0.01</w:t>
            </w:r>
            <w:r>
              <w:rPr>
                <w:kern w:val="0"/>
                <w:lang w:bidi="ar"/>
              </w:rPr>
              <w:t>t/a</w:t>
            </w:r>
          </w:p>
        </w:tc>
      </w:tr>
      <w:tr w14:paraId="4580C1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3982215F">
            <w:pPr>
              <w:pStyle w:val="50"/>
              <w:adjustRightInd w:val="0"/>
              <w:snapToGrid w:val="0"/>
              <w:spacing w:line="240" w:lineRule="auto"/>
              <w:rPr>
                <w:snapToGrid w:val="0"/>
                <w:kern w:val="21"/>
                <w:szCs w:val="21"/>
              </w:rPr>
            </w:pPr>
            <w:r>
              <w:rPr>
                <w:snapToGrid w:val="0"/>
                <w:kern w:val="21"/>
                <w:szCs w:val="21"/>
              </w:rPr>
              <w:t>生活垃圾</w:t>
            </w:r>
          </w:p>
        </w:tc>
        <w:tc>
          <w:tcPr>
            <w:tcW w:w="720" w:type="pct"/>
            <w:vAlign w:val="center"/>
          </w:tcPr>
          <w:p w14:paraId="50471719">
            <w:pPr>
              <w:autoSpaceDE w:val="0"/>
              <w:autoSpaceDN w:val="0"/>
              <w:adjustRightInd w:val="0"/>
              <w:snapToGrid w:val="0"/>
              <w:jc w:val="center"/>
              <w:textAlignment w:val="baseline"/>
              <w:rPr>
                <w:b/>
                <w:bCs/>
              </w:rPr>
            </w:pPr>
            <w:r>
              <w:rPr>
                <w:lang w:bidi="ar"/>
              </w:rPr>
              <w:t>生活垃圾</w:t>
            </w:r>
          </w:p>
        </w:tc>
        <w:tc>
          <w:tcPr>
            <w:tcW w:w="534" w:type="pct"/>
            <w:vAlign w:val="center"/>
          </w:tcPr>
          <w:p w14:paraId="524DEEE6">
            <w:pPr>
              <w:adjustRightInd w:val="0"/>
              <w:jc w:val="center"/>
              <w:rPr>
                <w:bCs/>
                <w:snapToGrid w:val="0"/>
                <w:kern w:val="21"/>
              </w:rPr>
            </w:pPr>
            <w:r>
              <w:rPr>
                <w:rFonts w:hint="eastAsia"/>
              </w:rPr>
              <w:t>7.5</w:t>
            </w:r>
          </w:p>
        </w:tc>
        <w:tc>
          <w:tcPr>
            <w:tcW w:w="463" w:type="pct"/>
            <w:vAlign w:val="center"/>
          </w:tcPr>
          <w:p w14:paraId="12D2DF13">
            <w:pPr>
              <w:adjustRightInd w:val="0"/>
              <w:jc w:val="center"/>
              <w:rPr>
                <w:bCs/>
                <w:snapToGrid w:val="0"/>
                <w:kern w:val="21"/>
              </w:rPr>
            </w:pPr>
            <w:r>
              <w:rPr>
                <w:rFonts w:hint="eastAsia"/>
              </w:rPr>
              <w:t>0</w:t>
            </w:r>
          </w:p>
        </w:tc>
        <w:tc>
          <w:tcPr>
            <w:tcW w:w="617" w:type="pct"/>
            <w:vAlign w:val="center"/>
          </w:tcPr>
          <w:p w14:paraId="3EC4967F">
            <w:pPr>
              <w:adjustRightInd w:val="0"/>
              <w:jc w:val="center"/>
              <w:rPr>
                <w:bCs/>
                <w:snapToGrid w:val="0"/>
                <w:kern w:val="21"/>
              </w:rPr>
            </w:pPr>
            <w:r>
              <w:rPr>
                <w:rFonts w:hint="eastAsia"/>
              </w:rPr>
              <w:t>0</w:t>
            </w:r>
          </w:p>
        </w:tc>
        <w:tc>
          <w:tcPr>
            <w:tcW w:w="565" w:type="pct"/>
            <w:vAlign w:val="center"/>
          </w:tcPr>
          <w:p w14:paraId="16CE61A1">
            <w:pPr>
              <w:widowControl/>
              <w:adjustRightInd w:val="0"/>
              <w:snapToGrid w:val="0"/>
              <w:jc w:val="center"/>
              <w:textAlignment w:val="center"/>
              <w:rPr>
                <w:kern w:val="0"/>
                <w:lang w:bidi="ar"/>
              </w:rPr>
            </w:pPr>
            <w:r>
              <w:rPr>
                <w:rFonts w:hint="eastAsia"/>
                <w:kern w:val="0"/>
                <w:lang w:bidi="ar"/>
              </w:rPr>
              <w:t>3</w:t>
            </w:r>
            <w:r>
              <w:rPr>
                <w:kern w:val="0"/>
                <w:lang w:bidi="ar"/>
              </w:rPr>
              <w:t>t/a</w:t>
            </w:r>
          </w:p>
        </w:tc>
        <w:tc>
          <w:tcPr>
            <w:tcW w:w="591" w:type="pct"/>
            <w:vAlign w:val="center"/>
          </w:tcPr>
          <w:p w14:paraId="068408A7">
            <w:pPr>
              <w:adjustRightInd w:val="0"/>
              <w:jc w:val="center"/>
              <w:rPr>
                <w:snapToGrid w:val="0"/>
                <w:kern w:val="21"/>
              </w:rPr>
            </w:pPr>
            <w:r>
              <w:rPr>
                <w:rFonts w:hint="eastAsia"/>
              </w:rPr>
              <w:t>0</w:t>
            </w:r>
          </w:p>
        </w:tc>
        <w:tc>
          <w:tcPr>
            <w:tcW w:w="583" w:type="pct"/>
            <w:vAlign w:val="center"/>
          </w:tcPr>
          <w:p w14:paraId="124C93C3">
            <w:pPr>
              <w:widowControl/>
              <w:adjustRightInd w:val="0"/>
              <w:snapToGrid w:val="0"/>
              <w:jc w:val="center"/>
              <w:textAlignment w:val="center"/>
              <w:rPr>
                <w:kern w:val="0"/>
                <w:lang w:bidi="ar"/>
              </w:rPr>
            </w:pPr>
            <w:r>
              <w:rPr>
                <w:rFonts w:hint="eastAsia"/>
                <w:kern w:val="0"/>
                <w:lang w:bidi="ar"/>
              </w:rPr>
              <w:t>10.5</w:t>
            </w:r>
            <w:r>
              <w:rPr>
                <w:kern w:val="0"/>
                <w:lang w:bidi="ar"/>
              </w:rPr>
              <w:t>t/a</w:t>
            </w:r>
          </w:p>
        </w:tc>
        <w:tc>
          <w:tcPr>
            <w:tcW w:w="474" w:type="pct"/>
            <w:vAlign w:val="center"/>
          </w:tcPr>
          <w:p w14:paraId="1ECD4FF2">
            <w:pPr>
              <w:widowControl/>
              <w:adjustRightInd w:val="0"/>
              <w:snapToGrid w:val="0"/>
              <w:jc w:val="center"/>
              <w:textAlignment w:val="center"/>
              <w:rPr>
                <w:kern w:val="0"/>
                <w:lang w:bidi="ar"/>
              </w:rPr>
            </w:pPr>
            <w:r>
              <w:rPr>
                <w:rFonts w:hint="eastAsia"/>
                <w:kern w:val="0"/>
                <w:lang w:bidi="ar"/>
              </w:rPr>
              <w:t>+3</w:t>
            </w:r>
            <w:r>
              <w:rPr>
                <w:kern w:val="0"/>
                <w:lang w:bidi="ar"/>
              </w:rPr>
              <w:t>t/a</w:t>
            </w:r>
          </w:p>
        </w:tc>
      </w:tr>
    </w:tbl>
    <w:p w14:paraId="33CC9626">
      <w:pPr>
        <w:pStyle w:val="12"/>
        <w:ind w:left="0" w:leftChars="0" w:firstLine="0" w:firstLineChars="0"/>
        <w:rPr>
          <w:snapToGrid w:val="0"/>
          <w:spacing w:val="-6"/>
          <w:kern w:val="21"/>
          <w:szCs w:val="18"/>
        </w:rPr>
      </w:pPr>
      <w:r>
        <w:rPr>
          <w:snapToGrid w:val="0"/>
          <w:kern w:val="21"/>
          <w:szCs w:val="18"/>
        </w:rPr>
        <w:t>注：</w:t>
      </w:r>
      <w:r>
        <w:rPr>
          <w:snapToGrid w:val="0"/>
          <w:spacing w:val="-16"/>
          <w:kern w:val="21"/>
          <w:szCs w:val="18"/>
        </w:rPr>
        <w:fldChar w:fldCharType="begin"/>
      </w:r>
      <w:r>
        <w:rPr>
          <w:snapToGrid w:val="0"/>
          <w:spacing w:val="-16"/>
          <w:kern w:val="21"/>
          <w:szCs w:val="18"/>
        </w:rPr>
        <w:instrText xml:space="preserve"> = 6 \* GB3 \* MERGEFORMAT </w:instrText>
      </w:r>
      <w:r>
        <w:rPr>
          <w:snapToGrid w:val="0"/>
          <w:spacing w:val="-16"/>
          <w:kern w:val="21"/>
          <w:szCs w:val="18"/>
        </w:rPr>
        <w:fldChar w:fldCharType="separate"/>
      </w:r>
      <w:r>
        <w:rPr>
          <w:szCs w:val="18"/>
        </w:rPr>
        <w:t>⑥</w:t>
      </w:r>
      <w:r>
        <w:rPr>
          <w:snapToGrid w:val="0"/>
          <w:spacing w:val="-16"/>
          <w:kern w:val="21"/>
          <w:szCs w:val="18"/>
        </w:rPr>
        <w:fldChar w:fldCharType="end"/>
      </w:r>
      <w:r>
        <w:rPr>
          <w:snapToGrid w:val="0"/>
          <w:spacing w:val="-16"/>
          <w:kern w:val="21"/>
          <w:szCs w:val="18"/>
        </w:rPr>
        <w:t>=</w:t>
      </w:r>
      <w:r>
        <w:rPr>
          <w:snapToGrid w:val="0"/>
          <w:spacing w:val="-6"/>
          <w:kern w:val="21"/>
          <w:szCs w:val="18"/>
        </w:rPr>
        <w:fldChar w:fldCharType="begin"/>
      </w:r>
      <w:r>
        <w:rPr>
          <w:snapToGrid w:val="0"/>
          <w:spacing w:val="-6"/>
          <w:kern w:val="21"/>
          <w:szCs w:val="18"/>
        </w:rPr>
        <w:instrText xml:space="preserve"> = 1 \* GB3 \* MERGEFORMAT </w:instrText>
      </w:r>
      <w:r>
        <w:rPr>
          <w:snapToGrid w:val="0"/>
          <w:spacing w:val="-6"/>
          <w:kern w:val="21"/>
          <w:szCs w:val="18"/>
        </w:rPr>
        <w:fldChar w:fldCharType="separate"/>
      </w:r>
      <w:r>
        <w:rPr>
          <w:szCs w:val="18"/>
        </w:rPr>
        <w:t>①</w:t>
      </w:r>
      <w:r>
        <w:rPr>
          <w:snapToGrid w:val="0"/>
          <w:spacing w:val="-6"/>
          <w:kern w:val="21"/>
          <w:szCs w:val="18"/>
        </w:rPr>
        <w:fldChar w:fldCharType="end"/>
      </w:r>
      <w:r>
        <w:rPr>
          <w:snapToGrid w:val="0"/>
          <w:spacing w:val="-6"/>
          <w:kern w:val="21"/>
          <w:szCs w:val="18"/>
        </w:rPr>
        <w:t>+</w:t>
      </w:r>
      <w:r>
        <w:rPr>
          <w:snapToGrid w:val="0"/>
          <w:spacing w:val="-6"/>
          <w:kern w:val="21"/>
          <w:szCs w:val="18"/>
        </w:rPr>
        <w:fldChar w:fldCharType="begin"/>
      </w:r>
      <w:r>
        <w:rPr>
          <w:snapToGrid w:val="0"/>
          <w:spacing w:val="-6"/>
          <w:kern w:val="21"/>
          <w:szCs w:val="18"/>
        </w:rPr>
        <w:instrText xml:space="preserve"> = 3 \* GB3 \* MERGEFORMAT </w:instrText>
      </w:r>
      <w:r>
        <w:rPr>
          <w:snapToGrid w:val="0"/>
          <w:spacing w:val="-6"/>
          <w:kern w:val="21"/>
          <w:szCs w:val="18"/>
        </w:rPr>
        <w:fldChar w:fldCharType="separate"/>
      </w:r>
      <w:r>
        <w:rPr>
          <w:szCs w:val="18"/>
        </w:rPr>
        <w:t>③</w:t>
      </w:r>
      <w:r>
        <w:rPr>
          <w:snapToGrid w:val="0"/>
          <w:spacing w:val="-6"/>
          <w:kern w:val="21"/>
          <w:szCs w:val="18"/>
        </w:rPr>
        <w:fldChar w:fldCharType="end"/>
      </w:r>
      <w:r>
        <w:rPr>
          <w:snapToGrid w:val="0"/>
          <w:spacing w:val="-6"/>
          <w:kern w:val="21"/>
          <w:szCs w:val="18"/>
        </w:rPr>
        <w:t>+</w:t>
      </w:r>
      <w:r>
        <w:rPr>
          <w:snapToGrid w:val="0"/>
          <w:spacing w:val="-6"/>
          <w:kern w:val="21"/>
          <w:szCs w:val="18"/>
        </w:rPr>
        <w:fldChar w:fldCharType="begin"/>
      </w:r>
      <w:r>
        <w:rPr>
          <w:snapToGrid w:val="0"/>
          <w:spacing w:val="-6"/>
          <w:kern w:val="21"/>
          <w:szCs w:val="18"/>
        </w:rPr>
        <w:instrText xml:space="preserve"> = 4 \* GB3 \* MERGEFORMAT </w:instrText>
      </w:r>
      <w:r>
        <w:rPr>
          <w:snapToGrid w:val="0"/>
          <w:spacing w:val="-6"/>
          <w:kern w:val="21"/>
          <w:szCs w:val="18"/>
        </w:rPr>
        <w:fldChar w:fldCharType="separate"/>
      </w:r>
      <w:r>
        <w:rPr>
          <w:szCs w:val="18"/>
        </w:rPr>
        <w:t>④</w:t>
      </w:r>
      <w:r>
        <w:rPr>
          <w:snapToGrid w:val="0"/>
          <w:spacing w:val="-6"/>
          <w:kern w:val="21"/>
          <w:szCs w:val="18"/>
        </w:rPr>
        <w:fldChar w:fldCharType="end"/>
      </w:r>
      <w:r>
        <w:rPr>
          <w:snapToGrid w:val="0"/>
          <w:spacing w:val="-6"/>
          <w:kern w:val="21"/>
          <w:szCs w:val="18"/>
        </w:rPr>
        <w:t>-</w:t>
      </w:r>
      <w:r>
        <w:rPr>
          <w:snapToGrid w:val="0"/>
          <w:spacing w:val="-16"/>
          <w:kern w:val="21"/>
          <w:szCs w:val="18"/>
        </w:rPr>
        <w:fldChar w:fldCharType="begin"/>
      </w:r>
      <w:r>
        <w:rPr>
          <w:snapToGrid w:val="0"/>
          <w:spacing w:val="-16"/>
          <w:kern w:val="21"/>
          <w:szCs w:val="18"/>
        </w:rPr>
        <w:instrText xml:space="preserve"> = 5 \* GB3 \* MERGEFORMAT </w:instrText>
      </w:r>
      <w:r>
        <w:rPr>
          <w:snapToGrid w:val="0"/>
          <w:spacing w:val="-16"/>
          <w:kern w:val="21"/>
          <w:szCs w:val="18"/>
        </w:rPr>
        <w:fldChar w:fldCharType="separate"/>
      </w:r>
      <w:r>
        <w:rPr>
          <w:szCs w:val="18"/>
        </w:rPr>
        <w:t>⑤</w:t>
      </w:r>
      <w:r>
        <w:rPr>
          <w:snapToGrid w:val="0"/>
          <w:spacing w:val="-16"/>
          <w:kern w:val="21"/>
          <w:szCs w:val="18"/>
        </w:rPr>
        <w:fldChar w:fldCharType="end"/>
      </w:r>
      <w:r>
        <w:rPr>
          <w:snapToGrid w:val="0"/>
          <w:spacing w:val="-16"/>
          <w:kern w:val="21"/>
          <w:szCs w:val="18"/>
        </w:rPr>
        <w:t>；</w:t>
      </w:r>
      <w:r>
        <w:rPr>
          <w:snapToGrid w:val="0"/>
          <w:spacing w:val="-6"/>
          <w:kern w:val="21"/>
          <w:szCs w:val="18"/>
        </w:rPr>
        <w:fldChar w:fldCharType="begin"/>
      </w:r>
      <w:r>
        <w:rPr>
          <w:snapToGrid w:val="0"/>
          <w:spacing w:val="-6"/>
          <w:kern w:val="21"/>
          <w:szCs w:val="18"/>
        </w:rPr>
        <w:instrText xml:space="preserve"> = 7 \* GB3 \* MERGEFORMAT </w:instrText>
      </w:r>
      <w:r>
        <w:rPr>
          <w:snapToGrid w:val="0"/>
          <w:spacing w:val="-6"/>
          <w:kern w:val="21"/>
          <w:szCs w:val="18"/>
        </w:rPr>
        <w:fldChar w:fldCharType="separate"/>
      </w:r>
      <w:r>
        <w:rPr>
          <w:szCs w:val="18"/>
        </w:rPr>
        <w:t>⑦</w:t>
      </w:r>
      <w:r>
        <w:rPr>
          <w:snapToGrid w:val="0"/>
          <w:spacing w:val="-6"/>
          <w:kern w:val="21"/>
          <w:szCs w:val="18"/>
        </w:rPr>
        <w:fldChar w:fldCharType="end"/>
      </w:r>
      <w:r>
        <w:rPr>
          <w:snapToGrid w:val="0"/>
          <w:spacing w:val="-6"/>
          <w:kern w:val="21"/>
          <w:szCs w:val="18"/>
        </w:rPr>
        <w:t>=</w:t>
      </w:r>
      <w:r>
        <w:rPr>
          <w:snapToGrid w:val="0"/>
          <w:spacing w:val="-16"/>
          <w:kern w:val="21"/>
          <w:szCs w:val="18"/>
        </w:rPr>
        <w:fldChar w:fldCharType="begin"/>
      </w:r>
      <w:r>
        <w:rPr>
          <w:snapToGrid w:val="0"/>
          <w:spacing w:val="-16"/>
          <w:kern w:val="21"/>
          <w:szCs w:val="18"/>
        </w:rPr>
        <w:instrText xml:space="preserve"> = 6 \* GB3 \* MERGEFORMAT </w:instrText>
      </w:r>
      <w:r>
        <w:rPr>
          <w:snapToGrid w:val="0"/>
          <w:spacing w:val="-16"/>
          <w:kern w:val="21"/>
          <w:szCs w:val="18"/>
        </w:rPr>
        <w:fldChar w:fldCharType="separate"/>
      </w:r>
      <w:r>
        <w:rPr>
          <w:szCs w:val="18"/>
        </w:rPr>
        <w:t>⑥</w:t>
      </w:r>
      <w:r>
        <w:rPr>
          <w:snapToGrid w:val="0"/>
          <w:spacing w:val="-16"/>
          <w:kern w:val="21"/>
          <w:szCs w:val="18"/>
        </w:rPr>
        <w:fldChar w:fldCharType="end"/>
      </w:r>
      <w:r>
        <w:rPr>
          <w:snapToGrid w:val="0"/>
          <w:spacing w:val="-16"/>
          <w:kern w:val="21"/>
          <w:szCs w:val="18"/>
        </w:rPr>
        <w:t>-</w:t>
      </w:r>
      <w:r>
        <w:rPr>
          <w:snapToGrid w:val="0"/>
          <w:spacing w:val="-6"/>
          <w:kern w:val="21"/>
          <w:szCs w:val="18"/>
        </w:rPr>
        <w:fldChar w:fldCharType="begin"/>
      </w:r>
      <w:r>
        <w:rPr>
          <w:snapToGrid w:val="0"/>
          <w:spacing w:val="-6"/>
          <w:kern w:val="21"/>
          <w:szCs w:val="18"/>
        </w:rPr>
        <w:instrText xml:space="preserve"> = 1 \* GB3 \* MERGEFORMAT </w:instrText>
      </w:r>
      <w:r>
        <w:rPr>
          <w:snapToGrid w:val="0"/>
          <w:spacing w:val="-6"/>
          <w:kern w:val="21"/>
          <w:szCs w:val="18"/>
        </w:rPr>
        <w:fldChar w:fldCharType="separate"/>
      </w:r>
      <w:r>
        <w:rPr>
          <w:szCs w:val="18"/>
        </w:rPr>
        <w:t>①</w:t>
      </w:r>
      <w:r>
        <w:rPr>
          <w:snapToGrid w:val="0"/>
          <w:spacing w:val="-6"/>
          <w:kern w:val="21"/>
          <w:szCs w:val="18"/>
        </w:rPr>
        <w:fldChar w:fldCharType="end"/>
      </w:r>
    </w:p>
    <w:p w14:paraId="1D0CA476">
      <w:pPr>
        <w:sectPr>
          <w:pgSz w:w="16838" w:h="11906" w:orient="landscape"/>
          <w:pgMar w:top="1418" w:right="1134" w:bottom="1418" w:left="1418" w:header="851" w:footer="992" w:gutter="0"/>
          <w:pgNumType w:fmt="decimal"/>
          <w:cols w:space="425" w:num="1"/>
          <w:docGrid w:linePitch="312" w:charSpace="0"/>
        </w:sectPr>
      </w:pPr>
    </w:p>
    <w:p w14:paraId="2D199C28">
      <w:pPr>
        <w:pStyle w:val="32"/>
        <w:widowControl w:val="0"/>
        <w:adjustRightInd w:val="0"/>
        <w:snapToGrid w:val="0"/>
        <w:spacing w:before="0" w:beforeAutospacing="0" w:after="0" w:afterAutospacing="0" w:line="360" w:lineRule="auto"/>
        <w:jc w:val="center"/>
        <w:rPr>
          <w:rFonts w:ascii="Times New Roman" w:hAnsi="Times New Roman" w:cs="Times New Roman"/>
          <w:b/>
          <w:bCs/>
          <w:snapToGrid w:val="0"/>
          <w:sz w:val="21"/>
          <w:szCs w:val="32"/>
        </w:rPr>
      </w:pPr>
      <w:bookmarkStart w:id="28" w:name="_GoBack"/>
      <w:bookmarkEnd w:id="28"/>
    </w:p>
    <w:sectPr>
      <w:headerReference r:id="rId8" w:type="default"/>
      <w:footerReference r:id="rId9" w:type="default"/>
      <w:pgSz w:w="11906" w:h="16838"/>
      <w:pgMar w:top="1418" w:right="1418" w:bottom="1418" w:left="1418"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Impact">
    <w:panose1 w:val="020B0806030902050204"/>
    <w:charset w:val="00"/>
    <w:family w:val="swiss"/>
    <w:pitch w:val="default"/>
    <w:sig w:usb0="00000287" w:usb1="00000000" w:usb2="00000000" w:usb3="00000000" w:csb0="2000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151DD">
    <w:pPr>
      <w:pStyle w:val="2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94B4A">
    <w:pPr>
      <w:pStyle w:val="28"/>
      <w:framePr w:wrap="around" w:vAnchor="text" w:hAnchor="margin" w:xAlign="center" w:y="1"/>
      <w:rPr>
        <w:rStyle w:val="38"/>
      </w:rPr>
    </w:pPr>
    <w:r>
      <w:fldChar w:fldCharType="begin"/>
    </w:r>
    <w:r>
      <w:rPr>
        <w:rStyle w:val="38"/>
      </w:rPr>
      <w:instrText xml:space="preserve">PAGE  </w:instrText>
    </w:r>
    <w:r>
      <w:fldChar w:fldCharType="end"/>
    </w:r>
  </w:p>
  <w:p w14:paraId="35CA4155">
    <w:pPr>
      <w:pStyle w:val="2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E2C1E">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5F2B4">
    <w:pPr>
      <w:pStyle w:val="2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9318"/>
                            <w:docPartObj>
                              <w:docPartGallery w:val="autotext"/>
                            </w:docPartObj>
                          </w:sdtPr>
                          <w:sdtContent>
                            <w:p w14:paraId="7A296AF3">
                              <w:pPr>
                                <w:pStyle w:val="28"/>
                                <w:jc w:val="center"/>
                              </w:pPr>
                              <w:r>
                                <w:rPr>
                                  <w:sz w:val="21"/>
                                </w:rPr>
                                <w:fldChar w:fldCharType="begin"/>
                              </w:r>
                              <w:r>
                                <w:rPr>
                                  <w:sz w:val="21"/>
                                </w:rPr>
                                <w:instrText xml:space="preserve">PAGE   \* MERGEFORMAT</w:instrText>
                              </w:r>
                              <w:r>
                                <w:rPr>
                                  <w:sz w:val="21"/>
                                </w:rPr>
                                <w:fldChar w:fldCharType="separate"/>
                              </w:r>
                              <w:r>
                                <w:rPr>
                                  <w:sz w:val="21"/>
                                  <w:lang w:val="zh-CN"/>
                                </w:rPr>
                                <w:t>2</w:t>
                              </w:r>
                              <w:r>
                                <w:rPr>
                                  <w:sz w:val="21"/>
                                </w:rPr>
                                <w:fldChar w:fldCharType="end"/>
                              </w:r>
                            </w:p>
                          </w:sdtContent>
                        </w:sdt>
                        <w:p w14:paraId="454462C0"/>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sdt>
                    <w:sdtPr>
                      <w:id w:val="147479318"/>
                      <w:docPartObj>
                        <w:docPartGallery w:val="autotext"/>
                      </w:docPartObj>
                    </w:sdtPr>
                    <w:sdtContent>
                      <w:p w14:paraId="7A296AF3">
                        <w:pPr>
                          <w:pStyle w:val="28"/>
                          <w:jc w:val="center"/>
                        </w:pPr>
                        <w:r>
                          <w:rPr>
                            <w:sz w:val="21"/>
                          </w:rPr>
                          <w:fldChar w:fldCharType="begin"/>
                        </w:r>
                        <w:r>
                          <w:rPr>
                            <w:sz w:val="21"/>
                          </w:rPr>
                          <w:instrText xml:space="preserve">PAGE   \* MERGEFORMAT</w:instrText>
                        </w:r>
                        <w:r>
                          <w:rPr>
                            <w:sz w:val="21"/>
                          </w:rPr>
                          <w:fldChar w:fldCharType="separate"/>
                        </w:r>
                        <w:r>
                          <w:rPr>
                            <w:sz w:val="21"/>
                            <w:lang w:val="zh-CN"/>
                          </w:rPr>
                          <w:t>2</w:t>
                        </w:r>
                        <w:r>
                          <w:rPr>
                            <w:sz w:val="21"/>
                          </w:rPr>
                          <w:fldChar w:fldCharType="end"/>
                        </w:r>
                      </w:p>
                    </w:sdtContent>
                  </w:sdt>
                  <w:p w14:paraId="454462C0"/>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BA393">
    <w:pPr>
      <w:ind w:firstLine="360"/>
      <w:jc w:val="cente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C91FEC">
                          <w:pPr>
                            <w:ind w:firstLine="360"/>
                            <w:jc w:val="center"/>
                          </w:pPr>
                          <w:r>
                            <w:fldChar w:fldCharType="begin"/>
                          </w:r>
                          <w:r>
                            <w:instrText xml:space="preserve">PAGE   \* MERGEFORMAT</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9C91FEC">
                    <w:pPr>
                      <w:ind w:firstLine="360"/>
                      <w:jc w:val="center"/>
                    </w:pPr>
                    <w:r>
                      <w:fldChar w:fldCharType="begin"/>
                    </w:r>
                    <w:r>
                      <w:instrText xml:space="preserve">PAGE   \* MERGEFORMAT</w:instrText>
                    </w:r>
                    <w:r>
                      <w:fldChar w:fldCharType="separate"/>
                    </w:r>
                    <w:r>
                      <w:t>67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2567B">
    <w:pPr>
      <w:pStyle w:val="2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4E85A">
    <w:pPr>
      <w:pStyle w:val="2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lNTgzYzJjNGIyNzFlMGU5OWViZTNmMGU0YTllNjQifQ=="/>
  </w:docVars>
  <w:rsids>
    <w:rsidRoot w:val="5F1D690F"/>
    <w:rsid w:val="00001F51"/>
    <w:rsid w:val="000029BE"/>
    <w:rsid w:val="000030FE"/>
    <w:rsid w:val="000054BB"/>
    <w:rsid w:val="0000563E"/>
    <w:rsid w:val="00006570"/>
    <w:rsid w:val="000069B2"/>
    <w:rsid w:val="00007572"/>
    <w:rsid w:val="00007721"/>
    <w:rsid w:val="00007F5E"/>
    <w:rsid w:val="00010201"/>
    <w:rsid w:val="000102D2"/>
    <w:rsid w:val="00010FAC"/>
    <w:rsid w:val="00012DC2"/>
    <w:rsid w:val="00013D55"/>
    <w:rsid w:val="0001641D"/>
    <w:rsid w:val="000177A1"/>
    <w:rsid w:val="00020B7A"/>
    <w:rsid w:val="00021867"/>
    <w:rsid w:val="00021D75"/>
    <w:rsid w:val="00022097"/>
    <w:rsid w:val="0002371F"/>
    <w:rsid w:val="000302E4"/>
    <w:rsid w:val="00030798"/>
    <w:rsid w:val="00030D8E"/>
    <w:rsid w:val="000321EA"/>
    <w:rsid w:val="000334BC"/>
    <w:rsid w:val="0003423E"/>
    <w:rsid w:val="00034AA8"/>
    <w:rsid w:val="00035198"/>
    <w:rsid w:val="00036054"/>
    <w:rsid w:val="00041702"/>
    <w:rsid w:val="00041900"/>
    <w:rsid w:val="00041EA9"/>
    <w:rsid w:val="00042C6F"/>
    <w:rsid w:val="00043182"/>
    <w:rsid w:val="00046F4A"/>
    <w:rsid w:val="00047632"/>
    <w:rsid w:val="00052C6D"/>
    <w:rsid w:val="00053788"/>
    <w:rsid w:val="0005458F"/>
    <w:rsid w:val="0005617C"/>
    <w:rsid w:val="0005630A"/>
    <w:rsid w:val="0005731F"/>
    <w:rsid w:val="00057581"/>
    <w:rsid w:val="0006065F"/>
    <w:rsid w:val="00060C0E"/>
    <w:rsid w:val="00063D9C"/>
    <w:rsid w:val="0006404A"/>
    <w:rsid w:val="000649CA"/>
    <w:rsid w:val="00065DEB"/>
    <w:rsid w:val="00070172"/>
    <w:rsid w:val="000709D6"/>
    <w:rsid w:val="00071DD2"/>
    <w:rsid w:val="0007239E"/>
    <w:rsid w:val="000750BC"/>
    <w:rsid w:val="00075AF1"/>
    <w:rsid w:val="00077999"/>
    <w:rsid w:val="00077F36"/>
    <w:rsid w:val="0008103C"/>
    <w:rsid w:val="000811D9"/>
    <w:rsid w:val="0008168D"/>
    <w:rsid w:val="00081D41"/>
    <w:rsid w:val="00082665"/>
    <w:rsid w:val="000842E8"/>
    <w:rsid w:val="00084A4B"/>
    <w:rsid w:val="00084BAE"/>
    <w:rsid w:val="00084E37"/>
    <w:rsid w:val="000928C2"/>
    <w:rsid w:val="000966B7"/>
    <w:rsid w:val="000A1543"/>
    <w:rsid w:val="000A1D33"/>
    <w:rsid w:val="000A378A"/>
    <w:rsid w:val="000A4B92"/>
    <w:rsid w:val="000A6E89"/>
    <w:rsid w:val="000B07E4"/>
    <w:rsid w:val="000B3352"/>
    <w:rsid w:val="000B5324"/>
    <w:rsid w:val="000B56C1"/>
    <w:rsid w:val="000B6CD5"/>
    <w:rsid w:val="000C0B8C"/>
    <w:rsid w:val="000C0CC2"/>
    <w:rsid w:val="000C1F16"/>
    <w:rsid w:val="000C2F1A"/>
    <w:rsid w:val="000C50FA"/>
    <w:rsid w:val="000C537D"/>
    <w:rsid w:val="000C6068"/>
    <w:rsid w:val="000D22CD"/>
    <w:rsid w:val="000D3232"/>
    <w:rsid w:val="000D456D"/>
    <w:rsid w:val="000D6E3B"/>
    <w:rsid w:val="000E2DC3"/>
    <w:rsid w:val="000E34B7"/>
    <w:rsid w:val="000E4789"/>
    <w:rsid w:val="000E55C9"/>
    <w:rsid w:val="000E5ED9"/>
    <w:rsid w:val="000E758F"/>
    <w:rsid w:val="000E7642"/>
    <w:rsid w:val="000F1EB0"/>
    <w:rsid w:val="000F255C"/>
    <w:rsid w:val="000F276C"/>
    <w:rsid w:val="000F2C7C"/>
    <w:rsid w:val="000F3CDB"/>
    <w:rsid w:val="000F47D3"/>
    <w:rsid w:val="000F696D"/>
    <w:rsid w:val="0010004C"/>
    <w:rsid w:val="0010067F"/>
    <w:rsid w:val="00101670"/>
    <w:rsid w:val="001027B4"/>
    <w:rsid w:val="001052B1"/>
    <w:rsid w:val="00105856"/>
    <w:rsid w:val="0010709D"/>
    <w:rsid w:val="00107B06"/>
    <w:rsid w:val="0011069A"/>
    <w:rsid w:val="00112397"/>
    <w:rsid w:val="001126EF"/>
    <w:rsid w:val="001131C9"/>
    <w:rsid w:val="001136CD"/>
    <w:rsid w:val="00114CCD"/>
    <w:rsid w:val="001159E4"/>
    <w:rsid w:val="00120403"/>
    <w:rsid w:val="00120EA6"/>
    <w:rsid w:val="00123508"/>
    <w:rsid w:val="00124440"/>
    <w:rsid w:val="00127829"/>
    <w:rsid w:val="00130A51"/>
    <w:rsid w:val="00131E1A"/>
    <w:rsid w:val="00132B3D"/>
    <w:rsid w:val="00135D91"/>
    <w:rsid w:val="00136D9F"/>
    <w:rsid w:val="001371AD"/>
    <w:rsid w:val="0014087E"/>
    <w:rsid w:val="001441E7"/>
    <w:rsid w:val="00144C35"/>
    <w:rsid w:val="00144E43"/>
    <w:rsid w:val="00144FD5"/>
    <w:rsid w:val="00145130"/>
    <w:rsid w:val="001455D6"/>
    <w:rsid w:val="00150125"/>
    <w:rsid w:val="001510D5"/>
    <w:rsid w:val="0015315F"/>
    <w:rsid w:val="00154502"/>
    <w:rsid w:val="001557D9"/>
    <w:rsid w:val="00156694"/>
    <w:rsid w:val="00157ACE"/>
    <w:rsid w:val="00160A2E"/>
    <w:rsid w:val="001614C9"/>
    <w:rsid w:val="0016451A"/>
    <w:rsid w:val="00164F59"/>
    <w:rsid w:val="00166B4E"/>
    <w:rsid w:val="0017066D"/>
    <w:rsid w:val="001710E8"/>
    <w:rsid w:val="0017138A"/>
    <w:rsid w:val="00184297"/>
    <w:rsid w:val="0018549C"/>
    <w:rsid w:val="00187311"/>
    <w:rsid w:val="00187A90"/>
    <w:rsid w:val="00190429"/>
    <w:rsid w:val="001907F4"/>
    <w:rsid w:val="0019139A"/>
    <w:rsid w:val="00192B85"/>
    <w:rsid w:val="00192EEA"/>
    <w:rsid w:val="00195A85"/>
    <w:rsid w:val="00197302"/>
    <w:rsid w:val="00197C14"/>
    <w:rsid w:val="001A3591"/>
    <w:rsid w:val="001A6508"/>
    <w:rsid w:val="001A6C7B"/>
    <w:rsid w:val="001A7ECC"/>
    <w:rsid w:val="001B0231"/>
    <w:rsid w:val="001B0B0C"/>
    <w:rsid w:val="001B2FC6"/>
    <w:rsid w:val="001B5755"/>
    <w:rsid w:val="001B57A4"/>
    <w:rsid w:val="001B62E3"/>
    <w:rsid w:val="001C303B"/>
    <w:rsid w:val="001C3DC5"/>
    <w:rsid w:val="001C47D6"/>
    <w:rsid w:val="001C4E87"/>
    <w:rsid w:val="001C5B04"/>
    <w:rsid w:val="001C5E5B"/>
    <w:rsid w:val="001C79A6"/>
    <w:rsid w:val="001D0620"/>
    <w:rsid w:val="001D0FF1"/>
    <w:rsid w:val="001D177F"/>
    <w:rsid w:val="001D17C3"/>
    <w:rsid w:val="001D2924"/>
    <w:rsid w:val="001D6030"/>
    <w:rsid w:val="001D62A7"/>
    <w:rsid w:val="001D6F35"/>
    <w:rsid w:val="001D6FFB"/>
    <w:rsid w:val="001E1415"/>
    <w:rsid w:val="001E24DD"/>
    <w:rsid w:val="001E26C4"/>
    <w:rsid w:val="001E36B8"/>
    <w:rsid w:val="001E3728"/>
    <w:rsid w:val="001E3865"/>
    <w:rsid w:val="001E4BC2"/>
    <w:rsid w:val="001E5795"/>
    <w:rsid w:val="001E675A"/>
    <w:rsid w:val="001E6E77"/>
    <w:rsid w:val="001F489F"/>
    <w:rsid w:val="001F6022"/>
    <w:rsid w:val="001F66BA"/>
    <w:rsid w:val="001F7A40"/>
    <w:rsid w:val="00200704"/>
    <w:rsid w:val="00200C75"/>
    <w:rsid w:val="002013D5"/>
    <w:rsid w:val="002014F8"/>
    <w:rsid w:val="00202C76"/>
    <w:rsid w:val="002031EF"/>
    <w:rsid w:val="002033DB"/>
    <w:rsid w:val="0020466A"/>
    <w:rsid w:val="0020571D"/>
    <w:rsid w:val="00205A6E"/>
    <w:rsid w:val="002100CD"/>
    <w:rsid w:val="002108D9"/>
    <w:rsid w:val="0021515B"/>
    <w:rsid w:val="00220E0B"/>
    <w:rsid w:val="00221627"/>
    <w:rsid w:val="00222218"/>
    <w:rsid w:val="00223CC0"/>
    <w:rsid w:val="00227452"/>
    <w:rsid w:val="002278F3"/>
    <w:rsid w:val="00230124"/>
    <w:rsid w:val="00232FBC"/>
    <w:rsid w:val="0023323D"/>
    <w:rsid w:val="002342BB"/>
    <w:rsid w:val="002347A1"/>
    <w:rsid w:val="002350FB"/>
    <w:rsid w:val="00236104"/>
    <w:rsid w:val="00236D6A"/>
    <w:rsid w:val="00240BF3"/>
    <w:rsid w:val="00240FCC"/>
    <w:rsid w:val="002443E6"/>
    <w:rsid w:val="00244462"/>
    <w:rsid w:val="00246BB1"/>
    <w:rsid w:val="00246E7E"/>
    <w:rsid w:val="0024787C"/>
    <w:rsid w:val="00250D36"/>
    <w:rsid w:val="00254296"/>
    <w:rsid w:val="00255205"/>
    <w:rsid w:val="002559FA"/>
    <w:rsid w:val="00255FCA"/>
    <w:rsid w:val="00256888"/>
    <w:rsid w:val="00260A78"/>
    <w:rsid w:val="00261673"/>
    <w:rsid w:val="00262165"/>
    <w:rsid w:val="00262583"/>
    <w:rsid w:val="00265D5C"/>
    <w:rsid w:val="002672AE"/>
    <w:rsid w:val="0026772E"/>
    <w:rsid w:val="0027011F"/>
    <w:rsid w:val="00270484"/>
    <w:rsid w:val="002723AA"/>
    <w:rsid w:val="00273352"/>
    <w:rsid w:val="00274531"/>
    <w:rsid w:val="00280CD6"/>
    <w:rsid w:val="00282C68"/>
    <w:rsid w:val="00283B99"/>
    <w:rsid w:val="0028445C"/>
    <w:rsid w:val="00284FDE"/>
    <w:rsid w:val="00286403"/>
    <w:rsid w:val="00286A69"/>
    <w:rsid w:val="00287EB8"/>
    <w:rsid w:val="002912CF"/>
    <w:rsid w:val="002935A3"/>
    <w:rsid w:val="002943B8"/>
    <w:rsid w:val="00296D29"/>
    <w:rsid w:val="00296DC3"/>
    <w:rsid w:val="00297004"/>
    <w:rsid w:val="00297D2C"/>
    <w:rsid w:val="002A1A5F"/>
    <w:rsid w:val="002A5287"/>
    <w:rsid w:val="002A7FC4"/>
    <w:rsid w:val="002B227F"/>
    <w:rsid w:val="002B4200"/>
    <w:rsid w:val="002C0F01"/>
    <w:rsid w:val="002C2E9A"/>
    <w:rsid w:val="002C585D"/>
    <w:rsid w:val="002C5DFB"/>
    <w:rsid w:val="002C6E36"/>
    <w:rsid w:val="002C7783"/>
    <w:rsid w:val="002C7E6C"/>
    <w:rsid w:val="002D625E"/>
    <w:rsid w:val="002E1D76"/>
    <w:rsid w:val="002E4672"/>
    <w:rsid w:val="002E514A"/>
    <w:rsid w:val="002E7192"/>
    <w:rsid w:val="002E789D"/>
    <w:rsid w:val="002F3A52"/>
    <w:rsid w:val="002F5E70"/>
    <w:rsid w:val="002F7CAB"/>
    <w:rsid w:val="003000E5"/>
    <w:rsid w:val="0030052C"/>
    <w:rsid w:val="00302374"/>
    <w:rsid w:val="00302D48"/>
    <w:rsid w:val="003065A1"/>
    <w:rsid w:val="0030791D"/>
    <w:rsid w:val="003104C1"/>
    <w:rsid w:val="00310703"/>
    <w:rsid w:val="00311DAC"/>
    <w:rsid w:val="00315281"/>
    <w:rsid w:val="0031587A"/>
    <w:rsid w:val="003165B3"/>
    <w:rsid w:val="003177D6"/>
    <w:rsid w:val="00317E78"/>
    <w:rsid w:val="00321EDD"/>
    <w:rsid w:val="00322299"/>
    <w:rsid w:val="00323EFA"/>
    <w:rsid w:val="003259DA"/>
    <w:rsid w:val="00327B64"/>
    <w:rsid w:val="00330A44"/>
    <w:rsid w:val="00331002"/>
    <w:rsid w:val="0033110D"/>
    <w:rsid w:val="0033133D"/>
    <w:rsid w:val="00332800"/>
    <w:rsid w:val="00333068"/>
    <w:rsid w:val="003331C6"/>
    <w:rsid w:val="00336461"/>
    <w:rsid w:val="00340886"/>
    <w:rsid w:val="0034151B"/>
    <w:rsid w:val="003425D0"/>
    <w:rsid w:val="003425D1"/>
    <w:rsid w:val="003441CD"/>
    <w:rsid w:val="0034424F"/>
    <w:rsid w:val="00346049"/>
    <w:rsid w:val="00346071"/>
    <w:rsid w:val="0034730E"/>
    <w:rsid w:val="00350510"/>
    <w:rsid w:val="00350C82"/>
    <w:rsid w:val="00352F3F"/>
    <w:rsid w:val="0035492F"/>
    <w:rsid w:val="00355B30"/>
    <w:rsid w:val="00356AC7"/>
    <w:rsid w:val="00360EFD"/>
    <w:rsid w:val="003629E3"/>
    <w:rsid w:val="00364D5C"/>
    <w:rsid w:val="003762A2"/>
    <w:rsid w:val="00381BEF"/>
    <w:rsid w:val="003836F4"/>
    <w:rsid w:val="00386E1B"/>
    <w:rsid w:val="003871B9"/>
    <w:rsid w:val="00387469"/>
    <w:rsid w:val="003876B3"/>
    <w:rsid w:val="00387A8B"/>
    <w:rsid w:val="00390F14"/>
    <w:rsid w:val="00390F4B"/>
    <w:rsid w:val="0039191C"/>
    <w:rsid w:val="00393473"/>
    <w:rsid w:val="0039431B"/>
    <w:rsid w:val="00394894"/>
    <w:rsid w:val="00394A37"/>
    <w:rsid w:val="0039525F"/>
    <w:rsid w:val="00395791"/>
    <w:rsid w:val="003965FC"/>
    <w:rsid w:val="003A068F"/>
    <w:rsid w:val="003A099C"/>
    <w:rsid w:val="003A1BB3"/>
    <w:rsid w:val="003A39DD"/>
    <w:rsid w:val="003A57B0"/>
    <w:rsid w:val="003A5A6D"/>
    <w:rsid w:val="003A5BD7"/>
    <w:rsid w:val="003A5EF2"/>
    <w:rsid w:val="003A686B"/>
    <w:rsid w:val="003A6E5F"/>
    <w:rsid w:val="003B2458"/>
    <w:rsid w:val="003B6911"/>
    <w:rsid w:val="003C00DF"/>
    <w:rsid w:val="003C0952"/>
    <w:rsid w:val="003C0F60"/>
    <w:rsid w:val="003C2A30"/>
    <w:rsid w:val="003C2D3B"/>
    <w:rsid w:val="003C38DE"/>
    <w:rsid w:val="003C4A79"/>
    <w:rsid w:val="003C4CAB"/>
    <w:rsid w:val="003C6832"/>
    <w:rsid w:val="003D10A0"/>
    <w:rsid w:val="003D1B7D"/>
    <w:rsid w:val="003D2CB1"/>
    <w:rsid w:val="003D6016"/>
    <w:rsid w:val="003D6547"/>
    <w:rsid w:val="003D7335"/>
    <w:rsid w:val="003D7F91"/>
    <w:rsid w:val="003E00DC"/>
    <w:rsid w:val="003E125A"/>
    <w:rsid w:val="003E1BD9"/>
    <w:rsid w:val="003E1E32"/>
    <w:rsid w:val="003E2616"/>
    <w:rsid w:val="003E2EF8"/>
    <w:rsid w:val="003E35E5"/>
    <w:rsid w:val="003E42A7"/>
    <w:rsid w:val="003E5D6B"/>
    <w:rsid w:val="003F1615"/>
    <w:rsid w:val="003F2FE4"/>
    <w:rsid w:val="003F660A"/>
    <w:rsid w:val="003F681A"/>
    <w:rsid w:val="003F777F"/>
    <w:rsid w:val="0040040F"/>
    <w:rsid w:val="00400CAB"/>
    <w:rsid w:val="004012CC"/>
    <w:rsid w:val="00401561"/>
    <w:rsid w:val="0040332D"/>
    <w:rsid w:val="004049CA"/>
    <w:rsid w:val="00404A81"/>
    <w:rsid w:val="00405677"/>
    <w:rsid w:val="00406821"/>
    <w:rsid w:val="00410D0B"/>
    <w:rsid w:val="00411E26"/>
    <w:rsid w:val="00412002"/>
    <w:rsid w:val="00412171"/>
    <w:rsid w:val="00412780"/>
    <w:rsid w:val="004135BE"/>
    <w:rsid w:val="00414D1F"/>
    <w:rsid w:val="0041684D"/>
    <w:rsid w:val="00417D17"/>
    <w:rsid w:val="00421D06"/>
    <w:rsid w:val="00422FF1"/>
    <w:rsid w:val="00423858"/>
    <w:rsid w:val="00423A1D"/>
    <w:rsid w:val="00424C58"/>
    <w:rsid w:val="00425CC3"/>
    <w:rsid w:val="0042643F"/>
    <w:rsid w:val="00426F11"/>
    <w:rsid w:val="004270CA"/>
    <w:rsid w:val="00427B59"/>
    <w:rsid w:val="0043170A"/>
    <w:rsid w:val="00432B01"/>
    <w:rsid w:val="00432C50"/>
    <w:rsid w:val="0044279D"/>
    <w:rsid w:val="00450802"/>
    <w:rsid w:val="00450DE4"/>
    <w:rsid w:val="00452122"/>
    <w:rsid w:val="00452792"/>
    <w:rsid w:val="0045300A"/>
    <w:rsid w:val="00455B48"/>
    <w:rsid w:val="00456819"/>
    <w:rsid w:val="00457A77"/>
    <w:rsid w:val="00460908"/>
    <w:rsid w:val="00460FAC"/>
    <w:rsid w:val="004615F0"/>
    <w:rsid w:val="00461D93"/>
    <w:rsid w:val="00462462"/>
    <w:rsid w:val="0046389F"/>
    <w:rsid w:val="00465228"/>
    <w:rsid w:val="004730AA"/>
    <w:rsid w:val="0047410F"/>
    <w:rsid w:val="00477EB1"/>
    <w:rsid w:val="00481925"/>
    <w:rsid w:val="00482D18"/>
    <w:rsid w:val="00483D33"/>
    <w:rsid w:val="00485913"/>
    <w:rsid w:val="00485C50"/>
    <w:rsid w:val="00485DCD"/>
    <w:rsid w:val="00486A68"/>
    <w:rsid w:val="00486E3E"/>
    <w:rsid w:val="00486F4F"/>
    <w:rsid w:val="00491CD1"/>
    <w:rsid w:val="00491DD5"/>
    <w:rsid w:val="00491F77"/>
    <w:rsid w:val="00492450"/>
    <w:rsid w:val="004958E6"/>
    <w:rsid w:val="004A070D"/>
    <w:rsid w:val="004A09C0"/>
    <w:rsid w:val="004A388C"/>
    <w:rsid w:val="004A4364"/>
    <w:rsid w:val="004A4F78"/>
    <w:rsid w:val="004A5E6D"/>
    <w:rsid w:val="004A6A42"/>
    <w:rsid w:val="004B02FF"/>
    <w:rsid w:val="004B0F67"/>
    <w:rsid w:val="004B26C5"/>
    <w:rsid w:val="004B2D04"/>
    <w:rsid w:val="004B2EF0"/>
    <w:rsid w:val="004B3857"/>
    <w:rsid w:val="004B3BD0"/>
    <w:rsid w:val="004B50B1"/>
    <w:rsid w:val="004B5D77"/>
    <w:rsid w:val="004B6C1A"/>
    <w:rsid w:val="004B78AA"/>
    <w:rsid w:val="004C11AD"/>
    <w:rsid w:val="004C31EE"/>
    <w:rsid w:val="004C4DE2"/>
    <w:rsid w:val="004C6DA7"/>
    <w:rsid w:val="004C6EE7"/>
    <w:rsid w:val="004D02D8"/>
    <w:rsid w:val="004D44C3"/>
    <w:rsid w:val="004D4A65"/>
    <w:rsid w:val="004D6E01"/>
    <w:rsid w:val="004D6E79"/>
    <w:rsid w:val="004D7C0B"/>
    <w:rsid w:val="004E0523"/>
    <w:rsid w:val="004E09C3"/>
    <w:rsid w:val="004E2479"/>
    <w:rsid w:val="004E287A"/>
    <w:rsid w:val="004E319B"/>
    <w:rsid w:val="004E442F"/>
    <w:rsid w:val="004E6D9B"/>
    <w:rsid w:val="004F3060"/>
    <w:rsid w:val="004F6BE1"/>
    <w:rsid w:val="004F6E68"/>
    <w:rsid w:val="004F70F9"/>
    <w:rsid w:val="004F7DFE"/>
    <w:rsid w:val="00500E3B"/>
    <w:rsid w:val="00503C05"/>
    <w:rsid w:val="005054DC"/>
    <w:rsid w:val="00506329"/>
    <w:rsid w:val="00506B2A"/>
    <w:rsid w:val="00506BC0"/>
    <w:rsid w:val="005079E9"/>
    <w:rsid w:val="00507AB2"/>
    <w:rsid w:val="005158CA"/>
    <w:rsid w:val="00515A07"/>
    <w:rsid w:val="00520552"/>
    <w:rsid w:val="00522681"/>
    <w:rsid w:val="005232ED"/>
    <w:rsid w:val="00524A98"/>
    <w:rsid w:val="00524F1E"/>
    <w:rsid w:val="0052608C"/>
    <w:rsid w:val="00527BA8"/>
    <w:rsid w:val="00530113"/>
    <w:rsid w:val="005304A9"/>
    <w:rsid w:val="00530584"/>
    <w:rsid w:val="00530E9D"/>
    <w:rsid w:val="005316E4"/>
    <w:rsid w:val="0053249E"/>
    <w:rsid w:val="005325D6"/>
    <w:rsid w:val="005357E3"/>
    <w:rsid w:val="00541D6C"/>
    <w:rsid w:val="00541F0E"/>
    <w:rsid w:val="00543166"/>
    <w:rsid w:val="005431D6"/>
    <w:rsid w:val="005462B3"/>
    <w:rsid w:val="00546D0F"/>
    <w:rsid w:val="0054719A"/>
    <w:rsid w:val="0054776C"/>
    <w:rsid w:val="005511C1"/>
    <w:rsid w:val="0055497A"/>
    <w:rsid w:val="00554A39"/>
    <w:rsid w:val="00554E0C"/>
    <w:rsid w:val="00555D36"/>
    <w:rsid w:val="00556C32"/>
    <w:rsid w:val="00556CFC"/>
    <w:rsid w:val="0055740A"/>
    <w:rsid w:val="00557792"/>
    <w:rsid w:val="00560EBD"/>
    <w:rsid w:val="00564350"/>
    <w:rsid w:val="005647A9"/>
    <w:rsid w:val="00564F4E"/>
    <w:rsid w:val="00566461"/>
    <w:rsid w:val="0056648B"/>
    <w:rsid w:val="00566C30"/>
    <w:rsid w:val="00570AE6"/>
    <w:rsid w:val="00571673"/>
    <w:rsid w:val="00575E20"/>
    <w:rsid w:val="00576A31"/>
    <w:rsid w:val="00581FCC"/>
    <w:rsid w:val="00582564"/>
    <w:rsid w:val="005849FA"/>
    <w:rsid w:val="00586F95"/>
    <w:rsid w:val="0059097F"/>
    <w:rsid w:val="005910E2"/>
    <w:rsid w:val="0059188D"/>
    <w:rsid w:val="00594CAE"/>
    <w:rsid w:val="005973ED"/>
    <w:rsid w:val="005978BA"/>
    <w:rsid w:val="00597C01"/>
    <w:rsid w:val="005A0B15"/>
    <w:rsid w:val="005A130A"/>
    <w:rsid w:val="005A1BAE"/>
    <w:rsid w:val="005A1BCB"/>
    <w:rsid w:val="005A29B3"/>
    <w:rsid w:val="005A4476"/>
    <w:rsid w:val="005A4815"/>
    <w:rsid w:val="005A68D0"/>
    <w:rsid w:val="005A7DAB"/>
    <w:rsid w:val="005B048F"/>
    <w:rsid w:val="005B184D"/>
    <w:rsid w:val="005B217C"/>
    <w:rsid w:val="005B232E"/>
    <w:rsid w:val="005B3D3E"/>
    <w:rsid w:val="005B3E6D"/>
    <w:rsid w:val="005B4C4B"/>
    <w:rsid w:val="005B5568"/>
    <w:rsid w:val="005B665F"/>
    <w:rsid w:val="005B7D05"/>
    <w:rsid w:val="005C1E13"/>
    <w:rsid w:val="005C2E64"/>
    <w:rsid w:val="005C5035"/>
    <w:rsid w:val="005C5C7A"/>
    <w:rsid w:val="005D019F"/>
    <w:rsid w:val="005D21AC"/>
    <w:rsid w:val="005D3400"/>
    <w:rsid w:val="005D446A"/>
    <w:rsid w:val="005D5799"/>
    <w:rsid w:val="005D70C5"/>
    <w:rsid w:val="005E0E51"/>
    <w:rsid w:val="005E14D9"/>
    <w:rsid w:val="005E1722"/>
    <w:rsid w:val="005E42B2"/>
    <w:rsid w:val="005E4314"/>
    <w:rsid w:val="005E4618"/>
    <w:rsid w:val="005E660E"/>
    <w:rsid w:val="005E77B8"/>
    <w:rsid w:val="005F1707"/>
    <w:rsid w:val="005F1CCA"/>
    <w:rsid w:val="005F3E42"/>
    <w:rsid w:val="005F5719"/>
    <w:rsid w:val="005F6748"/>
    <w:rsid w:val="00603ED0"/>
    <w:rsid w:val="00605533"/>
    <w:rsid w:val="00605914"/>
    <w:rsid w:val="00606CF4"/>
    <w:rsid w:val="00610872"/>
    <w:rsid w:val="00610E8C"/>
    <w:rsid w:val="00611F26"/>
    <w:rsid w:val="00612D75"/>
    <w:rsid w:val="00617525"/>
    <w:rsid w:val="00620678"/>
    <w:rsid w:val="006214ED"/>
    <w:rsid w:val="00623FDB"/>
    <w:rsid w:val="00624387"/>
    <w:rsid w:val="006247A4"/>
    <w:rsid w:val="00624A25"/>
    <w:rsid w:val="00625063"/>
    <w:rsid w:val="00625CA1"/>
    <w:rsid w:val="006267AC"/>
    <w:rsid w:val="00633E71"/>
    <w:rsid w:val="0063603B"/>
    <w:rsid w:val="0063688F"/>
    <w:rsid w:val="00637F9C"/>
    <w:rsid w:val="00641F1B"/>
    <w:rsid w:val="006505EF"/>
    <w:rsid w:val="00650F6F"/>
    <w:rsid w:val="006513FA"/>
    <w:rsid w:val="006529B4"/>
    <w:rsid w:val="00652D9E"/>
    <w:rsid w:val="00653790"/>
    <w:rsid w:val="00654A9F"/>
    <w:rsid w:val="006551F5"/>
    <w:rsid w:val="006555AE"/>
    <w:rsid w:val="00657218"/>
    <w:rsid w:val="006603A3"/>
    <w:rsid w:val="00661A77"/>
    <w:rsid w:val="00662274"/>
    <w:rsid w:val="006636AD"/>
    <w:rsid w:val="00663A80"/>
    <w:rsid w:val="00664E44"/>
    <w:rsid w:val="00664F2B"/>
    <w:rsid w:val="0066510E"/>
    <w:rsid w:val="0066582C"/>
    <w:rsid w:val="006666F3"/>
    <w:rsid w:val="006707FC"/>
    <w:rsid w:val="00670C9E"/>
    <w:rsid w:val="0067130B"/>
    <w:rsid w:val="0067238D"/>
    <w:rsid w:val="0067310F"/>
    <w:rsid w:val="00674B2E"/>
    <w:rsid w:val="00674C07"/>
    <w:rsid w:val="00675633"/>
    <w:rsid w:val="00676D6F"/>
    <w:rsid w:val="00677FB4"/>
    <w:rsid w:val="00680802"/>
    <w:rsid w:val="00681B26"/>
    <w:rsid w:val="006827BF"/>
    <w:rsid w:val="006832E8"/>
    <w:rsid w:val="00685049"/>
    <w:rsid w:val="006868E6"/>
    <w:rsid w:val="00686931"/>
    <w:rsid w:val="00686CBF"/>
    <w:rsid w:val="00687038"/>
    <w:rsid w:val="006874A3"/>
    <w:rsid w:val="00687C04"/>
    <w:rsid w:val="00690903"/>
    <w:rsid w:val="00692A56"/>
    <w:rsid w:val="00693748"/>
    <w:rsid w:val="00693887"/>
    <w:rsid w:val="00693B52"/>
    <w:rsid w:val="006976F2"/>
    <w:rsid w:val="006A06B9"/>
    <w:rsid w:val="006A14C8"/>
    <w:rsid w:val="006A1AF2"/>
    <w:rsid w:val="006A3445"/>
    <w:rsid w:val="006A37CE"/>
    <w:rsid w:val="006A4C50"/>
    <w:rsid w:val="006A629F"/>
    <w:rsid w:val="006A71D3"/>
    <w:rsid w:val="006A7737"/>
    <w:rsid w:val="006A7A43"/>
    <w:rsid w:val="006B04FC"/>
    <w:rsid w:val="006B3730"/>
    <w:rsid w:val="006B6B07"/>
    <w:rsid w:val="006B7399"/>
    <w:rsid w:val="006B7ECD"/>
    <w:rsid w:val="006C4B7B"/>
    <w:rsid w:val="006C6254"/>
    <w:rsid w:val="006D24FB"/>
    <w:rsid w:val="006D3D0B"/>
    <w:rsid w:val="006D4556"/>
    <w:rsid w:val="006D69D0"/>
    <w:rsid w:val="006E0676"/>
    <w:rsid w:val="006E34C8"/>
    <w:rsid w:val="006E4D46"/>
    <w:rsid w:val="006E60B3"/>
    <w:rsid w:val="006E6DC2"/>
    <w:rsid w:val="006E6FF2"/>
    <w:rsid w:val="006F164F"/>
    <w:rsid w:val="006F3E70"/>
    <w:rsid w:val="006F4466"/>
    <w:rsid w:val="006F4DB6"/>
    <w:rsid w:val="006F616B"/>
    <w:rsid w:val="006F690B"/>
    <w:rsid w:val="00702992"/>
    <w:rsid w:val="007124F1"/>
    <w:rsid w:val="0071380D"/>
    <w:rsid w:val="00713E88"/>
    <w:rsid w:val="00715012"/>
    <w:rsid w:val="0071524B"/>
    <w:rsid w:val="007174AD"/>
    <w:rsid w:val="00720357"/>
    <w:rsid w:val="00720639"/>
    <w:rsid w:val="00722773"/>
    <w:rsid w:val="00722D37"/>
    <w:rsid w:val="00724186"/>
    <w:rsid w:val="00724CA5"/>
    <w:rsid w:val="00726749"/>
    <w:rsid w:val="007267F5"/>
    <w:rsid w:val="00726C4D"/>
    <w:rsid w:val="00727417"/>
    <w:rsid w:val="00731307"/>
    <w:rsid w:val="00734B44"/>
    <w:rsid w:val="00735F66"/>
    <w:rsid w:val="00737397"/>
    <w:rsid w:val="0074382F"/>
    <w:rsid w:val="007464AF"/>
    <w:rsid w:val="007507D6"/>
    <w:rsid w:val="00752730"/>
    <w:rsid w:val="00753D0C"/>
    <w:rsid w:val="00757AD2"/>
    <w:rsid w:val="00757DD8"/>
    <w:rsid w:val="00757E1B"/>
    <w:rsid w:val="00760A1A"/>
    <w:rsid w:val="0076101E"/>
    <w:rsid w:val="00761BA9"/>
    <w:rsid w:val="00763B46"/>
    <w:rsid w:val="007657C7"/>
    <w:rsid w:val="0077069C"/>
    <w:rsid w:val="007715C7"/>
    <w:rsid w:val="00772EC9"/>
    <w:rsid w:val="0077520F"/>
    <w:rsid w:val="00775A04"/>
    <w:rsid w:val="00780105"/>
    <w:rsid w:val="00780BA0"/>
    <w:rsid w:val="00780F05"/>
    <w:rsid w:val="007816CE"/>
    <w:rsid w:val="00781C9F"/>
    <w:rsid w:val="007821C5"/>
    <w:rsid w:val="00782813"/>
    <w:rsid w:val="00782E14"/>
    <w:rsid w:val="007838F2"/>
    <w:rsid w:val="00783A35"/>
    <w:rsid w:val="007849D5"/>
    <w:rsid w:val="00786821"/>
    <w:rsid w:val="007903B7"/>
    <w:rsid w:val="007915EB"/>
    <w:rsid w:val="00792E88"/>
    <w:rsid w:val="00794B2B"/>
    <w:rsid w:val="00796DE5"/>
    <w:rsid w:val="007973A7"/>
    <w:rsid w:val="0079779E"/>
    <w:rsid w:val="007A1027"/>
    <w:rsid w:val="007A38D7"/>
    <w:rsid w:val="007A4154"/>
    <w:rsid w:val="007A5E17"/>
    <w:rsid w:val="007A74FA"/>
    <w:rsid w:val="007B04E3"/>
    <w:rsid w:val="007B058E"/>
    <w:rsid w:val="007B0E69"/>
    <w:rsid w:val="007B1E3D"/>
    <w:rsid w:val="007B3034"/>
    <w:rsid w:val="007B30EE"/>
    <w:rsid w:val="007B35F5"/>
    <w:rsid w:val="007B4AA0"/>
    <w:rsid w:val="007B4CC3"/>
    <w:rsid w:val="007B54C9"/>
    <w:rsid w:val="007B5656"/>
    <w:rsid w:val="007B6BF4"/>
    <w:rsid w:val="007B7FC0"/>
    <w:rsid w:val="007C1A27"/>
    <w:rsid w:val="007C1D1D"/>
    <w:rsid w:val="007C5776"/>
    <w:rsid w:val="007C5AF4"/>
    <w:rsid w:val="007C6ECE"/>
    <w:rsid w:val="007D1F5A"/>
    <w:rsid w:val="007D436E"/>
    <w:rsid w:val="007D4411"/>
    <w:rsid w:val="007D554B"/>
    <w:rsid w:val="007D6BC9"/>
    <w:rsid w:val="007D6E0F"/>
    <w:rsid w:val="007E1D8F"/>
    <w:rsid w:val="007E27E2"/>
    <w:rsid w:val="007E3427"/>
    <w:rsid w:val="007E3BE6"/>
    <w:rsid w:val="007E5FCD"/>
    <w:rsid w:val="007F01F7"/>
    <w:rsid w:val="007F0258"/>
    <w:rsid w:val="007F3EAB"/>
    <w:rsid w:val="007F4E22"/>
    <w:rsid w:val="007F71EA"/>
    <w:rsid w:val="007F792D"/>
    <w:rsid w:val="007F7A3C"/>
    <w:rsid w:val="00800094"/>
    <w:rsid w:val="00800632"/>
    <w:rsid w:val="0080538A"/>
    <w:rsid w:val="008055E1"/>
    <w:rsid w:val="00807A2F"/>
    <w:rsid w:val="00807DED"/>
    <w:rsid w:val="00807ED2"/>
    <w:rsid w:val="00810F9A"/>
    <w:rsid w:val="008119D8"/>
    <w:rsid w:val="00811C1B"/>
    <w:rsid w:val="00815D72"/>
    <w:rsid w:val="0081685B"/>
    <w:rsid w:val="00817285"/>
    <w:rsid w:val="00821FC8"/>
    <w:rsid w:val="00822BAE"/>
    <w:rsid w:val="0082365B"/>
    <w:rsid w:val="008277DB"/>
    <w:rsid w:val="008310B9"/>
    <w:rsid w:val="00831464"/>
    <w:rsid w:val="00836ABB"/>
    <w:rsid w:val="00837F4A"/>
    <w:rsid w:val="008407BA"/>
    <w:rsid w:val="00841319"/>
    <w:rsid w:val="00841973"/>
    <w:rsid w:val="008428F0"/>
    <w:rsid w:val="0084350D"/>
    <w:rsid w:val="00843538"/>
    <w:rsid w:val="00843BC6"/>
    <w:rsid w:val="00846837"/>
    <w:rsid w:val="00850A8A"/>
    <w:rsid w:val="00851713"/>
    <w:rsid w:val="008517D3"/>
    <w:rsid w:val="00852892"/>
    <w:rsid w:val="0085400A"/>
    <w:rsid w:val="00854098"/>
    <w:rsid w:val="00855F05"/>
    <w:rsid w:val="0086086A"/>
    <w:rsid w:val="008609B2"/>
    <w:rsid w:val="00861482"/>
    <w:rsid w:val="00861A37"/>
    <w:rsid w:val="00861A77"/>
    <w:rsid w:val="00865CB5"/>
    <w:rsid w:val="00866E85"/>
    <w:rsid w:val="00867D07"/>
    <w:rsid w:val="00871C8A"/>
    <w:rsid w:val="0087336E"/>
    <w:rsid w:val="00875047"/>
    <w:rsid w:val="008759E4"/>
    <w:rsid w:val="00875B1C"/>
    <w:rsid w:val="00876447"/>
    <w:rsid w:val="008800F0"/>
    <w:rsid w:val="0088081B"/>
    <w:rsid w:val="008845CB"/>
    <w:rsid w:val="008851C9"/>
    <w:rsid w:val="00885A0E"/>
    <w:rsid w:val="00886878"/>
    <w:rsid w:val="008904B8"/>
    <w:rsid w:val="0089061F"/>
    <w:rsid w:val="00890E0B"/>
    <w:rsid w:val="00892745"/>
    <w:rsid w:val="00892EE0"/>
    <w:rsid w:val="00894297"/>
    <w:rsid w:val="008964A2"/>
    <w:rsid w:val="008965D6"/>
    <w:rsid w:val="008A0D36"/>
    <w:rsid w:val="008A0EF7"/>
    <w:rsid w:val="008A2B51"/>
    <w:rsid w:val="008A6E16"/>
    <w:rsid w:val="008B00EF"/>
    <w:rsid w:val="008B3AAE"/>
    <w:rsid w:val="008C130E"/>
    <w:rsid w:val="008C2149"/>
    <w:rsid w:val="008C253C"/>
    <w:rsid w:val="008C796E"/>
    <w:rsid w:val="008D07D8"/>
    <w:rsid w:val="008D1074"/>
    <w:rsid w:val="008D20A7"/>
    <w:rsid w:val="008D2F3D"/>
    <w:rsid w:val="008D30DA"/>
    <w:rsid w:val="008D40F4"/>
    <w:rsid w:val="008D4123"/>
    <w:rsid w:val="008D56B4"/>
    <w:rsid w:val="008D5831"/>
    <w:rsid w:val="008D678C"/>
    <w:rsid w:val="008D6F79"/>
    <w:rsid w:val="008E1564"/>
    <w:rsid w:val="008E17EE"/>
    <w:rsid w:val="008E18FC"/>
    <w:rsid w:val="008E3AD0"/>
    <w:rsid w:val="008E44E2"/>
    <w:rsid w:val="008E50B5"/>
    <w:rsid w:val="008F0A8A"/>
    <w:rsid w:val="008F1A75"/>
    <w:rsid w:val="008F2505"/>
    <w:rsid w:val="008F26C7"/>
    <w:rsid w:val="008F48FD"/>
    <w:rsid w:val="008F4EF3"/>
    <w:rsid w:val="008F7845"/>
    <w:rsid w:val="00900489"/>
    <w:rsid w:val="00903711"/>
    <w:rsid w:val="00904299"/>
    <w:rsid w:val="0090568D"/>
    <w:rsid w:val="009062E7"/>
    <w:rsid w:val="00906A69"/>
    <w:rsid w:val="00912BCF"/>
    <w:rsid w:val="00912C62"/>
    <w:rsid w:val="0091517D"/>
    <w:rsid w:val="00915703"/>
    <w:rsid w:val="00922F37"/>
    <w:rsid w:val="00923BA1"/>
    <w:rsid w:val="00923D8D"/>
    <w:rsid w:val="00924B6B"/>
    <w:rsid w:val="009268B8"/>
    <w:rsid w:val="00927970"/>
    <w:rsid w:val="00930818"/>
    <w:rsid w:val="00930A43"/>
    <w:rsid w:val="00931676"/>
    <w:rsid w:val="009352ED"/>
    <w:rsid w:val="009362DB"/>
    <w:rsid w:val="00937F0C"/>
    <w:rsid w:val="00940BFB"/>
    <w:rsid w:val="009411A2"/>
    <w:rsid w:val="009429BF"/>
    <w:rsid w:val="00943435"/>
    <w:rsid w:val="009442DC"/>
    <w:rsid w:val="00945494"/>
    <w:rsid w:val="00947872"/>
    <w:rsid w:val="009508A7"/>
    <w:rsid w:val="009528B4"/>
    <w:rsid w:val="0095390F"/>
    <w:rsid w:val="009543CC"/>
    <w:rsid w:val="00954783"/>
    <w:rsid w:val="00960210"/>
    <w:rsid w:val="009607E7"/>
    <w:rsid w:val="00963890"/>
    <w:rsid w:val="00964E73"/>
    <w:rsid w:val="00967C5B"/>
    <w:rsid w:val="00970A1A"/>
    <w:rsid w:val="00970EBA"/>
    <w:rsid w:val="00972FD3"/>
    <w:rsid w:val="009751C2"/>
    <w:rsid w:val="009752E3"/>
    <w:rsid w:val="00975764"/>
    <w:rsid w:val="00975ADA"/>
    <w:rsid w:val="00977C9D"/>
    <w:rsid w:val="00977D61"/>
    <w:rsid w:val="009815E0"/>
    <w:rsid w:val="00984F2A"/>
    <w:rsid w:val="00985BDD"/>
    <w:rsid w:val="009900EC"/>
    <w:rsid w:val="009916ED"/>
    <w:rsid w:val="00991746"/>
    <w:rsid w:val="00991E59"/>
    <w:rsid w:val="009944FD"/>
    <w:rsid w:val="009968AE"/>
    <w:rsid w:val="009A11B5"/>
    <w:rsid w:val="009A1CDC"/>
    <w:rsid w:val="009A26BB"/>
    <w:rsid w:val="009A2F4F"/>
    <w:rsid w:val="009A3446"/>
    <w:rsid w:val="009A3B84"/>
    <w:rsid w:val="009A6667"/>
    <w:rsid w:val="009B06CB"/>
    <w:rsid w:val="009B134A"/>
    <w:rsid w:val="009B1371"/>
    <w:rsid w:val="009B23A8"/>
    <w:rsid w:val="009B2747"/>
    <w:rsid w:val="009B281C"/>
    <w:rsid w:val="009B2F0A"/>
    <w:rsid w:val="009B7DFC"/>
    <w:rsid w:val="009C24F8"/>
    <w:rsid w:val="009C3497"/>
    <w:rsid w:val="009C4097"/>
    <w:rsid w:val="009C4B33"/>
    <w:rsid w:val="009C6332"/>
    <w:rsid w:val="009C73C9"/>
    <w:rsid w:val="009D2261"/>
    <w:rsid w:val="009D22AA"/>
    <w:rsid w:val="009D3D48"/>
    <w:rsid w:val="009D5784"/>
    <w:rsid w:val="009E0284"/>
    <w:rsid w:val="009E25CF"/>
    <w:rsid w:val="009E3B66"/>
    <w:rsid w:val="009E4286"/>
    <w:rsid w:val="009E48E3"/>
    <w:rsid w:val="009E51FB"/>
    <w:rsid w:val="009E614D"/>
    <w:rsid w:val="009E775F"/>
    <w:rsid w:val="009F248D"/>
    <w:rsid w:val="009F31E0"/>
    <w:rsid w:val="009F40ED"/>
    <w:rsid w:val="009F42CD"/>
    <w:rsid w:val="009F4A8A"/>
    <w:rsid w:val="009F4E0C"/>
    <w:rsid w:val="009F5473"/>
    <w:rsid w:val="009F708C"/>
    <w:rsid w:val="00A00481"/>
    <w:rsid w:val="00A009EA"/>
    <w:rsid w:val="00A027D0"/>
    <w:rsid w:val="00A04B58"/>
    <w:rsid w:val="00A06196"/>
    <w:rsid w:val="00A06F12"/>
    <w:rsid w:val="00A07663"/>
    <w:rsid w:val="00A1208E"/>
    <w:rsid w:val="00A12186"/>
    <w:rsid w:val="00A13AB4"/>
    <w:rsid w:val="00A13D7E"/>
    <w:rsid w:val="00A14541"/>
    <w:rsid w:val="00A14C56"/>
    <w:rsid w:val="00A15C37"/>
    <w:rsid w:val="00A166C1"/>
    <w:rsid w:val="00A23474"/>
    <w:rsid w:val="00A234C5"/>
    <w:rsid w:val="00A25023"/>
    <w:rsid w:val="00A26A31"/>
    <w:rsid w:val="00A26AF4"/>
    <w:rsid w:val="00A2730F"/>
    <w:rsid w:val="00A357F4"/>
    <w:rsid w:val="00A35D30"/>
    <w:rsid w:val="00A3705D"/>
    <w:rsid w:val="00A4044B"/>
    <w:rsid w:val="00A40C6B"/>
    <w:rsid w:val="00A4575A"/>
    <w:rsid w:val="00A45B6C"/>
    <w:rsid w:val="00A46068"/>
    <w:rsid w:val="00A464C1"/>
    <w:rsid w:val="00A47653"/>
    <w:rsid w:val="00A47F0B"/>
    <w:rsid w:val="00A536F6"/>
    <w:rsid w:val="00A53976"/>
    <w:rsid w:val="00A53978"/>
    <w:rsid w:val="00A539D8"/>
    <w:rsid w:val="00A55F9C"/>
    <w:rsid w:val="00A57484"/>
    <w:rsid w:val="00A60C5C"/>
    <w:rsid w:val="00A62045"/>
    <w:rsid w:val="00A6331B"/>
    <w:rsid w:val="00A65B52"/>
    <w:rsid w:val="00A6620B"/>
    <w:rsid w:val="00A703C2"/>
    <w:rsid w:val="00A7195D"/>
    <w:rsid w:val="00A71BAD"/>
    <w:rsid w:val="00A71D13"/>
    <w:rsid w:val="00A72C84"/>
    <w:rsid w:val="00A731C1"/>
    <w:rsid w:val="00A74B88"/>
    <w:rsid w:val="00A74EE3"/>
    <w:rsid w:val="00A766CE"/>
    <w:rsid w:val="00A777A7"/>
    <w:rsid w:val="00A77DC5"/>
    <w:rsid w:val="00A81029"/>
    <w:rsid w:val="00A816CD"/>
    <w:rsid w:val="00A82147"/>
    <w:rsid w:val="00A82BE1"/>
    <w:rsid w:val="00A84511"/>
    <w:rsid w:val="00A84A5A"/>
    <w:rsid w:val="00A85669"/>
    <w:rsid w:val="00A85EA3"/>
    <w:rsid w:val="00A8673B"/>
    <w:rsid w:val="00A87028"/>
    <w:rsid w:val="00A90A2B"/>
    <w:rsid w:val="00A928F0"/>
    <w:rsid w:val="00A92F0B"/>
    <w:rsid w:val="00A930A0"/>
    <w:rsid w:val="00A95028"/>
    <w:rsid w:val="00A960F2"/>
    <w:rsid w:val="00A970FD"/>
    <w:rsid w:val="00A972AA"/>
    <w:rsid w:val="00A974F2"/>
    <w:rsid w:val="00A97926"/>
    <w:rsid w:val="00AA0E30"/>
    <w:rsid w:val="00AA352F"/>
    <w:rsid w:val="00AA39E0"/>
    <w:rsid w:val="00AA3DC0"/>
    <w:rsid w:val="00AA465F"/>
    <w:rsid w:val="00AA4805"/>
    <w:rsid w:val="00AA51F2"/>
    <w:rsid w:val="00AA603E"/>
    <w:rsid w:val="00AA6D3E"/>
    <w:rsid w:val="00AA78C5"/>
    <w:rsid w:val="00AA7B12"/>
    <w:rsid w:val="00AB0327"/>
    <w:rsid w:val="00AB356A"/>
    <w:rsid w:val="00AB3950"/>
    <w:rsid w:val="00AB70AA"/>
    <w:rsid w:val="00AC2266"/>
    <w:rsid w:val="00AC2D0D"/>
    <w:rsid w:val="00AC3E70"/>
    <w:rsid w:val="00AC4165"/>
    <w:rsid w:val="00AC441B"/>
    <w:rsid w:val="00AC4876"/>
    <w:rsid w:val="00AC495C"/>
    <w:rsid w:val="00AC4A85"/>
    <w:rsid w:val="00AC5C86"/>
    <w:rsid w:val="00AC641C"/>
    <w:rsid w:val="00AD1D7C"/>
    <w:rsid w:val="00AD3840"/>
    <w:rsid w:val="00AD385C"/>
    <w:rsid w:val="00AD53E6"/>
    <w:rsid w:val="00AD56D3"/>
    <w:rsid w:val="00AE16E2"/>
    <w:rsid w:val="00AE38FC"/>
    <w:rsid w:val="00AE3E4D"/>
    <w:rsid w:val="00AE5638"/>
    <w:rsid w:val="00AE6C53"/>
    <w:rsid w:val="00AE73E4"/>
    <w:rsid w:val="00AF163A"/>
    <w:rsid w:val="00AF1A53"/>
    <w:rsid w:val="00AF36B4"/>
    <w:rsid w:val="00AF396F"/>
    <w:rsid w:val="00AF4295"/>
    <w:rsid w:val="00AF51BC"/>
    <w:rsid w:val="00AF595B"/>
    <w:rsid w:val="00AF6B3E"/>
    <w:rsid w:val="00AF7337"/>
    <w:rsid w:val="00B004A0"/>
    <w:rsid w:val="00B13AE7"/>
    <w:rsid w:val="00B13B81"/>
    <w:rsid w:val="00B1586B"/>
    <w:rsid w:val="00B17AE4"/>
    <w:rsid w:val="00B17E3B"/>
    <w:rsid w:val="00B203C1"/>
    <w:rsid w:val="00B21CAF"/>
    <w:rsid w:val="00B22DBD"/>
    <w:rsid w:val="00B279FC"/>
    <w:rsid w:val="00B307B6"/>
    <w:rsid w:val="00B3089A"/>
    <w:rsid w:val="00B33D19"/>
    <w:rsid w:val="00B346E2"/>
    <w:rsid w:val="00B34F3F"/>
    <w:rsid w:val="00B34F4D"/>
    <w:rsid w:val="00B365EB"/>
    <w:rsid w:val="00B406C3"/>
    <w:rsid w:val="00B407EF"/>
    <w:rsid w:val="00B40E02"/>
    <w:rsid w:val="00B416EA"/>
    <w:rsid w:val="00B418E9"/>
    <w:rsid w:val="00B423D1"/>
    <w:rsid w:val="00B42A68"/>
    <w:rsid w:val="00B435F8"/>
    <w:rsid w:val="00B44D72"/>
    <w:rsid w:val="00B469F5"/>
    <w:rsid w:val="00B4791B"/>
    <w:rsid w:val="00B50FB2"/>
    <w:rsid w:val="00B51298"/>
    <w:rsid w:val="00B52675"/>
    <w:rsid w:val="00B5424C"/>
    <w:rsid w:val="00B54379"/>
    <w:rsid w:val="00B54F7E"/>
    <w:rsid w:val="00B555CB"/>
    <w:rsid w:val="00B5581D"/>
    <w:rsid w:val="00B56298"/>
    <w:rsid w:val="00B603F1"/>
    <w:rsid w:val="00B6135D"/>
    <w:rsid w:val="00B61459"/>
    <w:rsid w:val="00B6165E"/>
    <w:rsid w:val="00B63EF7"/>
    <w:rsid w:val="00B644B0"/>
    <w:rsid w:val="00B70A9D"/>
    <w:rsid w:val="00B74173"/>
    <w:rsid w:val="00B76B5B"/>
    <w:rsid w:val="00B80023"/>
    <w:rsid w:val="00B80817"/>
    <w:rsid w:val="00B85A36"/>
    <w:rsid w:val="00B8775E"/>
    <w:rsid w:val="00B87BC9"/>
    <w:rsid w:val="00B87DC7"/>
    <w:rsid w:val="00B95595"/>
    <w:rsid w:val="00B95FE3"/>
    <w:rsid w:val="00B96299"/>
    <w:rsid w:val="00B96B4C"/>
    <w:rsid w:val="00BA127E"/>
    <w:rsid w:val="00BA1A99"/>
    <w:rsid w:val="00BA1CB2"/>
    <w:rsid w:val="00BA34A8"/>
    <w:rsid w:val="00BA40E5"/>
    <w:rsid w:val="00BA4C5B"/>
    <w:rsid w:val="00BA67A7"/>
    <w:rsid w:val="00BB00A4"/>
    <w:rsid w:val="00BB2995"/>
    <w:rsid w:val="00BB3296"/>
    <w:rsid w:val="00BB4E5A"/>
    <w:rsid w:val="00BB68A4"/>
    <w:rsid w:val="00BB6953"/>
    <w:rsid w:val="00BB7185"/>
    <w:rsid w:val="00BC1358"/>
    <w:rsid w:val="00BC18BB"/>
    <w:rsid w:val="00BC23AA"/>
    <w:rsid w:val="00BC29B4"/>
    <w:rsid w:val="00BC37D6"/>
    <w:rsid w:val="00BC414C"/>
    <w:rsid w:val="00BD1718"/>
    <w:rsid w:val="00BD1851"/>
    <w:rsid w:val="00BD3831"/>
    <w:rsid w:val="00BD45D4"/>
    <w:rsid w:val="00BD47C1"/>
    <w:rsid w:val="00BD4CA4"/>
    <w:rsid w:val="00BD52B0"/>
    <w:rsid w:val="00BD675F"/>
    <w:rsid w:val="00BE0B04"/>
    <w:rsid w:val="00BE42DE"/>
    <w:rsid w:val="00BE4794"/>
    <w:rsid w:val="00BE57C0"/>
    <w:rsid w:val="00BF0130"/>
    <w:rsid w:val="00BF4B44"/>
    <w:rsid w:val="00BF4E45"/>
    <w:rsid w:val="00BF4FEC"/>
    <w:rsid w:val="00BF5669"/>
    <w:rsid w:val="00BF7879"/>
    <w:rsid w:val="00C003FF"/>
    <w:rsid w:val="00C01EE8"/>
    <w:rsid w:val="00C0235B"/>
    <w:rsid w:val="00C02533"/>
    <w:rsid w:val="00C046AC"/>
    <w:rsid w:val="00C07345"/>
    <w:rsid w:val="00C10813"/>
    <w:rsid w:val="00C10D5A"/>
    <w:rsid w:val="00C1140A"/>
    <w:rsid w:val="00C12215"/>
    <w:rsid w:val="00C12C1F"/>
    <w:rsid w:val="00C16C00"/>
    <w:rsid w:val="00C20364"/>
    <w:rsid w:val="00C21623"/>
    <w:rsid w:val="00C22914"/>
    <w:rsid w:val="00C229F2"/>
    <w:rsid w:val="00C23467"/>
    <w:rsid w:val="00C24066"/>
    <w:rsid w:val="00C24825"/>
    <w:rsid w:val="00C2517E"/>
    <w:rsid w:val="00C2604A"/>
    <w:rsid w:val="00C26DE4"/>
    <w:rsid w:val="00C27817"/>
    <w:rsid w:val="00C30AC5"/>
    <w:rsid w:val="00C326AD"/>
    <w:rsid w:val="00C32ABA"/>
    <w:rsid w:val="00C41279"/>
    <w:rsid w:val="00C44D62"/>
    <w:rsid w:val="00C45888"/>
    <w:rsid w:val="00C46240"/>
    <w:rsid w:val="00C47A55"/>
    <w:rsid w:val="00C47F94"/>
    <w:rsid w:val="00C50FE3"/>
    <w:rsid w:val="00C551F8"/>
    <w:rsid w:val="00C554E8"/>
    <w:rsid w:val="00C55679"/>
    <w:rsid w:val="00C55825"/>
    <w:rsid w:val="00C56973"/>
    <w:rsid w:val="00C576AE"/>
    <w:rsid w:val="00C57C11"/>
    <w:rsid w:val="00C64D4F"/>
    <w:rsid w:val="00C6761F"/>
    <w:rsid w:val="00C72114"/>
    <w:rsid w:val="00C73FA4"/>
    <w:rsid w:val="00C80639"/>
    <w:rsid w:val="00C82679"/>
    <w:rsid w:val="00C82EA1"/>
    <w:rsid w:val="00C83331"/>
    <w:rsid w:val="00C83421"/>
    <w:rsid w:val="00C83F7B"/>
    <w:rsid w:val="00C83F9C"/>
    <w:rsid w:val="00C85307"/>
    <w:rsid w:val="00C85C96"/>
    <w:rsid w:val="00C85F1A"/>
    <w:rsid w:val="00C86517"/>
    <w:rsid w:val="00C86F19"/>
    <w:rsid w:val="00C872B4"/>
    <w:rsid w:val="00C874DC"/>
    <w:rsid w:val="00C90854"/>
    <w:rsid w:val="00C93D0E"/>
    <w:rsid w:val="00C9517C"/>
    <w:rsid w:val="00CA4057"/>
    <w:rsid w:val="00CA51EF"/>
    <w:rsid w:val="00CA54FC"/>
    <w:rsid w:val="00CA5512"/>
    <w:rsid w:val="00CA6C2E"/>
    <w:rsid w:val="00CA76DE"/>
    <w:rsid w:val="00CA79B7"/>
    <w:rsid w:val="00CB28A2"/>
    <w:rsid w:val="00CB6363"/>
    <w:rsid w:val="00CB6C9D"/>
    <w:rsid w:val="00CB740B"/>
    <w:rsid w:val="00CC330B"/>
    <w:rsid w:val="00CC41DB"/>
    <w:rsid w:val="00CC549D"/>
    <w:rsid w:val="00CC6739"/>
    <w:rsid w:val="00CC6BE8"/>
    <w:rsid w:val="00CD025C"/>
    <w:rsid w:val="00CD1C52"/>
    <w:rsid w:val="00CD205C"/>
    <w:rsid w:val="00CD2461"/>
    <w:rsid w:val="00CD31F7"/>
    <w:rsid w:val="00CD3BF4"/>
    <w:rsid w:val="00CD4805"/>
    <w:rsid w:val="00CD6F21"/>
    <w:rsid w:val="00CE23A6"/>
    <w:rsid w:val="00CE3702"/>
    <w:rsid w:val="00CE402D"/>
    <w:rsid w:val="00CE5EC8"/>
    <w:rsid w:val="00CE7551"/>
    <w:rsid w:val="00CE7E71"/>
    <w:rsid w:val="00CF02AF"/>
    <w:rsid w:val="00CF08AE"/>
    <w:rsid w:val="00D012C7"/>
    <w:rsid w:val="00D027C4"/>
    <w:rsid w:val="00D02F45"/>
    <w:rsid w:val="00D06BE7"/>
    <w:rsid w:val="00D06BF0"/>
    <w:rsid w:val="00D10955"/>
    <w:rsid w:val="00D10E64"/>
    <w:rsid w:val="00D112AC"/>
    <w:rsid w:val="00D11359"/>
    <w:rsid w:val="00D14D9B"/>
    <w:rsid w:val="00D2105E"/>
    <w:rsid w:val="00D21B85"/>
    <w:rsid w:val="00D21F47"/>
    <w:rsid w:val="00D240CA"/>
    <w:rsid w:val="00D24EE5"/>
    <w:rsid w:val="00D26842"/>
    <w:rsid w:val="00D30649"/>
    <w:rsid w:val="00D3189E"/>
    <w:rsid w:val="00D31D93"/>
    <w:rsid w:val="00D352EB"/>
    <w:rsid w:val="00D35302"/>
    <w:rsid w:val="00D44FD4"/>
    <w:rsid w:val="00D4531D"/>
    <w:rsid w:val="00D4710C"/>
    <w:rsid w:val="00D53047"/>
    <w:rsid w:val="00D532CE"/>
    <w:rsid w:val="00D53B13"/>
    <w:rsid w:val="00D553E8"/>
    <w:rsid w:val="00D55851"/>
    <w:rsid w:val="00D57166"/>
    <w:rsid w:val="00D5793A"/>
    <w:rsid w:val="00D60068"/>
    <w:rsid w:val="00D62430"/>
    <w:rsid w:val="00D624B8"/>
    <w:rsid w:val="00D67E5B"/>
    <w:rsid w:val="00D7047F"/>
    <w:rsid w:val="00D72F27"/>
    <w:rsid w:val="00D73299"/>
    <w:rsid w:val="00D77173"/>
    <w:rsid w:val="00D7738D"/>
    <w:rsid w:val="00D773AF"/>
    <w:rsid w:val="00D7756C"/>
    <w:rsid w:val="00D81E16"/>
    <w:rsid w:val="00D81E3D"/>
    <w:rsid w:val="00D821CE"/>
    <w:rsid w:val="00D8400B"/>
    <w:rsid w:val="00D84F8E"/>
    <w:rsid w:val="00D85908"/>
    <w:rsid w:val="00D85EE7"/>
    <w:rsid w:val="00D86F49"/>
    <w:rsid w:val="00D87AE9"/>
    <w:rsid w:val="00D87B54"/>
    <w:rsid w:val="00D9035E"/>
    <w:rsid w:val="00D914A5"/>
    <w:rsid w:val="00D91B3E"/>
    <w:rsid w:val="00D932E8"/>
    <w:rsid w:val="00D939D4"/>
    <w:rsid w:val="00D96025"/>
    <w:rsid w:val="00D96A03"/>
    <w:rsid w:val="00D978B3"/>
    <w:rsid w:val="00D97DD9"/>
    <w:rsid w:val="00DA067F"/>
    <w:rsid w:val="00DA11D0"/>
    <w:rsid w:val="00DA1769"/>
    <w:rsid w:val="00DA1A8F"/>
    <w:rsid w:val="00DA532A"/>
    <w:rsid w:val="00DA6AB6"/>
    <w:rsid w:val="00DA788F"/>
    <w:rsid w:val="00DA79A3"/>
    <w:rsid w:val="00DA7B9B"/>
    <w:rsid w:val="00DB07CA"/>
    <w:rsid w:val="00DB0CDE"/>
    <w:rsid w:val="00DB1D4A"/>
    <w:rsid w:val="00DB2957"/>
    <w:rsid w:val="00DB2C07"/>
    <w:rsid w:val="00DB46D7"/>
    <w:rsid w:val="00DB4B1A"/>
    <w:rsid w:val="00DB55C1"/>
    <w:rsid w:val="00DC067F"/>
    <w:rsid w:val="00DC09B2"/>
    <w:rsid w:val="00DC10F5"/>
    <w:rsid w:val="00DC3EFD"/>
    <w:rsid w:val="00DC50DC"/>
    <w:rsid w:val="00DC6A86"/>
    <w:rsid w:val="00DC7076"/>
    <w:rsid w:val="00DD180B"/>
    <w:rsid w:val="00DD1F00"/>
    <w:rsid w:val="00DD4F10"/>
    <w:rsid w:val="00DD5611"/>
    <w:rsid w:val="00DE049A"/>
    <w:rsid w:val="00DE087C"/>
    <w:rsid w:val="00DE10F2"/>
    <w:rsid w:val="00DE476B"/>
    <w:rsid w:val="00DE4835"/>
    <w:rsid w:val="00DE52E7"/>
    <w:rsid w:val="00DE73E4"/>
    <w:rsid w:val="00DF1393"/>
    <w:rsid w:val="00DF1DB6"/>
    <w:rsid w:val="00DF1EA1"/>
    <w:rsid w:val="00DF22FB"/>
    <w:rsid w:val="00DF24B5"/>
    <w:rsid w:val="00DF34BF"/>
    <w:rsid w:val="00DF6973"/>
    <w:rsid w:val="00DF785E"/>
    <w:rsid w:val="00DF7C2A"/>
    <w:rsid w:val="00E00AF3"/>
    <w:rsid w:val="00E00BF0"/>
    <w:rsid w:val="00E01173"/>
    <w:rsid w:val="00E02550"/>
    <w:rsid w:val="00E02CFE"/>
    <w:rsid w:val="00E04AF0"/>
    <w:rsid w:val="00E04C56"/>
    <w:rsid w:val="00E05562"/>
    <w:rsid w:val="00E058BB"/>
    <w:rsid w:val="00E06304"/>
    <w:rsid w:val="00E06465"/>
    <w:rsid w:val="00E1440C"/>
    <w:rsid w:val="00E153A7"/>
    <w:rsid w:val="00E157E2"/>
    <w:rsid w:val="00E1597D"/>
    <w:rsid w:val="00E16053"/>
    <w:rsid w:val="00E17025"/>
    <w:rsid w:val="00E17BDC"/>
    <w:rsid w:val="00E235D1"/>
    <w:rsid w:val="00E2389B"/>
    <w:rsid w:val="00E23B99"/>
    <w:rsid w:val="00E2444C"/>
    <w:rsid w:val="00E27D67"/>
    <w:rsid w:val="00E315AC"/>
    <w:rsid w:val="00E3317F"/>
    <w:rsid w:val="00E3742B"/>
    <w:rsid w:val="00E37D71"/>
    <w:rsid w:val="00E4581E"/>
    <w:rsid w:val="00E461D5"/>
    <w:rsid w:val="00E477AE"/>
    <w:rsid w:val="00E47DEA"/>
    <w:rsid w:val="00E5147F"/>
    <w:rsid w:val="00E52969"/>
    <w:rsid w:val="00E52BD3"/>
    <w:rsid w:val="00E54C63"/>
    <w:rsid w:val="00E55590"/>
    <w:rsid w:val="00E56087"/>
    <w:rsid w:val="00E6112B"/>
    <w:rsid w:val="00E62424"/>
    <w:rsid w:val="00E62C48"/>
    <w:rsid w:val="00E65362"/>
    <w:rsid w:val="00E7078F"/>
    <w:rsid w:val="00E7100D"/>
    <w:rsid w:val="00E71E88"/>
    <w:rsid w:val="00E72123"/>
    <w:rsid w:val="00E73D25"/>
    <w:rsid w:val="00E73D45"/>
    <w:rsid w:val="00E73E49"/>
    <w:rsid w:val="00E74235"/>
    <w:rsid w:val="00E75452"/>
    <w:rsid w:val="00E75499"/>
    <w:rsid w:val="00E77273"/>
    <w:rsid w:val="00E8178E"/>
    <w:rsid w:val="00E82D9D"/>
    <w:rsid w:val="00E83B04"/>
    <w:rsid w:val="00E846E8"/>
    <w:rsid w:val="00E84CAE"/>
    <w:rsid w:val="00E854E6"/>
    <w:rsid w:val="00E857C0"/>
    <w:rsid w:val="00E8711B"/>
    <w:rsid w:val="00E914EC"/>
    <w:rsid w:val="00E96DE6"/>
    <w:rsid w:val="00EA2049"/>
    <w:rsid w:val="00EA2C4E"/>
    <w:rsid w:val="00EA429A"/>
    <w:rsid w:val="00EA493A"/>
    <w:rsid w:val="00EA5D6F"/>
    <w:rsid w:val="00EB12C0"/>
    <w:rsid w:val="00EB23A8"/>
    <w:rsid w:val="00EB27FD"/>
    <w:rsid w:val="00EB53E9"/>
    <w:rsid w:val="00EB5A3C"/>
    <w:rsid w:val="00EB614E"/>
    <w:rsid w:val="00EB6BB6"/>
    <w:rsid w:val="00EC207D"/>
    <w:rsid w:val="00EC295B"/>
    <w:rsid w:val="00EC44CE"/>
    <w:rsid w:val="00EC573B"/>
    <w:rsid w:val="00EC6B37"/>
    <w:rsid w:val="00EC6BBF"/>
    <w:rsid w:val="00EC7748"/>
    <w:rsid w:val="00ED06BF"/>
    <w:rsid w:val="00ED0954"/>
    <w:rsid w:val="00ED2A49"/>
    <w:rsid w:val="00ED39EA"/>
    <w:rsid w:val="00ED3DF8"/>
    <w:rsid w:val="00ED4071"/>
    <w:rsid w:val="00ED47DE"/>
    <w:rsid w:val="00EE231E"/>
    <w:rsid w:val="00EE34BC"/>
    <w:rsid w:val="00EE43F0"/>
    <w:rsid w:val="00EE4F4F"/>
    <w:rsid w:val="00EE5796"/>
    <w:rsid w:val="00EE72B8"/>
    <w:rsid w:val="00EE7823"/>
    <w:rsid w:val="00EF1B9A"/>
    <w:rsid w:val="00F00A21"/>
    <w:rsid w:val="00F014B9"/>
    <w:rsid w:val="00F02156"/>
    <w:rsid w:val="00F02B54"/>
    <w:rsid w:val="00F03262"/>
    <w:rsid w:val="00F03C2A"/>
    <w:rsid w:val="00F04831"/>
    <w:rsid w:val="00F0485B"/>
    <w:rsid w:val="00F05977"/>
    <w:rsid w:val="00F05FE4"/>
    <w:rsid w:val="00F06304"/>
    <w:rsid w:val="00F06833"/>
    <w:rsid w:val="00F07B9D"/>
    <w:rsid w:val="00F1082F"/>
    <w:rsid w:val="00F1121F"/>
    <w:rsid w:val="00F12CEF"/>
    <w:rsid w:val="00F143D3"/>
    <w:rsid w:val="00F15611"/>
    <w:rsid w:val="00F176C4"/>
    <w:rsid w:val="00F17CEB"/>
    <w:rsid w:val="00F24446"/>
    <w:rsid w:val="00F2501A"/>
    <w:rsid w:val="00F254BE"/>
    <w:rsid w:val="00F2551D"/>
    <w:rsid w:val="00F25710"/>
    <w:rsid w:val="00F2576B"/>
    <w:rsid w:val="00F303A0"/>
    <w:rsid w:val="00F31B21"/>
    <w:rsid w:val="00F34A55"/>
    <w:rsid w:val="00F34BC7"/>
    <w:rsid w:val="00F360DE"/>
    <w:rsid w:val="00F369F3"/>
    <w:rsid w:val="00F40A12"/>
    <w:rsid w:val="00F40F41"/>
    <w:rsid w:val="00F41E6D"/>
    <w:rsid w:val="00F41FF3"/>
    <w:rsid w:val="00F4389C"/>
    <w:rsid w:val="00F44F07"/>
    <w:rsid w:val="00F46B1E"/>
    <w:rsid w:val="00F53A47"/>
    <w:rsid w:val="00F53EDB"/>
    <w:rsid w:val="00F54254"/>
    <w:rsid w:val="00F56376"/>
    <w:rsid w:val="00F5769C"/>
    <w:rsid w:val="00F57A66"/>
    <w:rsid w:val="00F605E8"/>
    <w:rsid w:val="00F60C96"/>
    <w:rsid w:val="00F6155D"/>
    <w:rsid w:val="00F63C1B"/>
    <w:rsid w:val="00F63DD1"/>
    <w:rsid w:val="00F64E78"/>
    <w:rsid w:val="00F678BC"/>
    <w:rsid w:val="00F70BE1"/>
    <w:rsid w:val="00F71C26"/>
    <w:rsid w:val="00F72C78"/>
    <w:rsid w:val="00F74609"/>
    <w:rsid w:val="00F7492B"/>
    <w:rsid w:val="00F75FE7"/>
    <w:rsid w:val="00F77676"/>
    <w:rsid w:val="00F812FD"/>
    <w:rsid w:val="00F814B4"/>
    <w:rsid w:val="00F8159E"/>
    <w:rsid w:val="00F820C7"/>
    <w:rsid w:val="00F82E19"/>
    <w:rsid w:val="00F833C6"/>
    <w:rsid w:val="00F84599"/>
    <w:rsid w:val="00F851E3"/>
    <w:rsid w:val="00F85E56"/>
    <w:rsid w:val="00F874E0"/>
    <w:rsid w:val="00F92402"/>
    <w:rsid w:val="00F93634"/>
    <w:rsid w:val="00F9438E"/>
    <w:rsid w:val="00FA1A9F"/>
    <w:rsid w:val="00FA1CA3"/>
    <w:rsid w:val="00FA2A88"/>
    <w:rsid w:val="00FA30D8"/>
    <w:rsid w:val="00FA5558"/>
    <w:rsid w:val="00FA62A2"/>
    <w:rsid w:val="00FB03EC"/>
    <w:rsid w:val="00FB073C"/>
    <w:rsid w:val="00FB1B15"/>
    <w:rsid w:val="00FB511B"/>
    <w:rsid w:val="00FB5FD2"/>
    <w:rsid w:val="00FB6141"/>
    <w:rsid w:val="00FB70EA"/>
    <w:rsid w:val="00FC1100"/>
    <w:rsid w:val="00FC21EC"/>
    <w:rsid w:val="00FC22B4"/>
    <w:rsid w:val="00FC230E"/>
    <w:rsid w:val="00FC35E3"/>
    <w:rsid w:val="00FC4443"/>
    <w:rsid w:val="00FC4B06"/>
    <w:rsid w:val="00FC5B53"/>
    <w:rsid w:val="00FD1151"/>
    <w:rsid w:val="00FD5F1C"/>
    <w:rsid w:val="00FD64FB"/>
    <w:rsid w:val="00FD66DF"/>
    <w:rsid w:val="00FD74F6"/>
    <w:rsid w:val="00FE1E6E"/>
    <w:rsid w:val="00FE4393"/>
    <w:rsid w:val="00FE5709"/>
    <w:rsid w:val="00FE6A59"/>
    <w:rsid w:val="00FE75F9"/>
    <w:rsid w:val="00FF0782"/>
    <w:rsid w:val="00FF120D"/>
    <w:rsid w:val="00FF1DC1"/>
    <w:rsid w:val="00FF2D97"/>
    <w:rsid w:val="00FF2F54"/>
    <w:rsid w:val="00FF2F9B"/>
    <w:rsid w:val="00FF3AAB"/>
    <w:rsid w:val="00FF3DFF"/>
    <w:rsid w:val="00FF4E07"/>
    <w:rsid w:val="00FF67B8"/>
    <w:rsid w:val="00FF75A6"/>
    <w:rsid w:val="013637D1"/>
    <w:rsid w:val="017F60F2"/>
    <w:rsid w:val="01B92872"/>
    <w:rsid w:val="01D6772E"/>
    <w:rsid w:val="024C0DD3"/>
    <w:rsid w:val="02DC71D7"/>
    <w:rsid w:val="04E73651"/>
    <w:rsid w:val="05725FF4"/>
    <w:rsid w:val="05726FE1"/>
    <w:rsid w:val="05D76C53"/>
    <w:rsid w:val="07C878AE"/>
    <w:rsid w:val="09714747"/>
    <w:rsid w:val="0A9C78DC"/>
    <w:rsid w:val="0BC83447"/>
    <w:rsid w:val="0CA90B1A"/>
    <w:rsid w:val="0DD45831"/>
    <w:rsid w:val="0E15476E"/>
    <w:rsid w:val="0F5F7E82"/>
    <w:rsid w:val="0FCD5C1A"/>
    <w:rsid w:val="10A32505"/>
    <w:rsid w:val="121C0C7C"/>
    <w:rsid w:val="12723F3D"/>
    <w:rsid w:val="13AB4D31"/>
    <w:rsid w:val="14942D01"/>
    <w:rsid w:val="14AF1479"/>
    <w:rsid w:val="15393438"/>
    <w:rsid w:val="15EC2259"/>
    <w:rsid w:val="15F614BF"/>
    <w:rsid w:val="179B5B78"/>
    <w:rsid w:val="17FB6783"/>
    <w:rsid w:val="186200E4"/>
    <w:rsid w:val="1B8227E1"/>
    <w:rsid w:val="1BF33406"/>
    <w:rsid w:val="1C710E65"/>
    <w:rsid w:val="1C77782B"/>
    <w:rsid w:val="1DF148B0"/>
    <w:rsid w:val="1E147604"/>
    <w:rsid w:val="202F23A1"/>
    <w:rsid w:val="216E01AB"/>
    <w:rsid w:val="21840C55"/>
    <w:rsid w:val="22B81530"/>
    <w:rsid w:val="22FD3CF7"/>
    <w:rsid w:val="240115C5"/>
    <w:rsid w:val="261C1726"/>
    <w:rsid w:val="28546F8E"/>
    <w:rsid w:val="29A7621B"/>
    <w:rsid w:val="29C64ABB"/>
    <w:rsid w:val="2A3E7F1C"/>
    <w:rsid w:val="2A7D5DCF"/>
    <w:rsid w:val="2C781ABD"/>
    <w:rsid w:val="2D167E89"/>
    <w:rsid w:val="2D3B5B48"/>
    <w:rsid w:val="2DE009C9"/>
    <w:rsid w:val="2E86131B"/>
    <w:rsid w:val="2FE17833"/>
    <w:rsid w:val="32C571C4"/>
    <w:rsid w:val="33DC0F59"/>
    <w:rsid w:val="344C450F"/>
    <w:rsid w:val="34910AF8"/>
    <w:rsid w:val="35492DCC"/>
    <w:rsid w:val="36427F26"/>
    <w:rsid w:val="3C5E0F0B"/>
    <w:rsid w:val="3CAA28BB"/>
    <w:rsid w:val="3D937340"/>
    <w:rsid w:val="3DBC3DE5"/>
    <w:rsid w:val="3E404073"/>
    <w:rsid w:val="41BF13DE"/>
    <w:rsid w:val="429232A0"/>
    <w:rsid w:val="42925C9E"/>
    <w:rsid w:val="43F81C45"/>
    <w:rsid w:val="4452279A"/>
    <w:rsid w:val="44ED76B2"/>
    <w:rsid w:val="45937381"/>
    <w:rsid w:val="47D61FDB"/>
    <w:rsid w:val="481C404D"/>
    <w:rsid w:val="48654534"/>
    <w:rsid w:val="487F42AC"/>
    <w:rsid w:val="490A51FC"/>
    <w:rsid w:val="490D2666"/>
    <w:rsid w:val="4C453E95"/>
    <w:rsid w:val="4C5455FE"/>
    <w:rsid w:val="4DC37C92"/>
    <w:rsid w:val="4E2B2C17"/>
    <w:rsid w:val="4E994E01"/>
    <w:rsid w:val="501114BE"/>
    <w:rsid w:val="50BE7D72"/>
    <w:rsid w:val="515D3183"/>
    <w:rsid w:val="51BF3DA2"/>
    <w:rsid w:val="52AE0B49"/>
    <w:rsid w:val="537C4B8F"/>
    <w:rsid w:val="543E7B45"/>
    <w:rsid w:val="548206FA"/>
    <w:rsid w:val="54A31CFA"/>
    <w:rsid w:val="54AF45A2"/>
    <w:rsid w:val="56E8288D"/>
    <w:rsid w:val="57CD09D8"/>
    <w:rsid w:val="58A36E8E"/>
    <w:rsid w:val="590E244C"/>
    <w:rsid w:val="5AAE34D4"/>
    <w:rsid w:val="5B301429"/>
    <w:rsid w:val="5C2D1EBE"/>
    <w:rsid w:val="5CC02E4B"/>
    <w:rsid w:val="5D277C85"/>
    <w:rsid w:val="5E7C31CE"/>
    <w:rsid w:val="5F1D690F"/>
    <w:rsid w:val="5FD26F64"/>
    <w:rsid w:val="60DA2D48"/>
    <w:rsid w:val="610F4F95"/>
    <w:rsid w:val="611B6A40"/>
    <w:rsid w:val="615F46DE"/>
    <w:rsid w:val="62480FEF"/>
    <w:rsid w:val="628D3A49"/>
    <w:rsid w:val="633405FD"/>
    <w:rsid w:val="657B72F6"/>
    <w:rsid w:val="669E6AFC"/>
    <w:rsid w:val="66A86418"/>
    <w:rsid w:val="677B2CFF"/>
    <w:rsid w:val="68D15C90"/>
    <w:rsid w:val="69E16412"/>
    <w:rsid w:val="6C592D9D"/>
    <w:rsid w:val="6CAA15AD"/>
    <w:rsid w:val="6D0D4104"/>
    <w:rsid w:val="6E02353D"/>
    <w:rsid w:val="6E5F5B43"/>
    <w:rsid w:val="6F5B73A8"/>
    <w:rsid w:val="70AE3B8E"/>
    <w:rsid w:val="72911441"/>
    <w:rsid w:val="73357F10"/>
    <w:rsid w:val="75120509"/>
    <w:rsid w:val="78882890"/>
    <w:rsid w:val="78FE4234"/>
    <w:rsid w:val="79174E5B"/>
    <w:rsid w:val="79A34E3D"/>
    <w:rsid w:val="7A3859C3"/>
    <w:rsid w:val="7A9B2D4F"/>
    <w:rsid w:val="7B93399C"/>
    <w:rsid w:val="7BFD4234"/>
    <w:rsid w:val="7C653614"/>
    <w:rsid w:val="7D007D34"/>
    <w:rsid w:val="7D796C4C"/>
    <w:rsid w:val="7F562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nhideWhenUsed="0" w:uiPriority="9" w:semiHidden="0" w:name="heading 4"/>
    <w:lsdException w:qFormat="1" w:unhideWhenUsed="0"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92"/>
    <w:qFormat/>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93"/>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77"/>
    <w:unhideWhenUsed/>
    <w:qFormat/>
    <w:uiPriority w:val="9"/>
    <w:pPr>
      <w:keepNext/>
      <w:keepLines/>
      <w:spacing w:before="260" w:after="260" w:line="416" w:lineRule="auto"/>
      <w:outlineLvl w:val="2"/>
    </w:pPr>
    <w:rPr>
      <w:b/>
      <w:bCs/>
      <w:sz w:val="32"/>
      <w:szCs w:val="32"/>
    </w:rPr>
  </w:style>
  <w:style w:type="paragraph" w:styleId="5">
    <w:name w:val="heading 4"/>
    <w:next w:val="6"/>
    <w:link w:val="83"/>
    <w:qFormat/>
    <w:uiPriority w:val="9"/>
    <w:pPr>
      <w:keepNext/>
      <w:keepLines/>
      <w:spacing w:after="50" w:afterLines="50" w:line="360" w:lineRule="auto"/>
      <w:ind w:left="864" w:hanging="864"/>
      <w:outlineLvl w:val="3"/>
    </w:pPr>
    <w:rPr>
      <w:rFonts w:ascii="Times New Roman" w:hAnsi="Times New Roman" w:eastAsia="宋体" w:cs="Times New Roman"/>
      <w:b/>
      <w:bCs/>
      <w:kern w:val="2"/>
      <w:sz w:val="24"/>
      <w:szCs w:val="28"/>
      <w:lang w:val="en-US" w:eastAsia="zh-CN" w:bidi="ar-SA"/>
    </w:rPr>
  </w:style>
  <w:style w:type="paragraph" w:styleId="7">
    <w:name w:val="heading 5"/>
    <w:basedOn w:val="1"/>
    <w:next w:val="1"/>
    <w:link w:val="84"/>
    <w:qFormat/>
    <w:uiPriority w:val="9"/>
    <w:pPr>
      <w:keepNext/>
      <w:keepLines/>
      <w:spacing w:before="280" w:after="290" w:line="376" w:lineRule="auto"/>
      <w:ind w:left="1008" w:hanging="1008"/>
      <w:outlineLvl w:val="4"/>
    </w:pPr>
    <w:rPr>
      <w:rFonts w:ascii="Calibri" w:hAnsi="Calibri"/>
      <w:b/>
      <w:bCs/>
      <w:sz w:val="28"/>
      <w:szCs w:val="28"/>
    </w:rPr>
  </w:style>
  <w:style w:type="paragraph" w:styleId="8">
    <w:name w:val="heading 6"/>
    <w:basedOn w:val="1"/>
    <w:next w:val="1"/>
    <w:link w:val="85"/>
    <w:unhideWhenUsed/>
    <w:qFormat/>
    <w:uiPriority w:val="9"/>
    <w:pPr>
      <w:keepNext/>
      <w:keepLines/>
      <w:spacing w:before="240" w:after="64" w:line="320" w:lineRule="auto"/>
      <w:ind w:left="1152" w:hanging="1152"/>
      <w:outlineLvl w:val="5"/>
    </w:pPr>
    <w:rPr>
      <w:rFonts w:ascii="Cambria" w:hAnsi="Cambria"/>
      <w:b/>
      <w:bCs/>
    </w:rPr>
  </w:style>
  <w:style w:type="paragraph" w:styleId="9">
    <w:name w:val="heading 7"/>
    <w:basedOn w:val="1"/>
    <w:next w:val="1"/>
    <w:link w:val="86"/>
    <w:unhideWhenUsed/>
    <w:qFormat/>
    <w:uiPriority w:val="9"/>
    <w:pPr>
      <w:keepNext/>
      <w:keepLines/>
      <w:spacing w:before="240" w:after="64" w:line="320" w:lineRule="auto"/>
      <w:ind w:left="1296" w:hanging="1296"/>
      <w:outlineLvl w:val="6"/>
    </w:pPr>
    <w:rPr>
      <w:rFonts w:ascii="Calibri" w:hAnsi="Calibri"/>
      <w:b/>
      <w:bCs/>
    </w:rPr>
  </w:style>
  <w:style w:type="paragraph" w:styleId="10">
    <w:name w:val="heading 8"/>
    <w:basedOn w:val="1"/>
    <w:next w:val="1"/>
    <w:link w:val="87"/>
    <w:unhideWhenUsed/>
    <w:qFormat/>
    <w:uiPriority w:val="9"/>
    <w:pPr>
      <w:keepNext/>
      <w:keepLines/>
      <w:spacing w:before="240" w:after="64" w:line="320" w:lineRule="auto"/>
      <w:ind w:left="1440" w:hanging="1440"/>
      <w:outlineLvl w:val="7"/>
    </w:pPr>
    <w:rPr>
      <w:rFonts w:ascii="Cambria" w:hAnsi="Cambria"/>
    </w:rPr>
  </w:style>
  <w:style w:type="paragraph" w:styleId="11">
    <w:name w:val="heading 9"/>
    <w:basedOn w:val="1"/>
    <w:next w:val="1"/>
    <w:link w:val="88"/>
    <w:unhideWhenUsed/>
    <w:qFormat/>
    <w:uiPriority w:val="9"/>
    <w:pPr>
      <w:keepNext/>
      <w:keepLines/>
      <w:spacing w:before="240" w:after="64" w:line="320" w:lineRule="auto"/>
      <w:ind w:left="1584" w:hanging="1584"/>
      <w:outlineLvl w:val="8"/>
    </w:pPr>
    <w:rPr>
      <w:rFonts w:ascii="Cambria" w:hAnsi="Cambria"/>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customStyle="1" w:styleId="6">
    <w:name w:val="报告正文"/>
    <w:link w:val="78"/>
    <w:qFormat/>
    <w:uiPriority w:val="1"/>
    <w:pPr>
      <w:spacing w:line="360" w:lineRule="auto"/>
      <w:ind w:firstLine="200" w:firstLineChars="200"/>
      <w:jc w:val="both"/>
    </w:pPr>
    <w:rPr>
      <w:rFonts w:ascii="Times New Roman" w:hAnsi="Times New Roman" w:eastAsia="宋体" w:cs="Times New Roman"/>
      <w:sz w:val="24"/>
      <w:szCs w:val="22"/>
      <w:lang w:val="en-US" w:eastAsia="zh-CN" w:bidi="ar-SA"/>
    </w:rPr>
  </w:style>
  <w:style w:type="paragraph" w:styleId="12">
    <w:name w:val="List 3"/>
    <w:basedOn w:val="1"/>
    <w:next w:val="1"/>
    <w:qFormat/>
    <w:uiPriority w:val="0"/>
    <w:pPr>
      <w:ind w:left="100" w:leftChars="400" w:hanging="200" w:hangingChars="200"/>
    </w:pPr>
    <w:rPr>
      <w:szCs w:val="24"/>
    </w:rPr>
  </w:style>
  <w:style w:type="paragraph" w:styleId="13">
    <w:name w:val="Normal Indent"/>
    <w:basedOn w:val="1"/>
    <w:next w:val="1"/>
    <w:qFormat/>
    <w:uiPriority w:val="0"/>
    <w:pPr>
      <w:ind w:firstLine="420"/>
    </w:pPr>
    <w:rPr>
      <w:sz w:val="28"/>
    </w:rPr>
  </w:style>
  <w:style w:type="paragraph" w:styleId="14">
    <w:name w:val="caption"/>
    <w:basedOn w:val="1"/>
    <w:next w:val="1"/>
    <w:link w:val="76"/>
    <w:qFormat/>
    <w:uiPriority w:val="0"/>
    <w:pPr>
      <w:keepNext/>
      <w:spacing w:before="156" w:beforeLines="50" w:after="156" w:afterLines="50"/>
      <w:jc w:val="center"/>
    </w:pPr>
    <w:rPr>
      <w:rFonts w:eastAsia="黑体" w:cs="宋体"/>
      <w:sz w:val="24"/>
      <w:szCs w:val="24"/>
      <w:lang w:val="zh-CN"/>
    </w:rPr>
  </w:style>
  <w:style w:type="paragraph" w:styleId="15">
    <w:name w:val="annotation text"/>
    <w:basedOn w:val="1"/>
    <w:link w:val="71"/>
    <w:unhideWhenUsed/>
    <w:qFormat/>
    <w:uiPriority w:val="99"/>
    <w:pPr>
      <w:jc w:val="left"/>
    </w:pPr>
    <w:rPr>
      <w:szCs w:val="24"/>
    </w:rPr>
  </w:style>
  <w:style w:type="paragraph" w:styleId="16">
    <w:name w:val="Body Text"/>
    <w:basedOn w:val="1"/>
    <w:next w:val="17"/>
    <w:link w:val="68"/>
    <w:qFormat/>
    <w:uiPriority w:val="0"/>
    <w:pPr>
      <w:widowControl/>
      <w:snapToGrid w:val="0"/>
      <w:spacing w:before="60" w:after="160" w:line="259" w:lineRule="auto"/>
      <w:ind w:right="113"/>
    </w:pPr>
    <w:rPr>
      <w:kern w:val="0"/>
      <w:sz w:val="18"/>
      <w:szCs w:val="20"/>
    </w:rPr>
  </w:style>
  <w:style w:type="paragraph" w:styleId="17">
    <w:name w:val="Body Text First Indent 2"/>
    <w:basedOn w:val="18"/>
    <w:next w:val="20"/>
    <w:link w:val="67"/>
    <w:qFormat/>
    <w:uiPriority w:val="0"/>
    <w:pPr>
      <w:ind w:firstLine="420" w:firstLineChars="200"/>
    </w:pPr>
    <w:rPr>
      <w:sz w:val="21"/>
    </w:rPr>
  </w:style>
  <w:style w:type="paragraph" w:styleId="18">
    <w:name w:val="Body Text Indent"/>
    <w:basedOn w:val="1"/>
    <w:next w:val="19"/>
    <w:link w:val="66"/>
    <w:qFormat/>
    <w:uiPriority w:val="99"/>
    <w:pPr>
      <w:spacing w:after="120"/>
      <w:ind w:left="420" w:leftChars="200"/>
    </w:pPr>
    <w:rPr>
      <w:kern w:val="0"/>
      <w:sz w:val="24"/>
      <w:szCs w:val="20"/>
    </w:rPr>
  </w:style>
  <w:style w:type="paragraph" w:styleId="19">
    <w:name w:val="Body Text Indent 2"/>
    <w:basedOn w:val="1"/>
    <w:next w:val="1"/>
    <w:qFormat/>
    <w:uiPriority w:val="0"/>
    <w:pPr>
      <w:widowControl/>
      <w:ind w:firstLine="430"/>
      <w:jc w:val="left"/>
    </w:pPr>
    <w:rPr>
      <w:kern w:val="0"/>
      <w:sz w:val="24"/>
      <w:szCs w:val="20"/>
    </w:rPr>
  </w:style>
  <w:style w:type="paragraph" w:styleId="20">
    <w:name w:val="Body Text First Indent"/>
    <w:basedOn w:val="16"/>
    <w:next w:val="21"/>
    <w:link w:val="69"/>
    <w:unhideWhenUsed/>
    <w:qFormat/>
    <w:uiPriority w:val="99"/>
    <w:pPr>
      <w:ind w:firstLine="420" w:firstLineChars="100"/>
    </w:pPr>
  </w:style>
  <w:style w:type="paragraph" w:customStyle="1" w:styleId="21">
    <w:name w:val="样式 正文首行缩进 + 首行缩进:  2 字符1"/>
    <w:basedOn w:val="20"/>
    <w:next w:val="22"/>
    <w:qFormat/>
    <w:uiPriority w:val="0"/>
    <w:pPr>
      <w:spacing w:after="0" w:line="360" w:lineRule="auto"/>
      <w:ind w:firstLine="480" w:firstLineChars="200"/>
    </w:pPr>
    <w:rPr>
      <w:sz w:val="24"/>
    </w:rPr>
  </w:style>
  <w:style w:type="paragraph" w:styleId="22">
    <w:name w:val="toc 1"/>
    <w:basedOn w:val="1"/>
    <w:next w:val="1"/>
    <w:qFormat/>
    <w:uiPriority w:val="39"/>
  </w:style>
  <w:style w:type="paragraph" w:styleId="23">
    <w:name w:val="Block Text"/>
    <w:basedOn w:val="1"/>
    <w:unhideWhenUsed/>
    <w:qFormat/>
    <w:uiPriority w:val="99"/>
    <w:pPr>
      <w:spacing w:after="120"/>
      <w:ind w:left="1440" w:leftChars="700" w:right="700" w:rightChars="700"/>
    </w:pPr>
  </w:style>
  <w:style w:type="paragraph" w:styleId="24">
    <w:name w:val="toc 5"/>
    <w:basedOn w:val="1"/>
    <w:next w:val="1"/>
    <w:qFormat/>
    <w:uiPriority w:val="0"/>
    <w:pPr>
      <w:ind w:left="1680" w:leftChars="800"/>
    </w:pPr>
  </w:style>
  <w:style w:type="paragraph" w:styleId="25">
    <w:name w:val="Plain Text"/>
    <w:basedOn w:val="1"/>
    <w:next w:val="1"/>
    <w:link w:val="75"/>
    <w:qFormat/>
    <w:uiPriority w:val="0"/>
    <w:rPr>
      <w:rFonts w:ascii="宋体" w:hAnsi="Courier New" w:cs="Courier New"/>
    </w:rPr>
  </w:style>
  <w:style w:type="paragraph" w:styleId="26">
    <w:name w:val="Date"/>
    <w:basedOn w:val="1"/>
    <w:next w:val="1"/>
    <w:link w:val="89"/>
    <w:unhideWhenUsed/>
    <w:qFormat/>
    <w:uiPriority w:val="99"/>
    <w:pPr>
      <w:ind w:left="100" w:leftChars="2500"/>
    </w:pPr>
    <w:rPr>
      <w:rFonts w:ascii="Calibri" w:hAnsi="Calibri"/>
    </w:rPr>
  </w:style>
  <w:style w:type="paragraph" w:styleId="27">
    <w:name w:val="Balloon Text"/>
    <w:basedOn w:val="1"/>
    <w:link w:val="90"/>
    <w:unhideWhenUsed/>
    <w:qFormat/>
    <w:uiPriority w:val="99"/>
    <w:rPr>
      <w:rFonts w:ascii="Calibri" w:hAnsi="Calibri"/>
      <w:sz w:val="18"/>
      <w:szCs w:val="18"/>
    </w:rPr>
  </w:style>
  <w:style w:type="paragraph" w:styleId="28">
    <w:name w:val="footer"/>
    <w:basedOn w:val="1"/>
    <w:link w:val="62"/>
    <w:qFormat/>
    <w:uiPriority w:val="99"/>
    <w:pPr>
      <w:tabs>
        <w:tab w:val="center" w:pos="4153"/>
        <w:tab w:val="right" w:pos="8306"/>
      </w:tabs>
      <w:snapToGrid w:val="0"/>
      <w:jc w:val="left"/>
    </w:pPr>
    <w:rPr>
      <w:sz w:val="18"/>
    </w:rPr>
  </w:style>
  <w:style w:type="paragraph" w:styleId="29">
    <w:name w:val="header"/>
    <w:basedOn w:val="1"/>
    <w:link w:val="95"/>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Body Text Indent 3"/>
    <w:basedOn w:val="1"/>
    <w:qFormat/>
    <w:uiPriority w:val="0"/>
    <w:pPr>
      <w:spacing w:line="360" w:lineRule="auto"/>
      <w:ind w:firstLine="567"/>
    </w:pPr>
    <w:rPr>
      <w:sz w:val="24"/>
      <w:szCs w:val="20"/>
    </w:rPr>
  </w:style>
  <w:style w:type="paragraph" w:styleId="31">
    <w:name w:val="toc 2"/>
    <w:basedOn w:val="1"/>
    <w:next w:val="1"/>
    <w:unhideWhenUsed/>
    <w:qFormat/>
    <w:uiPriority w:val="39"/>
    <w:pPr>
      <w:spacing w:line="360" w:lineRule="auto"/>
      <w:ind w:left="420" w:leftChars="200" w:firstLine="200" w:firstLineChars="200"/>
    </w:pPr>
    <w:rPr>
      <w:sz w:val="24"/>
      <w:szCs w:val="22"/>
    </w:rPr>
  </w:style>
  <w:style w:type="paragraph" w:styleId="32">
    <w:name w:val="Normal (Web)"/>
    <w:basedOn w:val="1"/>
    <w:link w:val="64"/>
    <w:unhideWhenUsed/>
    <w:qFormat/>
    <w:uiPriority w:val="99"/>
    <w:pPr>
      <w:widowControl/>
      <w:spacing w:before="100" w:beforeAutospacing="1" w:after="100" w:afterAutospacing="1"/>
      <w:jc w:val="left"/>
    </w:pPr>
    <w:rPr>
      <w:rFonts w:ascii="宋体" w:hAnsi="宋体" w:cs="宋体"/>
      <w:kern w:val="0"/>
      <w:sz w:val="24"/>
      <w:szCs w:val="24"/>
    </w:rPr>
  </w:style>
  <w:style w:type="paragraph" w:styleId="33">
    <w:name w:val="Title"/>
    <w:basedOn w:val="1"/>
    <w:next w:val="1"/>
    <w:link w:val="91"/>
    <w:qFormat/>
    <w:uiPriority w:val="10"/>
    <w:pPr>
      <w:adjustRightInd w:val="0"/>
      <w:snapToGrid w:val="0"/>
      <w:spacing w:before="240" w:after="60" w:line="360" w:lineRule="auto"/>
      <w:ind w:firstLine="200" w:firstLineChars="200"/>
      <w:jc w:val="center"/>
      <w:outlineLvl w:val="0"/>
    </w:pPr>
    <w:rPr>
      <w:rFonts w:ascii="Cambria" w:hAnsi="Cambria"/>
      <w:b/>
      <w:bCs/>
      <w:sz w:val="32"/>
      <w:szCs w:val="32"/>
    </w:rPr>
  </w:style>
  <w:style w:type="paragraph" w:styleId="34">
    <w:name w:val="annotation subject"/>
    <w:basedOn w:val="15"/>
    <w:next w:val="15"/>
    <w:link w:val="72"/>
    <w:qFormat/>
    <w:uiPriority w:val="99"/>
    <w:rPr>
      <w:b/>
      <w:bCs/>
      <w:szCs w:val="21"/>
    </w:rPr>
  </w:style>
  <w:style w:type="table" w:styleId="36">
    <w:name w:val="Table Grid"/>
    <w:basedOn w:val="3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page number"/>
    <w:basedOn w:val="37"/>
    <w:qFormat/>
    <w:uiPriority w:val="0"/>
  </w:style>
  <w:style w:type="character" w:styleId="39">
    <w:name w:val="FollowedHyperlink"/>
    <w:unhideWhenUsed/>
    <w:qFormat/>
    <w:uiPriority w:val="99"/>
    <w:rPr>
      <w:color w:val="800080"/>
      <w:u w:val="single"/>
    </w:rPr>
  </w:style>
  <w:style w:type="character" w:styleId="40">
    <w:name w:val="Hyperlink"/>
    <w:basedOn w:val="37"/>
    <w:qFormat/>
    <w:uiPriority w:val="99"/>
    <w:rPr>
      <w:color w:val="0026E5" w:themeColor="hyperlink"/>
      <w:u w:val="single"/>
      <w14:textFill>
        <w14:solidFill>
          <w14:schemeClr w14:val="hlink"/>
        </w14:solidFill>
      </w14:textFill>
    </w:rPr>
  </w:style>
  <w:style w:type="character" w:styleId="41">
    <w:name w:val="annotation reference"/>
    <w:basedOn w:val="37"/>
    <w:qFormat/>
    <w:uiPriority w:val="99"/>
    <w:rPr>
      <w:sz w:val="21"/>
      <w:szCs w:val="21"/>
    </w:rPr>
  </w:style>
  <w:style w:type="paragraph" w:customStyle="1" w:styleId="42">
    <w:name w:val="Default"/>
    <w:basedOn w:val="43"/>
    <w:next w:val="12"/>
    <w:link w:val="156"/>
    <w:unhideWhenUsed/>
    <w:qFormat/>
    <w:uiPriority w:val="0"/>
    <w:pPr>
      <w:autoSpaceDE w:val="0"/>
      <w:autoSpaceDN w:val="0"/>
      <w:adjustRightInd w:val="0"/>
    </w:pPr>
    <w:rPr>
      <w:rFonts w:hint="eastAsia" w:hAnsi="宋体"/>
      <w:color w:val="000000"/>
    </w:rPr>
  </w:style>
  <w:style w:type="paragraph" w:customStyle="1" w:styleId="43">
    <w:name w:val="纯文本1"/>
    <w:basedOn w:val="1"/>
    <w:next w:val="25"/>
    <w:qFormat/>
    <w:uiPriority w:val="0"/>
    <w:rPr>
      <w:rFonts w:ascii="宋体" w:hAnsi="Courier New"/>
      <w:b/>
      <w:sz w:val="24"/>
    </w:rPr>
  </w:style>
  <w:style w:type="paragraph" w:customStyle="1" w:styleId="44">
    <w:name w:val="环评表格标题"/>
    <w:basedOn w:val="1"/>
    <w:autoRedefine/>
    <w:qFormat/>
    <w:uiPriority w:val="0"/>
    <w:pPr>
      <w:tabs>
        <w:tab w:val="left" w:pos="0"/>
        <w:tab w:val="left" w:pos="210"/>
      </w:tabs>
      <w:adjustRightInd w:val="0"/>
      <w:jc w:val="center"/>
    </w:pPr>
    <w:rPr>
      <w:bCs/>
    </w:rPr>
  </w:style>
  <w:style w:type="paragraph" w:customStyle="1" w:styleId="45">
    <w:name w:val="正文 首行缩进:  2 字符"/>
    <w:basedOn w:val="1"/>
    <w:qFormat/>
    <w:uiPriority w:val="0"/>
    <w:pPr>
      <w:suppressAutoHyphens/>
      <w:ind w:firstLine="579" w:firstLineChars="200"/>
    </w:pPr>
    <w:rPr>
      <w:rFonts w:cs="宋体"/>
      <w:kern w:val="1"/>
      <w:lang w:eastAsia="ar-SA"/>
    </w:rPr>
  </w:style>
  <w:style w:type="paragraph" w:customStyle="1" w:styleId="46">
    <w:name w:val="报告表  段"/>
    <w:basedOn w:val="1"/>
    <w:qFormat/>
    <w:uiPriority w:val="0"/>
    <w:pPr>
      <w:adjustRightInd w:val="0"/>
      <w:spacing w:line="360" w:lineRule="auto"/>
      <w:ind w:firstLine="505"/>
      <w:textAlignment w:val="baseline"/>
    </w:pPr>
    <w:rPr>
      <w:rFonts w:ascii="宋体" w:cs="宋体"/>
      <w:bCs/>
      <w:sz w:val="24"/>
    </w:rPr>
  </w:style>
  <w:style w:type="paragraph" w:customStyle="1" w:styleId="47">
    <w:name w:val="表格格式"/>
    <w:basedOn w:val="48"/>
    <w:link w:val="81"/>
    <w:qFormat/>
    <w:uiPriority w:val="0"/>
    <w:pPr>
      <w:jc w:val="both"/>
    </w:pPr>
    <w:rPr>
      <w:b w:val="0"/>
      <w:sz w:val="24"/>
    </w:rPr>
  </w:style>
  <w:style w:type="paragraph" w:customStyle="1" w:styleId="48">
    <w:name w:val="表格标题"/>
    <w:basedOn w:val="49"/>
    <w:next w:val="1"/>
    <w:autoRedefine/>
    <w:qFormat/>
    <w:uiPriority w:val="0"/>
    <w:rPr>
      <w:b/>
      <w:kern w:val="2"/>
      <w:szCs w:val="24"/>
    </w:rPr>
  </w:style>
  <w:style w:type="paragraph" w:customStyle="1" w:styleId="49">
    <w:name w:val="表格000"/>
    <w:qFormat/>
    <w:uiPriority w:val="0"/>
    <w:pPr>
      <w:widowControl w:val="0"/>
      <w:jc w:val="center"/>
    </w:pPr>
    <w:rPr>
      <w:rFonts w:ascii="Times New Roman" w:hAnsi="Times New Roman" w:eastAsia="宋体" w:cs="Times New Roman"/>
      <w:kern w:val="11"/>
      <w:sz w:val="21"/>
      <w:szCs w:val="21"/>
      <w:lang w:val="en-US" w:eastAsia="zh-CN" w:bidi="ar-SA"/>
    </w:rPr>
  </w:style>
  <w:style w:type="paragraph" w:customStyle="1" w:styleId="50">
    <w:name w:val="表格"/>
    <w:basedOn w:val="1"/>
    <w:next w:val="1"/>
    <w:qFormat/>
    <w:uiPriority w:val="0"/>
    <w:pPr>
      <w:spacing w:line="20" w:lineRule="atLeast"/>
      <w:jc w:val="center"/>
    </w:pPr>
    <w:rPr>
      <w:szCs w:val="24"/>
    </w:rPr>
  </w:style>
  <w:style w:type="paragraph" w:customStyle="1" w:styleId="51">
    <w:name w:val="08表格"/>
    <w:basedOn w:val="1"/>
    <w:qFormat/>
    <w:uiPriority w:val="0"/>
    <w:pPr>
      <w:adjustRightInd w:val="0"/>
      <w:snapToGrid w:val="0"/>
      <w:jc w:val="center"/>
    </w:pPr>
  </w:style>
  <w:style w:type="paragraph" w:customStyle="1" w:styleId="52">
    <w:name w:val="正文_3"/>
    <w:autoRedefine/>
    <w:qFormat/>
    <w:uiPriority w:val="0"/>
    <w:pPr>
      <w:widowControl w:val="0"/>
      <w:jc w:val="both"/>
    </w:pPr>
    <w:rPr>
      <w:rFonts w:ascii="Calibri" w:hAnsi="Calibri" w:eastAsia="宋体" w:cs="Times New Roman"/>
      <w:kern w:val="2"/>
      <w:sz w:val="21"/>
      <w:lang w:val="en-US" w:eastAsia="zh-CN" w:bidi="ar-SA"/>
    </w:rPr>
  </w:style>
  <w:style w:type="paragraph" w:customStyle="1" w:styleId="53">
    <w:name w:val="表格正文"/>
    <w:basedOn w:val="1"/>
    <w:qFormat/>
    <w:uiPriority w:val="0"/>
    <w:pPr>
      <w:jc w:val="center"/>
    </w:pPr>
  </w:style>
  <w:style w:type="paragraph" w:customStyle="1" w:styleId="54">
    <w:name w:val="表三级标题"/>
    <w:basedOn w:val="1"/>
    <w:qFormat/>
    <w:uiPriority w:val="0"/>
    <w:pPr>
      <w:tabs>
        <w:tab w:val="left" w:pos="2940"/>
      </w:tabs>
      <w:adjustRightInd w:val="0"/>
      <w:snapToGrid w:val="0"/>
      <w:spacing w:line="360" w:lineRule="auto"/>
      <w:ind w:firstLine="482" w:firstLineChars="200"/>
    </w:pPr>
    <w:rPr>
      <w:b/>
      <w:bCs/>
      <w:sz w:val="24"/>
      <w:szCs w:val="24"/>
    </w:rPr>
  </w:style>
  <w:style w:type="character" w:customStyle="1" w:styleId="55">
    <w:name w:val="15"/>
    <w:autoRedefine/>
    <w:qFormat/>
    <w:uiPriority w:val="0"/>
    <w:rPr>
      <w:rFonts w:hint="default" w:ascii="Times New Roman" w:hAnsi="Times New Roman" w:cs="Times New Roman"/>
      <w:color w:val="0000FF"/>
      <w:u w:val="single"/>
    </w:rPr>
  </w:style>
  <w:style w:type="character" w:customStyle="1" w:styleId="56">
    <w:name w:val="16"/>
    <w:basedOn w:val="37"/>
    <w:autoRedefine/>
    <w:qFormat/>
    <w:uiPriority w:val="0"/>
    <w:rPr>
      <w:rFonts w:hint="default" w:ascii="Courier New" w:hAnsi="Courier New" w:cs="Courier New"/>
      <w:color w:val="CC0000"/>
      <w:sz w:val="24"/>
      <w:szCs w:val="24"/>
    </w:rPr>
  </w:style>
  <w:style w:type="paragraph" w:customStyle="1" w:styleId="57">
    <w:name w:val="正文1"/>
    <w:autoRedefine/>
    <w:qFormat/>
    <w:uiPriority w:val="0"/>
    <w:pPr>
      <w:jc w:val="both"/>
    </w:pPr>
    <w:rPr>
      <w:rFonts w:ascii="Times New Roman" w:hAnsi="Times New Roman" w:eastAsia="宋体" w:cs="Times New Roman"/>
      <w:kern w:val="2"/>
      <w:sz w:val="21"/>
      <w:szCs w:val="21"/>
      <w:lang w:val="en-US" w:eastAsia="zh-CN" w:bidi="ar-SA"/>
    </w:rPr>
  </w:style>
  <w:style w:type="character" w:customStyle="1" w:styleId="58">
    <w:name w:val="17"/>
    <w:basedOn w:val="37"/>
    <w:autoRedefine/>
    <w:qFormat/>
    <w:uiPriority w:val="0"/>
    <w:rPr>
      <w:rFonts w:hint="eastAsia" w:ascii="宋体" w:hAnsi="宋体" w:eastAsia="宋体"/>
      <w:b/>
      <w:bCs/>
      <w:color w:val="000000"/>
      <w:sz w:val="21"/>
      <w:szCs w:val="21"/>
    </w:rPr>
  </w:style>
  <w:style w:type="paragraph" w:customStyle="1" w:styleId="59">
    <w:name w:val="表格内容jophy"/>
    <w:basedOn w:val="1"/>
    <w:autoRedefine/>
    <w:qFormat/>
    <w:uiPriority w:val="0"/>
    <w:pPr>
      <w:snapToGrid w:val="0"/>
      <w:jc w:val="center"/>
    </w:pPr>
    <w:rPr>
      <w:szCs w:val="18"/>
    </w:rPr>
  </w:style>
  <w:style w:type="paragraph" w:customStyle="1" w:styleId="60">
    <w:name w:val="报告表正文"/>
    <w:basedOn w:val="1"/>
    <w:autoRedefine/>
    <w:qFormat/>
    <w:uiPriority w:val="0"/>
    <w:pPr>
      <w:adjustRightInd w:val="0"/>
      <w:jc w:val="center"/>
      <w:textAlignment w:val="baseline"/>
    </w:pPr>
    <w:rPr>
      <w:kern w:val="0"/>
      <w:szCs w:val="20"/>
    </w:rPr>
  </w:style>
  <w:style w:type="paragraph" w:customStyle="1" w:styleId="61">
    <w:name w:val="1项目名称"/>
    <w:qFormat/>
    <w:uiPriority w:val="0"/>
    <w:pPr>
      <w:spacing w:line="360" w:lineRule="auto"/>
      <w:ind w:left="434" w:hanging="434" w:hangingChars="434"/>
      <w:jc w:val="both"/>
    </w:pPr>
    <w:rPr>
      <w:rFonts w:ascii="Times New Roman" w:hAnsi="Times New Roman" w:eastAsia="宋体" w:cs="Times New Roman"/>
      <w:b/>
      <w:sz w:val="32"/>
      <w:szCs w:val="24"/>
      <w:lang w:val="en-US" w:eastAsia="zh-CN" w:bidi="ar-SA"/>
    </w:rPr>
  </w:style>
  <w:style w:type="character" w:customStyle="1" w:styleId="62">
    <w:name w:val="页脚 字符"/>
    <w:basedOn w:val="37"/>
    <w:link w:val="28"/>
    <w:qFormat/>
    <w:uiPriority w:val="99"/>
    <w:rPr>
      <w:kern w:val="2"/>
      <w:sz w:val="18"/>
      <w:szCs w:val="21"/>
    </w:rPr>
  </w:style>
  <w:style w:type="character" w:customStyle="1" w:styleId="63">
    <w:name w:val="页脚 字符1"/>
    <w:qFormat/>
    <w:locked/>
    <w:uiPriority w:val="99"/>
    <w:rPr>
      <w:sz w:val="18"/>
    </w:rPr>
  </w:style>
  <w:style w:type="character" w:customStyle="1" w:styleId="64">
    <w:name w:val="普通(网站) 字符"/>
    <w:link w:val="32"/>
    <w:qFormat/>
    <w:locked/>
    <w:uiPriority w:val="99"/>
    <w:rPr>
      <w:rFonts w:ascii="宋体" w:hAnsi="宋体" w:cs="宋体"/>
      <w:sz w:val="24"/>
      <w:szCs w:val="24"/>
    </w:rPr>
  </w:style>
  <w:style w:type="paragraph" w:customStyle="1" w:styleId="65">
    <w:name w:val="msonormal"/>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66">
    <w:name w:val="正文文本缩进 字符"/>
    <w:basedOn w:val="37"/>
    <w:link w:val="18"/>
    <w:qFormat/>
    <w:uiPriority w:val="99"/>
    <w:rPr>
      <w:sz w:val="24"/>
    </w:rPr>
  </w:style>
  <w:style w:type="character" w:customStyle="1" w:styleId="67">
    <w:name w:val="正文文本首行缩进 2 字符"/>
    <w:basedOn w:val="66"/>
    <w:link w:val="17"/>
    <w:qFormat/>
    <w:uiPriority w:val="0"/>
    <w:rPr>
      <w:sz w:val="21"/>
    </w:rPr>
  </w:style>
  <w:style w:type="character" w:customStyle="1" w:styleId="68">
    <w:name w:val="正文文本 字符"/>
    <w:basedOn w:val="37"/>
    <w:link w:val="16"/>
    <w:qFormat/>
    <w:uiPriority w:val="0"/>
    <w:rPr>
      <w:sz w:val="18"/>
    </w:rPr>
  </w:style>
  <w:style w:type="character" w:customStyle="1" w:styleId="69">
    <w:name w:val="正文文本首行缩进 字符"/>
    <w:basedOn w:val="68"/>
    <w:link w:val="20"/>
    <w:qFormat/>
    <w:uiPriority w:val="99"/>
    <w:rPr>
      <w:sz w:val="18"/>
    </w:rPr>
  </w:style>
  <w:style w:type="character" w:customStyle="1" w:styleId="70">
    <w:name w:val="Unresolved Mention"/>
    <w:basedOn w:val="37"/>
    <w:semiHidden/>
    <w:unhideWhenUsed/>
    <w:qFormat/>
    <w:uiPriority w:val="99"/>
    <w:rPr>
      <w:color w:val="605E5C"/>
      <w:shd w:val="clear" w:color="auto" w:fill="E1DFDD"/>
    </w:rPr>
  </w:style>
  <w:style w:type="character" w:customStyle="1" w:styleId="71">
    <w:name w:val="批注文字 字符"/>
    <w:basedOn w:val="37"/>
    <w:link w:val="15"/>
    <w:qFormat/>
    <w:uiPriority w:val="99"/>
    <w:rPr>
      <w:kern w:val="2"/>
      <w:sz w:val="21"/>
      <w:szCs w:val="24"/>
    </w:rPr>
  </w:style>
  <w:style w:type="character" w:customStyle="1" w:styleId="72">
    <w:name w:val="批注主题 字符"/>
    <w:basedOn w:val="71"/>
    <w:link w:val="34"/>
    <w:qFormat/>
    <w:uiPriority w:val="99"/>
    <w:rPr>
      <w:b/>
      <w:bCs/>
      <w:kern w:val="2"/>
      <w:sz w:val="21"/>
      <w:szCs w:val="21"/>
    </w:rPr>
  </w:style>
  <w:style w:type="paragraph" w:styleId="73">
    <w:name w:val="List Paragraph"/>
    <w:basedOn w:val="1"/>
    <w:unhideWhenUsed/>
    <w:qFormat/>
    <w:uiPriority w:val="34"/>
    <w:pPr>
      <w:ind w:firstLine="420" w:firstLineChars="200"/>
    </w:pPr>
  </w:style>
  <w:style w:type="paragraph" w:customStyle="1" w:styleId="74">
    <w:name w:val="Revision"/>
    <w:hidden/>
    <w:unhideWhenUsed/>
    <w:qFormat/>
    <w:uiPriority w:val="99"/>
    <w:rPr>
      <w:rFonts w:ascii="Times New Roman" w:hAnsi="Times New Roman" w:eastAsia="宋体" w:cs="Times New Roman"/>
      <w:kern w:val="2"/>
      <w:sz w:val="21"/>
      <w:szCs w:val="21"/>
      <w:lang w:val="en-US" w:eastAsia="zh-CN" w:bidi="ar-SA"/>
    </w:rPr>
  </w:style>
  <w:style w:type="character" w:customStyle="1" w:styleId="75">
    <w:name w:val="纯文本 字符"/>
    <w:basedOn w:val="37"/>
    <w:link w:val="25"/>
    <w:qFormat/>
    <w:uiPriority w:val="0"/>
    <w:rPr>
      <w:rFonts w:ascii="宋体" w:hAnsi="Courier New" w:cs="Courier New"/>
      <w:kern w:val="2"/>
      <w:sz w:val="21"/>
      <w:szCs w:val="21"/>
    </w:rPr>
  </w:style>
  <w:style w:type="character" w:customStyle="1" w:styleId="76">
    <w:name w:val="题注 字符"/>
    <w:link w:val="14"/>
    <w:qFormat/>
    <w:uiPriority w:val="0"/>
    <w:rPr>
      <w:rFonts w:eastAsia="黑体" w:cs="宋体"/>
      <w:kern w:val="2"/>
      <w:sz w:val="24"/>
      <w:szCs w:val="24"/>
      <w:lang w:val="zh-CN"/>
    </w:rPr>
  </w:style>
  <w:style w:type="character" w:customStyle="1" w:styleId="77">
    <w:name w:val="标题 3 字符"/>
    <w:basedOn w:val="37"/>
    <w:link w:val="4"/>
    <w:qFormat/>
    <w:uiPriority w:val="9"/>
    <w:rPr>
      <w:b/>
      <w:bCs/>
      <w:kern w:val="2"/>
      <w:sz w:val="32"/>
      <w:szCs w:val="32"/>
    </w:rPr>
  </w:style>
  <w:style w:type="character" w:customStyle="1" w:styleId="78">
    <w:name w:val="报告正文 Char Char"/>
    <w:link w:val="6"/>
    <w:qFormat/>
    <w:uiPriority w:val="1"/>
    <w:rPr>
      <w:sz w:val="24"/>
      <w:szCs w:val="22"/>
    </w:rPr>
  </w:style>
  <w:style w:type="paragraph" w:customStyle="1" w:styleId="79">
    <w:name w:val="表格内容"/>
    <w:link w:val="80"/>
    <w:qFormat/>
    <w:uiPriority w:val="0"/>
    <w:pPr>
      <w:jc w:val="center"/>
    </w:pPr>
    <w:rPr>
      <w:rFonts w:ascii="Times New Roman" w:hAnsi="Times New Roman" w:eastAsia="宋体" w:cs="Times New Roman"/>
      <w:kern w:val="2"/>
      <w:sz w:val="21"/>
      <w:szCs w:val="21"/>
      <w:lang w:val="en-US" w:eastAsia="zh-CN" w:bidi="ar-SA"/>
    </w:rPr>
  </w:style>
  <w:style w:type="character" w:customStyle="1" w:styleId="80">
    <w:name w:val="表格内容 Char"/>
    <w:link w:val="79"/>
    <w:qFormat/>
    <w:locked/>
    <w:uiPriority w:val="0"/>
    <w:rPr>
      <w:kern w:val="2"/>
      <w:sz w:val="21"/>
      <w:szCs w:val="21"/>
    </w:rPr>
  </w:style>
  <w:style w:type="character" w:customStyle="1" w:styleId="81">
    <w:name w:val="表格格式 字符"/>
    <w:link w:val="47"/>
    <w:qFormat/>
    <w:uiPriority w:val="0"/>
    <w:rPr>
      <w:kern w:val="2"/>
      <w:sz w:val="24"/>
      <w:szCs w:val="24"/>
    </w:rPr>
  </w:style>
  <w:style w:type="paragraph" w:customStyle="1" w:styleId="82">
    <w:name w:val="正文内容"/>
    <w:basedOn w:val="1"/>
    <w:qFormat/>
    <w:uiPriority w:val="0"/>
    <w:pPr>
      <w:spacing w:line="360" w:lineRule="auto"/>
      <w:ind w:firstLine="200" w:firstLineChars="200"/>
    </w:pPr>
    <w:rPr>
      <w:sz w:val="24"/>
      <w:szCs w:val="24"/>
    </w:rPr>
  </w:style>
  <w:style w:type="character" w:customStyle="1" w:styleId="83">
    <w:name w:val="标题 4 字符"/>
    <w:basedOn w:val="37"/>
    <w:link w:val="5"/>
    <w:qFormat/>
    <w:uiPriority w:val="9"/>
    <w:rPr>
      <w:b/>
      <w:bCs/>
      <w:kern w:val="2"/>
      <w:sz w:val="24"/>
      <w:szCs w:val="28"/>
    </w:rPr>
  </w:style>
  <w:style w:type="character" w:customStyle="1" w:styleId="84">
    <w:name w:val="标题 5 字符"/>
    <w:basedOn w:val="37"/>
    <w:link w:val="7"/>
    <w:qFormat/>
    <w:uiPriority w:val="9"/>
    <w:rPr>
      <w:rFonts w:ascii="Calibri" w:hAnsi="Calibri"/>
      <w:b/>
      <w:bCs/>
      <w:kern w:val="2"/>
      <w:sz w:val="28"/>
      <w:szCs w:val="28"/>
    </w:rPr>
  </w:style>
  <w:style w:type="character" w:customStyle="1" w:styleId="85">
    <w:name w:val="标题 6 字符"/>
    <w:basedOn w:val="37"/>
    <w:link w:val="8"/>
    <w:qFormat/>
    <w:uiPriority w:val="9"/>
    <w:rPr>
      <w:rFonts w:ascii="Cambria" w:hAnsi="Cambria"/>
      <w:b/>
      <w:bCs/>
      <w:kern w:val="2"/>
      <w:sz w:val="21"/>
      <w:szCs w:val="21"/>
    </w:rPr>
  </w:style>
  <w:style w:type="character" w:customStyle="1" w:styleId="86">
    <w:name w:val="标题 7 字符"/>
    <w:basedOn w:val="37"/>
    <w:link w:val="9"/>
    <w:qFormat/>
    <w:uiPriority w:val="9"/>
    <w:rPr>
      <w:rFonts w:ascii="Calibri" w:hAnsi="Calibri"/>
      <w:b/>
      <w:bCs/>
      <w:kern w:val="2"/>
      <w:sz w:val="21"/>
      <w:szCs w:val="21"/>
    </w:rPr>
  </w:style>
  <w:style w:type="character" w:customStyle="1" w:styleId="87">
    <w:name w:val="标题 8 字符"/>
    <w:basedOn w:val="37"/>
    <w:link w:val="10"/>
    <w:qFormat/>
    <w:uiPriority w:val="9"/>
    <w:rPr>
      <w:rFonts w:ascii="Cambria" w:hAnsi="Cambria"/>
      <w:kern w:val="2"/>
      <w:sz w:val="21"/>
      <w:szCs w:val="21"/>
    </w:rPr>
  </w:style>
  <w:style w:type="character" w:customStyle="1" w:styleId="88">
    <w:name w:val="标题 9 字符"/>
    <w:basedOn w:val="37"/>
    <w:link w:val="11"/>
    <w:qFormat/>
    <w:uiPriority w:val="9"/>
    <w:rPr>
      <w:rFonts w:ascii="Cambria" w:hAnsi="Cambria"/>
      <w:kern w:val="2"/>
      <w:sz w:val="21"/>
      <w:szCs w:val="21"/>
    </w:rPr>
  </w:style>
  <w:style w:type="character" w:customStyle="1" w:styleId="89">
    <w:name w:val="日期 字符"/>
    <w:basedOn w:val="37"/>
    <w:link w:val="26"/>
    <w:qFormat/>
    <w:uiPriority w:val="99"/>
    <w:rPr>
      <w:rFonts w:ascii="Calibri" w:hAnsi="Calibri"/>
      <w:kern w:val="2"/>
      <w:sz w:val="21"/>
      <w:szCs w:val="21"/>
    </w:rPr>
  </w:style>
  <w:style w:type="character" w:customStyle="1" w:styleId="90">
    <w:name w:val="批注框文本 字符"/>
    <w:basedOn w:val="37"/>
    <w:link w:val="27"/>
    <w:qFormat/>
    <w:uiPriority w:val="99"/>
    <w:rPr>
      <w:rFonts w:ascii="Calibri" w:hAnsi="Calibri"/>
      <w:kern w:val="2"/>
      <w:sz w:val="18"/>
      <w:szCs w:val="18"/>
    </w:rPr>
  </w:style>
  <w:style w:type="character" w:customStyle="1" w:styleId="91">
    <w:name w:val="标题 字符"/>
    <w:basedOn w:val="37"/>
    <w:link w:val="33"/>
    <w:qFormat/>
    <w:uiPriority w:val="10"/>
    <w:rPr>
      <w:rFonts w:ascii="Cambria" w:hAnsi="Cambria"/>
      <w:b/>
      <w:bCs/>
      <w:kern w:val="2"/>
      <w:sz w:val="32"/>
      <w:szCs w:val="32"/>
    </w:rPr>
  </w:style>
  <w:style w:type="character" w:customStyle="1" w:styleId="92">
    <w:name w:val="标题 1 字符"/>
    <w:link w:val="2"/>
    <w:qFormat/>
    <w:uiPriority w:val="9"/>
    <w:rPr>
      <w:rFonts w:eastAsia="黑体"/>
      <w:b/>
      <w:bCs/>
      <w:color w:val="000000"/>
      <w:kern w:val="44"/>
      <w:sz w:val="30"/>
      <w:szCs w:val="30"/>
    </w:rPr>
  </w:style>
  <w:style w:type="character" w:customStyle="1" w:styleId="93">
    <w:name w:val="标题 2 字符"/>
    <w:link w:val="3"/>
    <w:qFormat/>
    <w:uiPriority w:val="9"/>
    <w:rPr>
      <w:rFonts w:ascii="Arial" w:hAnsi="Arial" w:eastAsia="黑体"/>
      <w:b/>
      <w:bCs/>
      <w:kern w:val="2"/>
      <w:sz w:val="32"/>
      <w:szCs w:val="32"/>
    </w:rPr>
  </w:style>
  <w:style w:type="character" w:customStyle="1" w:styleId="94">
    <w:name w:val="标题 1 Char"/>
    <w:qFormat/>
    <w:uiPriority w:val="9"/>
    <w:rPr>
      <w:b/>
      <w:bCs/>
      <w:kern w:val="44"/>
      <w:sz w:val="44"/>
      <w:szCs w:val="44"/>
    </w:rPr>
  </w:style>
  <w:style w:type="character" w:customStyle="1" w:styleId="95">
    <w:name w:val="页眉 字符"/>
    <w:link w:val="29"/>
    <w:qFormat/>
    <w:uiPriority w:val="99"/>
    <w:rPr>
      <w:kern w:val="2"/>
      <w:sz w:val="18"/>
      <w:szCs w:val="21"/>
    </w:rPr>
  </w:style>
  <w:style w:type="paragraph" w:customStyle="1" w:styleId="96">
    <w:name w:val="备注"/>
    <w:basedOn w:val="47"/>
    <w:link w:val="97"/>
    <w:qFormat/>
    <w:uiPriority w:val="0"/>
    <w:pPr>
      <w:adjustRightInd w:val="0"/>
      <w:snapToGrid w:val="0"/>
      <w:jc w:val="left"/>
    </w:pPr>
    <w:rPr>
      <w:sz w:val="18"/>
      <w:szCs w:val="18"/>
    </w:rPr>
  </w:style>
  <w:style w:type="character" w:customStyle="1" w:styleId="97">
    <w:name w:val="备注 Char"/>
    <w:link w:val="96"/>
    <w:qFormat/>
    <w:uiPriority w:val="0"/>
    <w:rPr>
      <w:kern w:val="2"/>
      <w:sz w:val="18"/>
      <w:szCs w:val="18"/>
    </w:rPr>
  </w:style>
  <w:style w:type="character" w:styleId="98">
    <w:name w:val="Placeholder Text"/>
    <w:unhideWhenUsed/>
    <w:qFormat/>
    <w:uiPriority w:val="99"/>
    <w:rPr>
      <w:color w:val="808080"/>
    </w:rPr>
  </w:style>
  <w:style w:type="paragraph" w:customStyle="1" w:styleId="9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00">
    <w:name w:val="font6"/>
    <w:basedOn w:val="1"/>
    <w:qFormat/>
    <w:uiPriority w:val="0"/>
    <w:pPr>
      <w:widowControl/>
      <w:spacing w:before="100" w:beforeAutospacing="1" w:after="100" w:afterAutospacing="1"/>
      <w:jc w:val="left"/>
    </w:pPr>
    <w:rPr>
      <w:color w:val="000000"/>
      <w:kern w:val="0"/>
      <w:sz w:val="22"/>
    </w:rPr>
  </w:style>
  <w:style w:type="paragraph" w:customStyle="1" w:styleId="101">
    <w:name w:val="font7"/>
    <w:basedOn w:val="1"/>
    <w:qFormat/>
    <w:uiPriority w:val="0"/>
    <w:pPr>
      <w:widowControl/>
      <w:spacing w:before="100" w:beforeAutospacing="1" w:after="100" w:afterAutospacing="1"/>
      <w:jc w:val="left"/>
    </w:pPr>
    <w:rPr>
      <w:color w:val="000000"/>
      <w:kern w:val="0"/>
      <w:sz w:val="22"/>
    </w:rPr>
  </w:style>
  <w:style w:type="paragraph" w:customStyle="1" w:styleId="102">
    <w:name w:val="font8"/>
    <w:basedOn w:val="1"/>
    <w:qFormat/>
    <w:uiPriority w:val="0"/>
    <w:pPr>
      <w:widowControl/>
      <w:spacing w:before="100" w:beforeAutospacing="1" w:after="100" w:afterAutospacing="1"/>
      <w:jc w:val="left"/>
    </w:pPr>
    <w:rPr>
      <w:color w:val="000000"/>
      <w:kern w:val="0"/>
      <w:sz w:val="22"/>
    </w:rPr>
  </w:style>
  <w:style w:type="paragraph" w:customStyle="1" w:styleId="103">
    <w:name w:val="font9"/>
    <w:basedOn w:val="1"/>
    <w:qFormat/>
    <w:uiPriority w:val="0"/>
    <w:pPr>
      <w:widowControl/>
      <w:spacing w:before="100" w:beforeAutospacing="1" w:after="100" w:afterAutospacing="1"/>
      <w:jc w:val="left"/>
    </w:pPr>
    <w:rPr>
      <w:color w:val="000000"/>
      <w:kern w:val="0"/>
      <w:sz w:val="22"/>
    </w:rPr>
  </w:style>
  <w:style w:type="paragraph" w:customStyle="1" w:styleId="104">
    <w:name w:val="font10"/>
    <w:basedOn w:val="1"/>
    <w:qFormat/>
    <w:uiPriority w:val="0"/>
    <w:pPr>
      <w:widowControl/>
      <w:spacing w:before="100" w:beforeAutospacing="1" w:after="100" w:afterAutospacing="1"/>
      <w:jc w:val="left"/>
    </w:pPr>
    <w:rPr>
      <w:rFonts w:ascii="宋体" w:hAnsi="宋体" w:cs="宋体"/>
      <w:color w:val="000000"/>
      <w:kern w:val="0"/>
      <w:sz w:val="22"/>
    </w:rPr>
  </w:style>
  <w:style w:type="paragraph" w:customStyle="1" w:styleId="105">
    <w:name w:val="xl65"/>
    <w:basedOn w:val="1"/>
    <w:qFormat/>
    <w:uiPriority w:val="0"/>
    <w:pPr>
      <w:widowControl/>
      <w:shd w:val="clear" w:color="000000" w:fill="00B050"/>
      <w:spacing w:before="100" w:beforeAutospacing="1" w:after="100" w:afterAutospacing="1"/>
      <w:jc w:val="left"/>
    </w:pPr>
    <w:rPr>
      <w:rFonts w:ascii="宋体" w:hAnsi="宋体" w:cs="宋体"/>
      <w:kern w:val="0"/>
      <w:sz w:val="24"/>
      <w:szCs w:val="24"/>
    </w:rPr>
  </w:style>
  <w:style w:type="paragraph" w:customStyle="1" w:styleId="106">
    <w:name w:val="xl66"/>
    <w:basedOn w:val="1"/>
    <w:qFormat/>
    <w:uiPriority w:val="0"/>
    <w:pPr>
      <w:widowControl/>
      <w:spacing w:before="100" w:beforeAutospacing="1" w:after="100" w:afterAutospacing="1"/>
      <w:jc w:val="left"/>
    </w:pPr>
    <w:rPr>
      <w:rFonts w:ascii="宋体" w:hAnsi="宋体" w:cs="宋体"/>
      <w:color w:val="FF0000"/>
      <w:kern w:val="0"/>
      <w:sz w:val="24"/>
      <w:szCs w:val="24"/>
    </w:rPr>
  </w:style>
  <w:style w:type="paragraph" w:customStyle="1" w:styleId="107">
    <w:name w:val="xl67"/>
    <w:basedOn w:val="1"/>
    <w:qFormat/>
    <w:uiPriority w:val="0"/>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108">
    <w:name w:val="xl68"/>
    <w:basedOn w:val="1"/>
    <w:qFormat/>
    <w:uiPriority w:val="0"/>
    <w:pPr>
      <w:widowControl/>
      <w:shd w:val="clear" w:color="000000" w:fill="00B050"/>
      <w:spacing w:before="100" w:beforeAutospacing="1" w:after="100" w:afterAutospacing="1"/>
      <w:jc w:val="left"/>
    </w:pPr>
    <w:rPr>
      <w:rFonts w:ascii="宋体" w:hAnsi="宋体" w:cs="宋体"/>
      <w:color w:val="FF0000"/>
      <w:kern w:val="0"/>
      <w:sz w:val="24"/>
      <w:szCs w:val="24"/>
    </w:rPr>
  </w:style>
  <w:style w:type="paragraph" w:customStyle="1" w:styleId="109">
    <w:name w:val="xl69"/>
    <w:basedOn w:val="1"/>
    <w:qFormat/>
    <w:uiPriority w:val="0"/>
    <w:pPr>
      <w:widowControl/>
      <w:spacing w:before="100" w:beforeAutospacing="1" w:after="100" w:afterAutospacing="1"/>
      <w:jc w:val="right"/>
      <w:textAlignment w:val="center"/>
    </w:pPr>
    <w:rPr>
      <w:rFonts w:ascii="Calibri" w:hAnsi="Calibri" w:cs="Calibri"/>
      <w:color w:val="000000"/>
      <w:kern w:val="0"/>
      <w:sz w:val="24"/>
      <w:szCs w:val="24"/>
    </w:rPr>
  </w:style>
  <w:style w:type="paragraph" w:customStyle="1" w:styleId="110">
    <w:name w:val="xl70"/>
    <w:basedOn w:val="1"/>
    <w:qFormat/>
    <w:uiPriority w:val="0"/>
    <w:pPr>
      <w:widowControl/>
      <w:spacing w:before="100" w:beforeAutospacing="1" w:after="100" w:afterAutospacing="1"/>
      <w:textAlignment w:val="center"/>
    </w:pPr>
    <w:rPr>
      <w:rFonts w:ascii="Calibri" w:hAnsi="Calibri" w:cs="Calibri"/>
      <w:color w:val="000000"/>
      <w:kern w:val="0"/>
      <w:sz w:val="24"/>
      <w:szCs w:val="24"/>
    </w:rPr>
  </w:style>
  <w:style w:type="paragraph" w:customStyle="1" w:styleId="111">
    <w:name w:val="xl71"/>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112">
    <w:name w:val="xl72"/>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113">
    <w:name w:val="xl73"/>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114">
    <w:name w:val="xl74"/>
    <w:basedOn w:val="1"/>
    <w:qFormat/>
    <w:uiPriority w:val="0"/>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115">
    <w:name w:val="xl75"/>
    <w:basedOn w:val="1"/>
    <w:qFormat/>
    <w:uiPriority w:val="0"/>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116">
    <w:name w:val="xl79"/>
    <w:basedOn w:val="1"/>
    <w:qFormat/>
    <w:uiPriority w:val="0"/>
    <w:pPr>
      <w:widowControl/>
      <w:shd w:val="clear" w:color="000000" w:fill="00B050"/>
      <w:spacing w:before="100" w:beforeAutospacing="1" w:after="100" w:afterAutospacing="1"/>
      <w:jc w:val="left"/>
    </w:pPr>
    <w:rPr>
      <w:rFonts w:ascii="宋体" w:hAnsi="宋体" w:cs="宋体"/>
      <w:kern w:val="0"/>
      <w:sz w:val="24"/>
      <w:szCs w:val="24"/>
    </w:rPr>
  </w:style>
  <w:style w:type="paragraph" w:customStyle="1" w:styleId="117">
    <w:name w:val="xl80"/>
    <w:basedOn w:val="1"/>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118">
    <w:name w:val="xl81"/>
    <w:basedOn w:val="1"/>
    <w:qFormat/>
    <w:uiPriority w:val="0"/>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119">
    <w:name w:val="xl82"/>
    <w:basedOn w:val="1"/>
    <w:qFormat/>
    <w:uiPriority w:val="0"/>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120">
    <w:name w:val="xl83"/>
    <w:basedOn w:val="1"/>
    <w:qFormat/>
    <w:uiPriority w:val="0"/>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121">
    <w:name w:val="xl84"/>
    <w:basedOn w:val="1"/>
    <w:qFormat/>
    <w:uiPriority w:val="0"/>
    <w:pPr>
      <w:widowControl/>
      <w:shd w:val="clear" w:color="000000" w:fill="FFFF00"/>
      <w:spacing w:before="100" w:beforeAutospacing="1" w:after="100" w:afterAutospacing="1"/>
      <w:jc w:val="left"/>
    </w:pPr>
    <w:rPr>
      <w:rFonts w:ascii="宋体" w:hAnsi="宋体" w:cs="宋体"/>
      <w:kern w:val="0"/>
      <w:sz w:val="24"/>
      <w:szCs w:val="24"/>
    </w:rPr>
  </w:style>
  <w:style w:type="paragraph" w:customStyle="1" w:styleId="122">
    <w:name w:val="xl85"/>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kern w:val="0"/>
      <w:sz w:val="24"/>
      <w:szCs w:val="24"/>
    </w:rPr>
  </w:style>
  <w:style w:type="paragraph" w:customStyle="1" w:styleId="123">
    <w:name w:val="xl86"/>
    <w:basedOn w:val="1"/>
    <w:qFormat/>
    <w:uiPriority w:val="0"/>
    <w:pPr>
      <w:widowControl/>
      <w:pBdr>
        <w:left w:val="single" w:color="auto" w:sz="8" w:space="0"/>
        <w:right w:val="single" w:color="auto" w:sz="8" w:space="0"/>
      </w:pBdr>
      <w:spacing w:before="100" w:beforeAutospacing="1" w:after="100" w:afterAutospacing="1"/>
      <w:jc w:val="center"/>
      <w:textAlignment w:val="center"/>
    </w:pPr>
    <w:rPr>
      <w:kern w:val="0"/>
      <w:sz w:val="24"/>
      <w:szCs w:val="24"/>
    </w:rPr>
  </w:style>
  <w:style w:type="paragraph" w:customStyle="1" w:styleId="124">
    <w:name w:val="xl87"/>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kern w:val="0"/>
      <w:sz w:val="24"/>
      <w:szCs w:val="24"/>
    </w:rPr>
  </w:style>
  <w:style w:type="paragraph" w:customStyle="1" w:styleId="125">
    <w:name w:val="xl88"/>
    <w:basedOn w:val="1"/>
    <w:qFormat/>
    <w:uiPriority w:val="0"/>
    <w:pPr>
      <w:widowControl/>
      <w:pBdr>
        <w:top w:val="single" w:color="auto" w:sz="8" w:space="0"/>
      </w:pBdr>
      <w:spacing w:before="100" w:beforeAutospacing="1" w:after="100" w:afterAutospacing="1"/>
      <w:jc w:val="center"/>
      <w:textAlignment w:val="center"/>
    </w:pPr>
    <w:rPr>
      <w:rFonts w:ascii="宋体" w:hAnsi="宋体" w:cs="宋体"/>
      <w:kern w:val="0"/>
      <w:sz w:val="24"/>
      <w:szCs w:val="24"/>
    </w:rPr>
  </w:style>
  <w:style w:type="paragraph" w:customStyle="1" w:styleId="126">
    <w:name w:val="xl89"/>
    <w:basedOn w:val="1"/>
    <w:qFormat/>
    <w:uiPriority w:val="0"/>
    <w:pPr>
      <w:widowControl/>
      <w:spacing w:before="100" w:beforeAutospacing="1" w:after="100" w:afterAutospacing="1"/>
      <w:jc w:val="center"/>
      <w:textAlignment w:val="center"/>
    </w:pPr>
    <w:rPr>
      <w:rFonts w:ascii="宋体" w:hAnsi="宋体" w:cs="宋体"/>
      <w:kern w:val="0"/>
      <w:sz w:val="24"/>
      <w:szCs w:val="24"/>
    </w:rPr>
  </w:style>
  <w:style w:type="paragraph" w:customStyle="1" w:styleId="127">
    <w:name w:val="xl90"/>
    <w:basedOn w:val="1"/>
    <w:qFormat/>
    <w:uiPriority w:val="0"/>
    <w:pPr>
      <w:widowControl/>
      <w:pBdr>
        <w:top w:val="single" w:color="auto" w:sz="8" w:space="0"/>
      </w:pBdr>
      <w:spacing w:before="100" w:beforeAutospacing="1" w:after="100" w:afterAutospacing="1"/>
      <w:jc w:val="center"/>
      <w:textAlignment w:val="center"/>
    </w:pPr>
    <w:rPr>
      <w:kern w:val="0"/>
      <w:sz w:val="24"/>
      <w:szCs w:val="24"/>
    </w:rPr>
  </w:style>
  <w:style w:type="paragraph" w:customStyle="1" w:styleId="128">
    <w:name w:val="xl91"/>
    <w:basedOn w:val="1"/>
    <w:qFormat/>
    <w:uiPriority w:val="0"/>
    <w:pPr>
      <w:widowControl/>
      <w:spacing w:before="100" w:beforeAutospacing="1" w:after="100" w:afterAutospacing="1"/>
      <w:jc w:val="center"/>
      <w:textAlignment w:val="center"/>
    </w:pPr>
    <w:rPr>
      <w:kern w:val="0"/>
      <w:sz w:val="24"/>
      <w:szCs w:val="24"/>
    </w:rPr>
  </w:style>
  <w:style w:type="paragraph" w:customStyle="1" w:styleId="129">
    <w:name w:val="xl92"/>
    <w:basedOn w:val="1"/>
    <w:qFormat/>
    <w:uiPriority w:val="0"/>
    <w:pPr>
      <w:widowControl/>
      <w:pBdr>
        <w:bottom w:val="single" w:color="auto" w:sz="8" w:space="0"/>
      </w:pBdr>
      <w:spacing w:before="100" w:beforeAutospacing="1" w:after="100" w:afterAutospacing="1"/>
      <w:jc w:val="center"/>
      <w:textAlignment w:val="center"/>
    </w:pPr>
    <w:rPr>
      <w:kern w:val="0"/>
      <w:sz w:val="24"/>
      <w:szCs w:val="24"/>
    </w:rPr>
  </w:style>
  <w:style w:type="paragraph" w:customStyle="1" w:styleId="130">
    <w:name w:val="xl93"/>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宋体" w:hAnsi="宋体" w:cs="宋体"/>
      <w:kern w:val="0"/>
      <w:sz w:val="24"/>
      <w:szCs w:val="24"/>
    </w:rPr>
  </w:style>
  <w:style w:type="paragraph" w:customStyle="1" w:styleId="131">
    <w:name w:val="xl94"/>
    <w:basedOn w:val="1"/>
    <w:qFormat/>
    <w:uiPriority w:val="0"/>
    <w:pPr>
      <w:widowControl/>
      <w:pBdr>
        <w:left w:val="single" w:color="auto" w:sz="8" w:space="0"/>
        <w:right w:val="single" w:color="auto" w:sz="8" w:space="0"/>
      </w:pBdr>
      <w:spacing w:before="100" w:beforeAutospacing="1" w:after="100" w:afterAutospacing="1"/>
      <w:jc w:val="center"/>
      <w:textAlignment w:val="center"/>
    </w:pPr>
    <w:rPr>
      <w:rFonts w:ascii="宋体" w:hAnsi="宋体" w:cs="宋体"/>
      <w:kern w:val="0"/>
      <w:sz w:val="24"/>
      <w:szCs w:val="24"/>
    </w:rPr>
  </w:style>
  <w:style w:type="paragraph" w:customStyle="1" w:styleId="132">
    <w:name w:val="xl95"/>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kern w:val="0"/>
      <w:sz w:val="24"/>
      <w:szCs w:val="24"/>
    </w:rPr>
  </w:style>
  <w:style w:type="paragraph" w:customStyle="1" w:styleId="133">
    <w:name w:val="xl96"/>
    <w:basedOn w:val="1"/>
    <w:qFormat/>
    <w:uiPriority w:val="0"/>
    <w:pPr>
      <w:widowControl/>
      <w:shd w:val="clear" w:color="000000" w:fill="00B050"/>
      <w:spacing w:before="100" w:beforeAutospacing="1" w:after="100" w:afterAutospacing="1"/>
      <w:jc w:val="left"/>
    </w:pPr>
    <w:rPr>
      <w:rFonts w:ascii="宋体" w:hAnsi="宋体" w:cs="宋体"/>
      <w:kern w:val="0"/>
      <w:sz w:val="24"/>
      <w:szCs w:val="24"/>
    </w:rPr>
  </w:style>
  <w:style w:type="paragraph" w:customStyle="1" w:styleId="134">
    <w:name w:val="xl97"/>
    <w:basedOn w:val="1"/>
    <w:qFormat/>
    <w:uiPriority w:val="0"/>
    <w:pPr>
      <w:widowControl/>
      <w:shd w:val="clear" w:color="000000" w:fill="00B050"/>
      <w:spacing w:before="100" w:beforeAutospacing="1" w:after="100" w:afterAutospacing="1"/>
      <w:jc w:val="left"/>
    </w:pPr>
    <w:rPr>
      <w:rFonts w:ascii="宋体" w:hAnsi="宋体" w:cs="宋体"/>
      <w:kern w:val="0"/>
      <w:sz w:val="24"/>
      <w:szCs w:val="24"/>
    </w:rPr>
  </w:style>
  <w:style w:type="paragraph" w:customStyle="1" w:styleId="135">
    <w:name w:val="xl98"/>
    <w:basedOn w:val="1"/>
    <w:qFormat/>
    <w:uiPriority w:val="0"/>
    <w:pPr>
      <w:widowControl/>
      <w:shd w:val="clear" w:color="000000" w:fill="EBF1DE"/>
      <w:spacing w:before="100" w:beforeAutospacing="1" w:after="100" w:afterAutospacing="1"/>
      <w:jc w:val="left"/>
    </w:pPr>
    <w:rPr>
      <w:rFonts w:ascii="宋体" w:hAnsi="宋体" w:cs="宋体"/>
      <w:kern w:val="0"/>
      <w:sz w:val="24"/>
      <w:szCs w:val="24"/>
    </w:rPr>
  </w:style>
  <w:style w:type="paragraph" w:customStyle="1" w:styleId="136">
    <w:name w:val="xl99"/>
    <w:basedOn w:val="1"/>
    <w:qFormat/>
    <w:uiPriority w:val="0"/>
    <w:pPr>
      <w:widowControl/>
      <w:pBdr>
        <w:top w:val="single" w:color="auto" w:sz="8" w:space="0"/>
      </w:pBdr>
      <w:shd w:val="clear" w:color="000000" w:fill="EBF1DE"/>
      <w:spacing w:before="100" w:beforeAutospacing="1" w:after="100" w:afterAutospacing="1"/>
      <w:jc w:val="center"/>
      <w:textAlignment w:val="center"/>
    </w:pPr>
    <w:rPr>
      <w:kern w:val="0"/>
      <w:sz w:val="24"/>
      <w:szCs w:val="24"/>
    </w:rPr>
  </w:style>
  <w:style w:type="paragraph" w:customStyle="1" w:styleId="137">
    <w:name w:val="xl100"/>
    <w:basedOn w:val="1"/>
    <w:qFormat/>
    <w:uiPriority w:val="0"/>
    <w:pPr>
      <w:widowControl/>
      <w:shd w:val="clear" w:color="000000" w:fill="EBF1DE"/>
      <w:spacing w:before="100" w:beforeAutospacing="1" w:after="100" w:afterAutospacing="1"/>
      <w:jc w:val="right"/>
      <w:textAlignment w:val="center"/>
    </w:pPr>
    <w:rPr>
      <w:rFonts w:ascii="Calibri" w:hAnsi="Calibri" w:cs="Calibri"/>
      <w:color w:val="000000"/>
      <w:kern w:val="0"/>
      <w:sz w:val="24"/>
      <w:szCs w:val="24"/>
    </w:rPr>
  </w:style>
  <w:style w:type="paragraph" w:customStyle="1" w:styleId="138">
    <w:name w:val="xl101"/>
    <w:basedOn w:val="1"/>
    <w:qFormat/>
    <w:uiPriority w:val="0"/>
    <w:pPr>
      <w:widowControl/>
      <w:shd w:val="clear" w:color="000000" w:fill="EBF1DE"/>
      <w:spacing w:before="100" w:beforeAutospacing="1" w:after="100" w:afterAutospacing="1"/>
      <w:jc w:val="center"/>
      <w:textAlignment w:val="center"/>
    </w:pPr>
    <w:rPr>
      <w:kern w:val="0"/>
      <w:sz w:val="24"/>
      <w:szCs w:val="24"/>
    </w:rPr>
  </w:style>
  <w:style w:type="paragraph" w:customStyle="1" w:styleId="139">
    <w:name w:val="xl102"/>
    <w:basedOn w:val="1"/>
    <w:qFormat/>
    <w:uiPriority w:val="0"/>
    <w:pPr>
      <w:widowControl/>
      <w:shd w:val="clear" w:color="000000" w:fill="EBF1DE"/>
      <w:spacing w:before="100" w:beforeAutospacing="1" w:after="100" w:afterAutospacing="1"/>
      <w:textAlignment w:val="center"/>
    </w:pPr>
    <w:rPr>
      <w:rFonts w:ascii="Calibri" w:hAnsi="Calibri" w:cs="Calibri"/>
      <w:color w:val="000000"/>
      <w:kern w:val="0"/>
      <w:sz w:val="24"/>
      <w:szCs w:val="24"/>
    </w:rPr>
  </w:style>
  <w:style w:type="paragraph" w:customStyle="1" w:styleId="140">
    <w:name w:val="xl103"/>
    <w:basedOn w:val="1"/>
    <w:qFormat/>
    <w:uiPriority w:val="0"/>
    <w:pPr>
      <w:widowControl/>
      <w:pBdr>
        <w:bottom w:val="single" w:color="auto" w:sz="8" w:space="0"/>
      </w:pBdr>
      <w:shd w:val="clear" w:color="000000" w:fill="EBF1DE"/>
      <w:spacing w:before="100" w:beforeAutospacing="1" w:after="100" w:afterAutospacing="1"/>
      <w:jc w:val="center"/>
      <w:textAlignment w:val="center"/>
    </w:pPr>
    <w:rPr>
      <w:kern w:val="0"/>
      <w:sz w:val="24"/>
      <w:szCs w:val="24"/>
    </w:rPr>
  </w:style>
  <w:style w:type="paragraph" w:customStyle="1" w:styleId="141">
    <w:name w:val="xl105"/>
    <w:basedOn w:val="1"/>
    <w:qFormat/>
    <w:uiPriority w:val="0"/>
    <w:pPr>
      <w:widowControl/>
      <w:shd w:val="clear" w:color="000000" w:fill="B1A0C7"/>
      <w:spacing w:before="100" w:beforeAutospacing="1" w:after="100" w:afterAutospacing="1"/>
      <w:jc w:val="left"/>
    </w:pPr>
    <w:rPr>
      <w:rFonts w:ascii="宋体" w:hAnsi="宋体" w:cs="宋体"/>
      <w:kern w:val="0"/>
      <w:sz w:val="24"/>
      <w:szCs w:val="24"/>
    </w:rPr>
  </w:style>
  <w:style w:type="paragraph" w:customStyle="1" w:styleId="142">
    <w:name w:val="xl106"/>
    <w:basedOn w:val="1"/>
    <w:qFormat/>
    <w:uiPriority w:val="0"/>
    <w:pPr>
      <w:widowControl/>
      <w:shd w:val="clear" w:color="000000" w:fill="B1A0C7"/>
      <w:spacing w:before="100" w:beforeAutospacing="1" w:after="100" w:afterAutospacing="1"/>
      <w:jc w:val="left"/>
    </w:pPr>
    <w:rPr>
      <w:rFonts w:ascii="宋体" w:hAnsi="宋体" w:cs="宋体"/>
      <w:kern w:val="0"/>
      <w:sz w:val="24"/>
      <w:szCs w:val="24"/>
    </w:rPr>
  </w:style>
  <w:style w:type="paragraph" w:customStyle="1" w:styleId="143">
    <w:name w:val="xl107"/>
    <w:basedOn w:val="1"/>
    <w:qFormat/>
    <w:uiPriority w:val="0"/>
    <w:pPr>
      <w:widowControl/>
      <w:shd w:val="clear" w:color="000000" w:fill="B1A0C7"/>
      <w:spacing w:before="100" w:beforeAutospacing="1" w:after="100" w:afterAutospacing="1"/>
      <w:jc w:val="left"/>
    </w:pPr>
    <w:rPr>
      <w:rFonts w:ascii="宋体" w:hAnsi="宋体" w:cs="宋体"/>
      <w:kern w:val="0"/>
      <w:sz w:val="24"/>
      <w:szCs w:val="24"/>
    </w:rPr>
  </w:style>
  <w:style w:type="paragraph" w:customStyle="1" w:styleId="144">
    <w:name w:val="xl108"/>
    <w:basedOn w:val="1"/>
    <w:qFormat/>
    <w:uiPriority w:val="0"/>
    <w:pPr>
      <w:widowControl/>
      <w:shd w:val="clear" w:color="000000" w:fill="B1A0C7"/>
      <w:spacing w:before="100" w:beforeAutospacing="1" w:after="100" w:afterAutospacing="1"/>
      <w:jc w:val="left"/>
    </w:pPr>
    <w:rPr>
      <w:rFonts w:ascii="宋体" w:hAnsi="宋体" w:cs="宋体"/>
      <w:color w:val="FF0000"/>
      <w:kern w:val="0"/>
      <w:sz w:val="24"/>
      <w:szCs w:val="24"/>
    </w:rPr>
  </w:style>
  <w:style w:type="paragraph" w:customStyle="1" w:styleId="145">
    <w:name w:val="xl109"/>
    <w:basedOn w:val="1"/>
    <w:qFormat/>
    <w:uiPriority w:val="0"/>
    <w:pPr>
      <w:widowControl/>
      <w:shd w:val="clear" w:color="000000" w:fill="B1A0C7"/>
      <w:spacing w:before="100" w:beforeAutospacing="1" w:after="100" w:afterAutospacing="1"/>
      <w:jc w:val="left"/>
    </w:pPr>
    <w:rPr>
      <w:rFonts w:ascii="宋体" w:hAnsi="宋体" w:cs="宋体"/>
      <w:kern w:val="0"/>
      <w:sz w:val="24"/>
      <w:szCs w:val="24"/>
    </w:rPr>
  </w:style>
  <w:style w:type="paragraph" w:customStyle="1" w:styleId="146">
    <w:name w:val="xl110"/>
    <w:basedOn w:val="1"/>
    <w:qFormat/>
    <w:uiPriority w:val="0"/>
    <w:pPr>
      <w:widowControl/>
      <w:pBdr>
        <w:bottom w:val="single" w:color="auto" w:sz="8" w:space="0"/>
      </w:pBdr>
      <w:spacing w:before="100" w:beforeAutospacing="1" w:after="100" w:afterAutospacing="1"/>
      <w:jc w:val="center"/>
      <w:textAlignment w:val="center"/>
    </w:pPr>
    <w:rPr>
      <w:rFonts w:ascii="宋体" w:hAnsi="宋体" w:cs="宋体"/>
      <w:kern w:val="0"/>
      <w:sz w:val="24"/>
      <w:szCs w:val="24"/>
    </w:rPr>
  </w:style>
  <w:style w:type="paragraph" w:customStyle="1" w:styleId="147">
    <w:name w:val="font11"/>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148">
    <w:name w:val="xl76"/>
    <w:basedOn w:val="1"/>
    <w:qFormat/>
    <w:uiPriority w:val="0"/>
    <w:pPr>
      <w:widowControl/>
      <w:pBdr>
        <w:left w:val="single" w:color="auto" w:sz="8" w:space="0"/>
        <w:right w:val="single" w:color="auto" w:sz="8" w:space="0"/>
      </w:pBdr>
      <w:spacing w:before="100" w:beforeAutospacing="1" w:after="100" w:afterAutospacing="1"/>
      <w:jc w:val="center"/>
      <w:textAlignment w:val="center"/>
    </w:pPr>
    <w:rPr>
      <w:kern w:val="0"/>
      <w:sz w:val="18"/>
      <w:szCs w:val="18"/>
    </w:rPr>
  </w:style>
  <w:style w:type="paragraph" w:customStyle="1" w:styleId="149">
    <w:name w:val="xl77"/>
    <w:basedOn w:val="1"/>
    <w:qFormat/>
    <w:uiPriority w:val="0"/>
    <w:pPr>
      <w:widowControl/>
      <w:spacing w:before="100" w:beforeAutospacing="1" w:after="100" w:afterAutospacing="1"/>
      <w:jc w:val="center"/>
      <w:textAlignment w:val="center"/>
    </w:pPr>
    <w:rPr>
      <w:kern w:val="0"/>
      <w:sz w:val="18"/>
      <w:szCs w:val="18"/>
    </w:rPr>
  </w:style>
  <w:style w:type="paragraph" w:customStyle="1" w:styleId="150">
    <w:name w:val="xl78"/>
    <w:basedOn w:val="1"/>
    <w:qFormat/>
    <w:uiPriority w:val="0"/>
    <w:pPr>
      <w:widowControl/>
      <w:pBdr>
        <w:left w:val="single" w:color="auto" w:sz="8" w:space="0"/>
        <w:right w:val="single" w:color="auto" w:sz="8" w:space="0"/>
      </w:pBdr>
      <w:spacing w:before="100" w:beforeAutospacing="1" w:after="100" w:afterAutospacing="1"/>
      <w:jc w:val="center"/>
      <w:textAlignment w:val="center"/>
    </w:pPr>
    <w:rPr>
      <w:rFonts w:ascii="宋体" w:hAnsi="宋体" w:cs="宋体"/>
      <w:kern w:val="0"/>
      <w:sz w:val="18"/>
      <w:szCs w:val="18"/>
    </w:rPr>
  </w:style>
  <w:style w:type="paragraph" w:customStyle="1" w:styleId="151">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52">
    <w:name w:val="h3"/>
    <w:basedOn w:val="37"/>
    <w:qFormat/>
    <w:uiPriority w:val="0"/>
  </w:style>
  <w:style w:type="character" w:customStyle="1" w:styleId="153">
    <w:name w:val="样式 表内小四中 + 宋体 五号 Char"/>
    <w:qFormat/>
    <w:uiPriority w:val="0"/>
    <w:rPr>
      <w:rFonts w:ascii="宋体" w:hAnsi="宋体" w:eastAsia="宋体"/>
      <w:sz w:val="21"/>
      <w:szCs w:val="21"/>
      <w:lang w:val="en-US" w:eastAsia="zh-CN" w:bidi="ar-SA"/>
    </w:rPr>
  </w:style>
  <w:style w:type="paragraph" w:customStyle="1" w:styleId="154">
    <w:name w:val="表 内容"/>
    <w:basedOn w:val="1"/>
    <w:qFormat/>
    <w:uiPriority w:val="0"/>
    <w:pPr>
      <w:spacing w:beforeLines="15" w:afterLines="15"/>
      <w:jc w:val="center"/>
    </w:pPr>
    <w:rPr>
      <w:rFonts w:ascii="宋体" w:hAnsi="Calibri"/>
      <w:kern w:val="0"/>
    </w:rPr>
  </w:style>
  <w:style w:type="character" w:customStyle="1" w:styleId="155">
    <w:name w:val="正文首行缩进 2 Char1"/>
    <w:basedOn w:val="66"/>
    <w:semiHidden/>
    <w:qFormat/>
    <w:uiPriority w:val="99"/>
    <w:rPr>
      <w:sz w:val="24"/>
    </w:rPr>
  </w:style>
  <w:style w:type="character" w:customStyle="1" w:styleId="156">
    <w:name w:val="Default Char Char"/>
    <w:link w:val="42"/>
    <w:qFormat/>
    <w:uiPriority w:val="0"/>
    <w:rPr>
      <w:rFonts w:ascii="宋体" w:hAnsi="宋体"/>
      <w:b/>
      <w:color w:val="000000"/>
      <w:kern w:val="2"/>
      <w:sz w:val="24"/>
      <w:szCs w:val="21"/>
    </w:rPr>
  </w:style>
  <w:style w:type="paragraph" w:styleId="157">
    <w:name w:val="No Spacing"/>
    <w:qFormat/>
    <w:uiPriority w:val="1"/>
    <w:pPr>
      <w:widowControl w:val="0"/>
      <w:jc w:val="both"/>
    </w:pPr>
    <w:rPr>
      <w:rFonts w:ascii="等线" w:hAnsi="等线" w:eastAsia="宋体" w:cs="Times New Roman"/>
      <w:kern w:val="2"/>
      <w:sz w:val="24"/>
      <w:szCs w:val="21"/>
      <w:lang w:val="en-US" w:eastAsia="zh-CN" w:bidi="ar-SA"/>
    </w:rPr>
  </w:style>
  <w:style w:type="paragraph" w:customStyle="1" w:styleId="158">
    <w:name w:val="font12"/>
    <w:basedOn w:val="1"/>
    <w:qFormat/>
    <w:uiPriority w:val="0"/>
    <w:pPr>
      <w:widowControl/>
      <w:spacing w:before="100" w:beforeAutospacing="1" w:after="100" w:afterAutospacing="1"/>
      <w:jc w:val="left"/>
    </w:pPr>
    <w:rPr>
      <w:rFonts w:ascii="宋体" w:hAnsi="宋体" w:cs="宋体"/>
      <w:color w:val="FF0066"/>
      <w:kern w:val="0"/>
    </w:rPr>
  </w:style>
  <w:style w:type="paragraph" w:customStyle="1" w:styleId="159">
    <w:name w:val="font13"/>
    <w:basedOn w:val="1"/>
    <w:qFormat/>
    <w:uiPriority w:val="0"/>
    <w:pPr>
      <w:widowControl/>
      <w:spacing w:before="100" w:beforeAutospacing="1" w:after="100" w:afterAutospacing="1"/>
      <w:jc w:val="left"/>
    </w:pPr>
    <w:rPr>
      <w:color w:val="FF0066"/>
      <w:kern w:val="0"/>
    </w:rPr>
  </w:style>
  <w:style w:type="paragraph" w:customStyle="1" w:styleId="160">
    <w:name w:val="font14"/>
    <w:basedOn w:val="1"/>
    <w:qFormat/>
    <w:uiPriority w:val="0"/>
    <w:pPr>
      <w:widowControl/>
      <w:spacing w:before="100" w:beforeAutospacing="1" w:after="100" w:afterAutospacing="1"/>
      <w:jc w:val="left"/>
    </w:pPr>
    <w:rPr>
      <w:rFonts w:ascii="宋体" w:hAnsi="宋体" w:cs="宋体"/>
      <w:color w:val="FF0066"/>
      <w:kern w:val="0"/>
      <w:sz w:val="20"/>
      <w:szCs w:val="20"/>
    </w:rPr>
  </w:style>
  <w:style w:type="paragraph" w:customStyle="1" w:styleId="161">
    <w:name w:val="font15"/>
    <w:basedOn w:val="1"/>
    <w:qFormat/>
    <w:uiPriority w:val="0"/>
    <w:pPr>
      <w:widowControl/>
      <w:spacing w:before="100" w:beforeAutospacing="1" w:after="100" w:afterAutospacing="1"/>
      <w:jc w:val="left"/>
    </w:pPr>
    <w:rPr>
      <w:rFonts w:ascii="等线" w:hAnsi="等线" w:eastAsia="等线" w:cs="宋体"/>
      <w:color w:val="000000"/>
      <w:kern w:val="0"/>
      <w:sz w:val="18"/>
      <w:szCs w:val="18"/>
    </w:rPr>
  </w:style>
  <w:style w:type="paragraph" w:customStyle="1" w:styleId="162">
    <w:name w:val="font16"/>
    <w:basedOn w:val="1"/>
    <w:qFormat/>
    <w:uiPriority w:val="0"/>
    <w:pPr>
      <w:widowControl/>
      <w:spacing w:before="100" w:beforeAutospacing="1" w:after="100" w:afterAutospacing="1"/>
      <w:jc w:val="left"/>
    </w:pPr>
    <w:rPr>
      <w:color w:val="000000"/>
      <w:kern w:val="0"/>
      <w:sz w:val="18"/>
      <w:szCs w:val="18"/>
    </w:rPr>
  </w:style>
  <w:style w:type="paragraph" w:customStyle="1" w:styleId="163">
    <w:name w:val="font17"/>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164">
    <w:name w:val="font18"/>
    <w:basedOn w:val="1"/>
    <w:uiPriority w:val="0"/>
    <w:pPr>
      <w:widowControl/>
      <w:spacing w:before="100" w:beforeAutospacing="1" w:after="100" w:afterAutospacing="1"/>
      <w:jc w:val="left"/>
    </w:pPr>
    <w:rPr>
      <w:color w:val="000000"/>
      <w:kern w:val="0"/>
    </w:rPr>
  </w:style>
  <w:style w:type="paragraph" w:customStyle="1" w:styleId="165">
    <w:name w:val="font19"/>
    <w:basedOn w:val="1"/>
    <w:uiPriority w:val="0"/>
    <w:pPr>
      <w:widowControl/>
      <w:spacing w:before="100" w:beforeAutospacing="1" w:after="100" w:afterAutospacing="1"/>
      <w:jc w:val="left"/>
    </w:pPr>
    <w:rPr>
      <w:rFonts w:ascii="宋体" w:hAnsi="宋体" w:cs="宋体"/>
      <w:color w:val="000000"/>
      <w:kern w:val="0"/>
    </w:rPr>
  </w:style>
  <w:style w:type="paragraph" w:customStyle="1" w:styleId="166">
    <w:name w:val="font20"/>
    <w:basedOn w:val="1"/>
    <w:uiPriority w:val="0"/>
    <w:pPr>
      <w:widowControl/>
      <w:spacing w:before="100" w:beforeAutospacing="1" w:after="100" w:afterAutospacing="1"/>
      <w:jc w:val="left"/>
    </w:pPr>
    <w:rPr>
      <w:color w:val="FF0066"/>
      <w:kern w:val="0"/>
    </w:rPr>
  </w:style>
  <w:style w:type="paragraph" w:customStyle="1" w:styleId="167">
    <w:name w:val="xl64"/>
    <w:basedOn w:val="1"/>
    <w:uiPriority w:val="0"/>
    <w:pPr>
      <w:widowControl/>
      <w:spacing w:before="100" w:beforeAutospacing="1" w:after="100" w:afterAutospacing="1"/>
      <w:jc w:val="left"/>
    </w:pPr>
    <w:rPr>
      <w:rFonts w:ascii="等线" w:hAnsi="等线" w:eastAsia="等线" w:cs="宋体"/>
      <w:color w:val="000000"/>
      <w:kern w:val="0"/>
      <w:sz w:val="18"/>
      <w:szCs w:val="18"/>
    </w:rPr>
  </w:style>
  <w:style w:type="paragraph" w:customStyle="1" w:styleId="168">
    <w:name w:val="修订1"/>
    <w:hidden/>
    <w:semiHidden/>
    <w:uiPriority w:val="99"/>
    <w:rPr>
      <w:rFonts w:ascii="Calibri" w:hAnsi="Calibri" w:eastAsia="宋体" w:cs="Times New Roman"/>
      <w:kern w:val="2"/>
      <w:sz w:val="21"/>
      <w:szCs w:val="21"/>
      <w:lang w:val="en-US" w:eastAsia="zh-CN" w:bidi="ar-SA"/>
    </w:rPr>
  </w:style>
  <w:style w:type="paragraph" w:customStyle="1" w:styleId="169">
    <w:name w:val="xl104"/>
    <w:basedOn w:val="1"/>
    <w:uiPriority w:val="0"/>
    <w:pPr>
      <w:widowControl/>
      <w:pBdr>
        <w:top w:val="single" w:color="auto" w:sz="8" w:space="0"/>
        <w:left w:val="single" w:color="auto" w:sz="8" w:space="0"/>
        <w:right w:val="single" w:color="auto" w:sz="8" w:space="0"/>
      </w:pBdr>
      <w:shd w:val="clear" w:color="000000" w:fill="FFFFFF"/>
      <w:spacing w:before="100" w:beforeAutospacing="1" w:after="100" w:afterAutospacing="1"/>
      <w:jc w:val="center"/>
    </w:pPr>
    <w:rPr>
      <w:rFonts w:ascii="宋体" w:hAnsi="宋体" w:cs="宋体"/>
      <w:color w:val="FF0000"/>
      <w:kern w:val="0"/>
    </w:rPr>
  </w:style>
  <w:style w:type="paragraph" w:customStyle="1" w:styleId="170">
    <w:name w:val="xl111"/>
    <w:basedOn w:val="1"/>
    <w:uiPriority w:val="0"/>
    <w:pPr>
      <w:widowControl/>
      <w:pBdr>
        <w:top w:val="single" w:color="auto" w:sz="8" w:space="0"/>
        <w:left w:val="single" w:color="auto" w:sz="8" w:space="0"/>
        <w:bottom w:val="single" w:color="auto" w:sz="8" w:space="0"/>
      </w:pBdr>
      <w:shd w:val="clear" w:color="000000" w:fill="FFFF00"/>
      <w:spacing w:before="100" w:beforeAutospacing="1" w:after="100" w:afterAutospacing="1"/>
      <w:jc w:val="center"/>
    </w:pPr>
    <w:rPr>
      <w:color w:val="000000"/>
      <w:kern w:val="0"/>
    </w:rPr>
  </w:style>
  <w:style w:type="paragraph" w:customStyle="1" w:styleId="171">
    <w:name w:val="xl112"/>
    <w:basedOn w:val="1"/>
    <w:uiPriority w:val="0"/>
    <w:pPr>
      <w:widowControl/>
      <w:pBdr>
        <w:top w:val="single" w:color="auto" w:sz="8" w:space="0"/>
        <w:bottom w:val="single" w:color="auto" w:sz="8" w:space="0"/>
        <w:right w:val="single" w:color="auto" w:sz="8" w:space="0"/>
      </w:pBdr>
      <w:shd w:val="clear" w:color="000000" w:fill="FFFF00"/>
      <w:spacing w:before="100" w:beforeAutospacing="1" w:after="100" w:afterAutospacing="1"/>
      <w:jc w:val="center"/>
    </w:pPr>
    <w:rPr>
      <w:color w:val="000000"/>
      <w:kern w:val="0"/>
    </w:rPr>
  </w:style>
  <w:style w:type="paragraph" w:customStyle="1" w:styleId="172">
    <w:name w:val="xl113"/>
    <w:basedOn w:val="1"/>
    <w:uiPriority w:val="0"/>
    <w:pPr>
      <w:widowControl/>
      <w:pBdr>
        <w:top w:val="single" w:color="auto" w:sz="8" w:space="0"/>
        <w:left w:val="single" w:color="auto" w:sz="8" w:space="0"/>
        <w:bottom w:val="single" w:color="auto" w:sz="8" w:space="0"/>
      </w:pBdr>
      <w:spacing w:before="100" w:beforeAutospacing="1" w:after="100" w:afterAutospacing="1"/>
      <w:jc w:val="center"/>
    </w:pPr>
    <w:rPr>
      <w:rFonts w:ascii="宋体" w:hAnsi="宋体" w:cs="宋体"/>
      <w:color w:val="000000"/>
      <w:kern w:val="0"/>
    </w:rPr>
  </w:style>
  <w:style w:type="paragraph" w:customStyle="1" w:styleId="173">
    <w:name w:val="xl114"/>
    <w:basedOn w:val="1"/>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cs="宋体"/>
      <w:color w:val="000000"/>
      <w:kern w:val="0"/>
    </w:rPr>
  </w:style>
  <w:style w:type="paragraph" w:customStyle="1" w:styleId="174">
    <w:name w:val="xl115"/>
    <w:basedOn w:val="1"/>
    <w:uiPriority w:val="0"/>
    <w:pPr>
      <w:widowControl/>
      <w:pBdr>
        <w:bottom w:val="single" w:color="auto" w:sz="8" w:space="0"/>
        <w:right w:val="single" w:color="auto" w:sz="8" w:space="0"/>
      </w:pBdr>
      <w:shd w:val="clear" w:color="000000" w:fill="FFFFFF"/>
      <w:spacing w:before="100" w:beforeAutospacing="1" w:after="100" w:afterAutospacing="1"/>
      <w:jc w:val="center"/>
    </w:pPr>
    <w:rPr>
      <w:color w:val="000000"/>
      <w:kern w:val="0"/>
    </w:rPr>
  </w:style>
  <w:style w:type="paragraph" w:customStyle="1" w:styleId="175">
    <w:name w:val="xl116"/>
    <w:basedOn w:val="1"/>
    <w:uiPriority w:val="0"/>
    <w:pPr>
      <w:widowControl/>
      <w:pBdr>
        <w:bottom w:val="single" w:color="auto" w:sz="8" w:space="0"/>
        <w:right w:val="single" w:color="auto" w:sz="8" w:space="0"/>
      </w:pBdr>
      <w:shd w:val="clear" w:color="000000" w:fill="FFFFFF"/>
      <w:spacing w:before="100" w:beforeAutospacing="1" w:after="100" w:afterAutospacing="1"/>
      <w:jc w:val="center"/>
    </w:pPr>
    <w:rPr>
      <w:color w:val="000000"/>
      <w:kern w:val="0"/>
    </w:rPr>
  </w:style>
  <w:style w:type="paragraph" w:customStyle="1" w:styleId="176">
    <w:name w:val="xl117"/>
    <w:basedOn w:val="1"/>
    <w:uiPriority w:val="0"/>
    <w:pPr>
      <w:widowControl/>
      <w:pBdr>
        <w:bottom w:val="single" w:color="auto" w:sz="8" w:space="0"/>
        <w:right w:val="single" w:color="auto" w:sz="8" w:space="0"/>
      </w:pBdr>
      <w:shd w:val="clear" w:color="000000" w:fill="FFFFFF"/>
      <w:spacing w:before="100" w:beforeAutospacing="1" w:after="100" w:afterAutospacing="1"/>
      <w:jc w:val="center"/>
    </w:pPr>
    <w:rPr>
      <w:color w:val="000000"/>
      <w:kern w:val="0"/>
    </w:rPr>
  </w:style>
  <w:style w:type="paragraph" w:customStyle="1" w:styleId="177">
    <w:name w:val="xl118"/>
    <w:basedOn w:val="1"/>
    <w:uiPriority w:val="0"/>
    <w:pPr>
      <w:widowControl/>
      <w:pBdr>
        <w:top w:val="single" w:color="auto" w:sz="8" w:space="0"/>
        <w:left w:val="single" w:color="auto" w:sz="8" w:space="0"/>
        <w:bottom w:val="single" w:color="auto" w:sz="8" w:space="0"/>
      </w:pBdr>
      <w:shd w:val="clear" w:color="000000" w:fill="FFFFFF"/>
      <w:spacing w:before="100" w:beforeAutospacing="1" w:after="100" w:afterAutospacing="1"/>
      <w:jc w:val="center"/>
    </w:pPr>
    <w:rPr>
      <w:rFonts w:ascii="宋体" w:hAnsi="宋体" w:cs="宋体"/>
      <w:color w:val="FF0000"/>
      <w:kern w:val="0"/>
    </w:rPr>
  </w:style>
  <w:style w:type="paragraph" w:customStyle="1" w:styleId="178">
    <w:name w:val="xl119"/>
    <w:basedOn w:val="1"/>
    <w:uiPriority w:val="0"/>
    <w:pPr>
      <w:widowControl/>
      <w:pBdr>
        <w:top w:val="single" w:color="auto" w:sz="8" w:space="0"/>
        <w:bottom w:val="single" w:color="auto" w:sz="8" w:space="0"/>
        <w:right w:val="single" w:color="auto" w:sz="8" w:space="0"/>
      </w:pBdr>
      <w:shd w:val="clear" w:color="000000" w:fill="FFFFFF"/>
      <w:spacing w:before="100" w:beforeAutospacing="1" w:after="100" w:afterAutospacing="1"/>
      <w:jc w:val="center"/>
    </w:pPr>
    <w:rPr>
      <w:rFonts w:ascii="宋体" w:hAnsi="宋体" w:cs="宋体"/>
      <w:color w:val="FF0000"/>
      <w:kern w:val="0"/>
    </w:rPr>
  </w:style>
  <w:style w:type="paragraph" w:customStyle="1" w:styleId="179">
    <w:name w:val="xl120"/>
    <w:basedOn w:val="1"/>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cs="宋体"/>
      <w:kern w:val="0"/>
      <w:sz w:val="24"/>
      <w:szCs w:val="24"/>
    </w:rPr>
  </w:style>
  <w:style w:type="paragraph" w:customStyle="1" w:styleId="180">
    <w:name w:val="xl121"/>
    <w:basedOn w:val="1"/>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cs="宋体"/>
      <w:kern w:val="0"/>
      <w:sz w:val="24"/>
      <w:szCs w:val="24"/>
    </w:rPr>
  </w:style>
  <w:style w:type="paragraph" w:customStyle="1" w:styleId="181">
    <w:name w:val="xl122"/>
    <w:basedOn w:val="1"/>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cs="宋体"/>
      <w:color w:val="00B050"/>
      <w:kern w:val="0"/>
      <w:sz w:val="24"/>
      <w:szCs w:val="24"/>
    </w:rPr>
  </w:style>
  <w:style w:type="paragraph" w:customStyle="1" w:styleId="182">
    <w:name w:val="xl123"/>
    <w:basedOn w:val="1"/>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color w:val="00B050"/>
      <w:kern w:val="0"/>
      <w:sz w:val="24"/>
      <w:szCs w:val="24"/>
    </w:rPr>
  </w:style>
  <w:style w:type="paragraph" w:customStyle="1" w:styleId="183">
    <w:name w:val="xl124"/>
    <w:basedOn w:val="1"/>
    <w:uiPriority w:val="0"/>
    <w:pPr>
      <w:widowControl/>
      <w:pBdr>
        <w:top w:val="single" w:color="auto" w:sz="8" w:space="0"/>
        <w:left w:val="single" w:color="auto" w:sz="8" w:space="0"/>
      </w:pBdr>
      <w:spacing w:before="100" w:beforeAutospacing="1" w:after="100" w:afterAutospacing="1"/>
      <w:jc w:val="center"/>
    </w:pPr>
    <w:rPr>
      <w:rFonts w:ascii="宋体" w:hAnsi="宋体" w:cs="宋体"/>
      <w:color w:val="000000"/>
      <w:kern w:val="0"/>
    </w:rPr>
  </w:style>
  <w:style w:type="paragraph" w:customStyle="1" w:styleId="184">
    <w:name w:val="xl125"/>
    <w:basedOn w:val="1"/>
    <w:uiPriority w:val="0"/>
    <w:pPr>
      <w:widowControl/>
      <w:pBdr>
        <w:top w:val="single" w:color="auto" w:sz="8" w:space="0"/>
        <w:right w:val="single" w:color="auto" w:sz="8" w:space="0"/>
      </w:pBdr>
      <w:spacing w:before="100" w:beforeAutospacing="1" w:after="100" w:afterAutospacing="1"/>
      <w:jc w:val="center"/>
    </w:pPr>
    <w:rPr>
      <w:rFonts w:ascii="宋体" w:hAnsi="宋体" w:cs="宋体"/>
      <w:color w:val="000000"/>
      <w:kern w:val="0"/>
    </w:rPr>
  </w:style>
  <w:style w:type="paragraph" w:customStyle="1" w:styleId="185">
    <w:name w:val="xl126"/>
    <w:basedOn w:val="1"/>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cs="宋体"/>
      <w:color w:val="000000"/>
      <w:kern w:val="0"/>
    </w:rPr>
  </w:style>
  <w:style w:type="paragraph" w:customStyle="1" w:styleId="186">
    <w:name w:val="xl127"/>
    <w:basedOn w:val="1"/>
    <w:uiPriority w:val="0"/>
    <w:pPr>
      <w:widowControl/>
      <w:pBdr>
        <w:bottom w:val="single" w:color="auto" w:sz="8" w:space="0"/>
        <w:right w:val="single" w:color="auto" w:sz="8" w:space="0"/>
      </w:pBdr>
      <w:spacing w:before="100" w:beforeAutospacing="1" w:after="100" w:afterAutospacing="1"/>
      <w:jc w:val="center"/>
    </w:pPr>
    <w:rPr>
      <w:rFonts w:ascii="宋体" w:hAnsi="宋体" w:cs="宋体"/>
      <w:color w:val="000000"/>
      <w:kern w:val="0"/>
    </w:rPr>
  </w:style>
  <w:style w:type="paragraph" w:customStyle="1" w:styleId="187">
    <w:name w:val="xl128"/>
    <w:basedOn w:val="1"/>
    <w:uiPriority w:val="0"/>
    <w:pPr>
      <w:widowControl/>
      <w:pBdr>
        <w:bottom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188">
    <w:name w:val="xl129"/>
    <w:basedOn w:val="1"/>
    <w:uiPriority w:val="0"/>
    <w:pPr>
      <w:widowControl/>
      <w:pBdr>
        <w:bottom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189">
    <w:name w:val="xl130"/>
    <w:basedOn w:val="1"/>
    <w:uiPriority w:val="0"/>
    <w:pPr>
      <w:widowControl/>
      <w:pBdr>
        <w:left w:val="single" w:color="auto" w:sz="8" w:space="0"/>
        <w:bottom w:val="single" w:color="auto" w:sz="8" w:space="0"/>
      </w:pBdr>
      <w:spacing w:before="100" w:beforeAutospacing="1" w:after="100" w:afterAutospacing="1"/>
      <w:jc w:val="center"/>
    </w:pPr>
    <w:rPr>
      <w:rFonts w:ascii="宋体" w:hAnsi="宋体" w:cs="宋体"/>
      <w:color w:val="000000"/>
      <w:kern w:val="0"/>
    </w:rPr>
  </w:style>
  <w:style w:type="paragraph" w:customStyle="1" w:styleId="190">
    <w:name w:val="xl131"/>
    <w:basedOn w:val="1"/>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color w:val="000000"/>
      <w:kern w:val="0"/>
    </w:rPr>
  </w:style>
  <w:style w:type="paragraph" w:customStyle="1" w:styleId="191">
    <w:name w:val="xl132"/>
    <w:basedOn w:val="1"/>
    <w:uiPriority w:val="0"/>
    <w:pPr>
      <w:widowControl/>
      <w:pBdr>
        <w:bottom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192">
    <w:name w:val="xl133"/>
    <w:basedOn w:val="1"/>
    <w:uiPriority w:val="0"/>
    <w:pPr>
      <w:widowControl/>
      <w:pBdr>
        <w:bottom w:val="single" w:color="auto" w:sz="8" w:space="0"/>
        <w:right w:val="single" w:color="auto" w:sz="8" w:space="0"/>
      </w:pBdr>
      <w:spacing w:before="100" w:beforeAutospacing="1" w:after="100" w:afterAutospacing="1"/>
      <w:jc w:val="center"/>
    </w:pPr>
    <w:rPr>
      <w:rFonts w:ascii="宋体" w:hAnsi="宋体" w:cs="宋体"/>
      <w:color w:val="00B050"/>
      <w:kern w:val="0"/>
      <w:sz w:val="24"/>
      <w:szCs w:val="24"/>
    </w:rPr>
  </w:style>
  <w:style w:type="paragraph" w:customStyle="1" w:styleId="193">
    <w:name w:val="xl134"/>
    <w:basedOn w:val="1"/>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cs="宋体"/>
      <w:kern w:val="0"/>
      <w:sz w:val="24"/>
      <w:szCs w:val="24"/>
    </w:rPr>
  </w:style>
  <w:style w:type="paragraph" w:customStyle="1" w:styleId="194">
    <w:name w:val="xl135"/>
    <w:basedOn w:val="1"/>
    <w:uiPriority w:val="0"/>
    <w:pPr>
      <w:widowControl/>
      <w:pBdr>
        <w:bottom w:val="single" w:color="auto" w:sz="8" w:space="0"/>
        <w:right w:val="single" w:color="auto" w:sz="8" w:space="0"/>
      </w:pBdr>
      <w:shd w:val="clear" w:color="000000" w:fill="FFFFFF"/>
      <w:spacing w:before="100" w:beforeAutospacing="1" w:after="100" w:afterAutospacing="1"/>
      <w:jc w:val="center"/>
    </w:pPr>
    <w:rPr>
      <w:color w:val="000000"/>
      <w:kern w:val="0"/>
    </w:rPr>
  </w:style>
  <w:style w:type="character" w:customStyle="1" w:styleId="195">
    <w:name w:val="font01"/>
    <w:basedOn w:val="37"/>
    <w:qFormat/>
    <w:uiPriority w:val="0"/>
    <w:rPr>
      <w:rFonts w:hint="default" w:ascii="Times New Roman" w:hAnsi="Times New Roman" w:cs="Times New Roman"/>
      <w:color w:val="000000"/>
      <w:sz w:val="21"/>
      <w:szCs w:val="21"/>
      <w:u w:val="none"/>
    </w:rPr>
  </w:style>
  <w:style w:type="character" w:customStyle="1" w:styleId="196">
    <w:name w:val="表格1 Char1"/>
    <w:link w:val="197"/>
    <w:qFormat/>
    <w:uiPriority w:val="0"/>
    <w:rPr>
      <w:rFonts w:ascii="宋体" w:hAnsi="Impact"/>
      <w:kern w:val="24"/>
      <w:sz w:val="28"/>
    </w:rPr>
  </w:style>
  <w:style w:type="paragraph" w:customStyle="1" w:styleId="197">
    <w:name w:val="表格1"/>
    <w:basedOn w:val="1"/>
    <w:next w:val="1"/>
    <w:link w:val="196"/>
    <w:qFormat/>
    <w:uiPriority w:val="0"/>
    <w:pPr>
      <w:topLinePunct/>
      <w:autoSpaceDE w:val="0"/>
      <w:autoSpaceDN w:val="0"/>
      <w:adjustRightInd w:val="0"/>
      <w:spacing w:line="360" w:lineRule="auto"/>
      <w:ind w:left="-2" w:leftChars="-1" w:firstLine="456" w:firstLineChars="190"/>
      <w:jc w:val="center"/>
      <w:textAlignment w:val="baseline"/>
    </w:pPr>
    <w:rPr>
      <w:rFonts w:ascii="宋体" w:hAnsi="Impact"/>
      <w:kern w:val="24"/>
      <w:sz w:val="28"/>
      <w:szCs w:val="20"/>
    </w:rPr>
  </w:style>
  <w:style w:type="paragraph" w:customStyle="1" w:styleId="198">
    <w:name w:val="0正文"/>
    <w:basedOn w:val="1"/>
    <w:qFormat/>
    <w:uiPriority w:val="0"/>
    <w:pPr>
      <w:spacing w:line="360" w:lineRule="auto"/>
      <w:ind w:firstLine="200" w:firstLineChars="200"/>
      <w:jc w:val="left"/>
    </w:pPr>
    <w:rPr>
      <w:kern w:val="0"/>
      <w:sz w:val="24"/>
      <w:szCs w:val="20"/>
      <w:lang w:bidi="en-US"/>
    </w:rPr>
  </w:style>
  <w:style w:type="paragraph" w:customStyle="1" w:styleId="199">
    <w:name w:val="表格内的内容"/>
    <w:basedOn w:val="1"/>
    <w:qFormat/>
    <w:uiPriority w:val="0"/>
    <w:pPr>
      <w:jc w:val="center"/>
    </w:pPr>
    <w:rPr>
      <w:color w:val="000000"/>
      <w:szCs w:val="22"/>
    </w:rPr>
  </w:style>
  <w:style w:type="paragraph" w:customStyle="1" w:styleId="200">
    <w:name w:val="6.表格正文"/>
    <w:next w:val="1"/>
    <w:qFormat/>
    <w:uiPriority w:val="0"/>
    <w:pPr>
      <w:widowControl w:val="0"/>
      <w:jc w:val="center"/>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customXml" Target="../customXml/item1.xml"/><Relationship Id="rId30" Type="http://schemas.openxmlformats.org/officeDocument/2006/relationships/image" Target="media/image17.png"/><Relationship Id="rId3" Type="http://schemas.openxmlformats.org/officeDocument/2006/relationships/header" Target="header1.xml"/><Relationship Id="rId29" Type="http://schemas.openxmlformats.org/officeDocument/2006/relationships/image" Target="media/image16.wmf"/><Relationship Id="rId28" Type="http://schemas.openxmlformats.org/officeDocument/2006/relationships/oleObject" Target="embeddings/oleObject3.bin"/><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jpeg"/><Relationship Id="rId22" Type="http://schemas.openxmlformats.org/officeDocument/2006/relationships/image" Target="media/image10.wmf"/><Relationship Id="rId21" Type="http://schemas.openxmlformats.org/officeDocument/2006/relationships/oleObject" Target="embeddings/oleObject2.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jpeg"/><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72391E-B0B2-4486-BACB-F37F70823065}">
  <ds:schemaRefs/>
</ds:datastoreItem>
</file>

<file path=docProps/app.xml><?xml version="1.0" encoding="utf-8"?>
<Properties xmlns="http://schemas.openxmlformats.org/officeDocument/2006/extended-properties" xmlns:vt="http://schemas.openxmlformats.org/officeDocument/2006/docPropsVTypes">
  <Template>Normal.dotm</Template>
  <Pages>78</Pages>
  <Words>9555</Words>
  <Characters>10284</Characters>
  <Lines>3521</Lines>
  <Paragraphs>3137</Paragraphs>
  <TotalTime>13</TotalTime>
  <ScaleCrop>false</ScaleCrop>
  <LinksUpToDate>false</LinksUpToDate>
  <CharactersWithSpaces>10339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2025-09-27T16:46:00Z</dcterms:created>
  <dc:creator>pang</dc:creator>
  <cp:lastModifiedBy>叶靖</cp:lastModifiedBy>
  <cp:lastPrinted>2025-09-27T19:48:00Z</cp:lastPrinted>
  <dcterms:modified xsi:type="dcterms:W3CDTF">2025-09-30T03:07:04Z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3593F00E9E75425D89F7965DE1DF7D3B_13</vt:lpwstr>
  </property>
  <property fmtid="{D5CDD505-2E9C-101B-9397-08002B2CF9AE}" pid="4" name="KSOTemplateDocerSaveRecord">
    <vt:lpwstr>eyJoZGlkIjoiMTZjMWM1NDFiZDIxNmE2NjNlODI4OTFjMmFlZjA4NDQiLCJ1c2VySWQiOiIzNjY0OTAzMjMifQ==</vt:lpwstr>
  </property>
</Properties>
</file>