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09465CB">
      <w:pPr>
        <w:keepNext w:val="0"/>
        <w:keepLines w:val="0"/>
        <w:pageBreakBefore w:val="0"/>
        <w:kinsoku/>
        <w:wordWrap/>
        <w:overflowPunct/>
        <w:topLinePunct w:val="0"/>
        <w:autoSpaceDE/>
        <w:autoSpaceDN/>
        <w:bidi w:val="0"/>
        <w:adjustRightInd/>
        <w:snapToGrid/>
        <w:spacing w:line="240" w:lineRule="auto"/>
        <w:ind w:right="0" w:rightChars="0" w:firstLine="0" w:firstLineChars="0"/>
        <w:jc w:val="center"/>
        <w:textAlignment w:val="auto"/>
        <w:rPr>
          <w:rFonts w:hint="eastAsia" w:eastAsia="仿宋_GB2312" w:cs="Times New Roman"/>
          <w:color w:val="000000" w:themeColor="text1"/>
          <w:lang w:val="en-US" w:eastAsia="zh-CN"/>
          <w14:textFill>
            <w14:solidFill>
              <w14:schemeClr w14:val="tx1"/>
            </w14:solidFill>
          </w14:textFill>
        </w:rPr>
      </w:pPr>
      <w:r>
        <w:rPr>
          <w:rFonts w:hint="eastAsia" w:cs="Times New Roman"/>
          <w:color w:val="000000" w:themeColor="text1"/>
          <w:lang w:val="en-US" w:eastAsia="zh-CN"/>
          <w14:textFill>
            <w14:solidFill>
              <w14:schemeClr w14:val="tx1"/>
            </w14:solidFill>
          </w14:textFill>
        </w:rPr>
        <w:t xml:space="preserve"> </w:t>
      </w:r>
    </w:p>
    <w:p w14:paraId="5A128561">
      <w:pPr>
        <w:keepNext w:val="0"/>
        <w:keepLines w:val="0"/>
        <w:pageBreakBefore w:val="0"/>
        <w:kinsoku/>
        <w:wordWrap/>
        <w:overflowPunct/>
        <w:topLinePunct w:val="0"/>
        <w:autoSpaceDE/>
        <w:autoSpaceDN/>
        <w:bidi w:val="0"/>
        <w:adjustRightInd/>
        <w:snapToGrid/>
        <w:spacing w:line="240" w:lineRule="auto"/>
        <w:ind w:right="0" w:rightChars="0" w:firstLine="0" w:firstLineChars="0"/>
        <w:jc w:val="center"/>
        <w:textAlignment w:val="auto"/>
        <w:rPr>
          <w:rFonts w:cs="Times New Roman"/>
          <w:color w:val="000000" w:themeColor="text1"/>
          <w14:textFill>
            <w14:solidFill>
              <w14:schemeClr w14:val="tx1"/>
            </w14:solidFill>
          </w14:textFill>
        </w:rPr>
      </w:pPr>
    </w:p>
    <w:p w14:paraId="61EF73E3">
      <w:pPr>
        <w:keepNext w:val="0"/>
        <w:keepLines w:val="0"/>
        <w:pageBreakBefore w:val="0"/>
        <w:kinsoku/>
        <w:wordWrap/>
        <w:overflowPunct/>
        <w:topLinePunct w:val="0"/>
        <w:autoSpaceDE/>
        <w:autoSpaceDN/>
        <w:bidi w:val="0"/>
        <w:adjustRightInd/>
        <w:snapToGrid/>
        <w:spacing w:line="240" w:lineRule="auto"/>
        <w:ind w:right="0" w:rightChars="0" w:firstLine="0" w:firstLineChars="0"/>
        <w:jc w:val="center"/>
        <w:textAlignment w:val="auto"/>
        <w:rPr>
          <w:rFonts w:cs="Times New Roman"/>
          <w:color w:val="000000" w:themeColor="text1"/>
          <w14:textFill>
            <w14:solidFill>
              <w14:schemeClr w14:val="tx1"/>
            </w14:solidFill>
          </w14:textFill>
        </w:rPr>
      </w:pPr>
    </w:p>
    <w:p w14:paraId="248E14E3">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eastAsia" w:ascii="宋体" w:hAnsi="宋体" w:cs="方正小标宋简体"/>
          <w:sz w:val="52"/>
          <w:szCs w:val="52"/>
          <w:lang w:val="en-US" w:eastAsia="zh-CN"/>
        </w:rPr>
      </w:pPr>
      <w:r>
        <w:rPr>
          <w:rFonts w:hint="eastAsia" w:ascii="宋体" w:hAnsi="宋体" w:cs="方正小标宋简体"/>
          <w:sz w:val="52"/>
          <w:szCs w:val="52"/>
          <w:lang w:val="en-US" w:eastAsia="zh-CN"/>
        </w:rPr>
        <w:t>博罗县医共体消毒供应中心</w:t>
      </w:r>
    </w:p>
    <w:p w14:paraId="5072B1F5">
      <w:pPr>
        <w:ind w:left="0" w:leftChars="0" w:firstLine="0" w:firstLineChars="0"/>
        <w:sectPr>
          <w:footerReference r:id="rId5" w:type="default"/>
          <w:pgSz w:w="11906" w:h="16838"/>
          <w:pgMar w:top="1440" w:right="1800" w:bottom="1440" w:left="1800" w:header="851" w:footer="992" w:gutter="0"/>
          <w:cols w:space="425" w:num="1"/>
          <w:docGrid w:type="lines" w:linePitch="312" w:charSpace="0"/>
        </w:sectPr>
      </w:pPr>
    </w:p>
    <w:p w14:paraId="78E19155">
      <w:pPr>
        <w:rPr>
          <w:rFonts w:hint="default"/>
          <w:lang w:val="en-US" w:eastAsia="zh-CN"/>
        </w:rPr>
      </w:pPr>
      <w:r>
        <w:rPr>
          <w:rFonts w:hint="eastAsia"/>
          <w:lang w:val="en-US" w:eastAsia="zh-CN"/>
        </w:rPr>
        <w:t>本项目建设周期3个月。</w:t>
      </w:r>
    </w:p>
    <w:p w14:paraId="4D61E67B">
      <w:pPr>
        <w:pStyle w:val="3"/>
        <w:bidi w:val="0"/>
        <w:rPr>
          <w:rFonts w:hint="eastAsia"/>
          <w:lang w:val="en-US" w:eastAsia="zh-CN"/>
        </w:rPr>
      </w:pPr>
      <w:bookmarkStart w:id="0" w:name="_Toc515"/>
      <w:r>
        <w:rPr>
          <w:rFonts w:hint="eastAsia"/>
          <w:lang w:val="en-US" w:eastAsia="zh-CN"/>
        </w:rPr>
        <w:t>项目内容一览表</w:t>
      </w:r>
      <w:bookmarkEnd w:id="0"/>
    </w:p>
    <w:tbl>
      <w:tblPr>
        <w:tblStyle w:val="24"/>
        <w:tblW w:w="4999"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180"/>
        <w:gridCol w:w="7340"/>
      </w:tblGrid>
      <w:tr w14:paraId="493563F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43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74725E">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建设内容</w:t>
            </w:r>
          </w:p>
        </w:tc>
        <w:tc>
          <w:tcPr>
            <w:tcW w:w="45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FB108D">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建设内容描述</w:t>
            </w:r>
          </w:p>
        </w:tc>
      </w:tr>
      <w:tr w14:paraId="4A49E7F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5" w:hRule="atLeast"/>
        </w:trPr>
        <w:tc>
          <w:tcPr>
            <w:tcW w:w="43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991802D">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医共体消毒供应中心</w:t>
            </w:r>
          </w:p>
        </w:tc>
        <w:tc>
          <w:tcPr>
            <w:tcW w:w="456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245522F">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both"/>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主要建设模块如下：</w:t>
            </w:r>
            <w:r>
              <w:rPr>
                <w:rFonts w:hint="eastAsia" w:ascii="宋体" w:hAnsi="宋体" w:eastAsia="宋体" w:cs="宋体"/>
                <w:b/>
                <w:bCs/>
                <w:i w:val="0"/>
                <w:iCs w:val="0"/>
                <w:color w:val="000000"/>
                <w:kern w:val="0"/>
                <w:sz w:val="24"/>
                <w:szCs w:val="24"/>
                <w:u w:val="none"/>
                <w:lang w:val="en-US" w:eastAsia="zh-CN" w:bidi="ar"/>
              </w:rPr>
              <w:br w:type="textWrapping"/>
            </w:r>
            <w:r>
              <w:rPr>
                <w:rStyle w:val="50"/>
                <w:lang w:val="en-US" w:eastAsia="zh-CN" w:bidi="ar"/>
              </w:rPr>
              <w:t>区域化消毒供应中心管理功能:区域化消毒供应管理模块、医疗机构器械包管理模块、区域化数据汇总统计模块；</w:t>
            </w:r>
            <w:r>
              <w:rPr>
                <w:rStyle w:val="50"/>
                <w:lang w:val="en-US" w:eastAsia="zh-CN" w:bidi="ar"/>
              </w:rPr>
              <w:br w:type="textWrapping"/>
            </w:r>
            <w:r>
              <w:rPr>
                <w:rStyle w:val="50"/>
                <w:lang w:val="en-US" w:eastAsia="zh-CN" w:bidi="ar"/>
              </w:rPr>
              <w:t>县人民医院消毒供应中心信息管理系统：物品申领、回收清点、装配管理、灭菌管理、发放管理、签收管理、统计报表、器械包管理、图像和视频采集、器械维修管理、仪器图谱、清洗消毒、审核打包、使用记录管理、退货管理、召回管理、外来器械包管理、器械仓库管理、质量监测、追溯管理、运作监控管理、干预管理、基础数据管理、用户权限管理、系统告警管理、加急管理、移动终端（PDA）功能模块；</w:t>
            </w:r>
            <w:r>
              <w:rPr>
                <w:rStyle w:val="50"/>
                <w:lang w:val="en-US" w:eastAsia="zh-CN" w:bidi="ar"/>
              </w:rPr>
              <w:br w:type="textWrapping"/>
            </w:r>
            <w:r>
              <w:rPr>
                <w:rStyle w:val="50"/>
                <w:lang w:val="en-US" w:eastAsia="zh-CN" w:bidi="ar"/>
              </w:rPr>
              <w:t>相关接口开发。</w:t>
            </w:r>
          </w:p>
        </w:tc>
      </w:tr>
      <w:tr w14:paraId="3608EA4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90" w:hRule="atLeast"/>
        </w:trPr>
        <w:tc>
          <w:tcPr>
            <w:tcW w:w="43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CE4089E">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硬件设备</w:t>
            </w:r>
          </w:p>
        </w:tc>
        <w:tc>
          <w:tcPr>
            <w:tcW w:w="456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7B84EEC">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污物回收区：触摸屏一体机2台、条码扫描枪2个</w:t>
            </w:r>
            <w:r>
              <w:rPr>
                <w:rFonts w:ascii="仿宋" w:hAnsi="仿宋" w:eastAsia="仿宋" w:cs="仿宋"/>
                <w:i w:val="0"/>
                <w:iCs w:val="0"/>
                <w:color w:val="000000"/>
                <w:kern w:val="0"/>
                <w:sz w:val="24"/>
                <w:szCs w:val="24"/>
                <w:u w:val="none"/>
                <w:lang w:val="en-US" w:eastAsia="zh-CN" w:bidi="ar"/>
              </w:rPr>
              <w:t>；</w:t>
            </w:r>
            <w:r>
              <w:rPr>
                <w:rFonts w:ascii="仿宋" w:hAnsi="仿宋" w:eastAsia="仿宋" w:cs="仿宋"/>
                <w:i w:val="0"/>
                <w:iCs w:val="0"/>
                <w:color w:val="000000"/>
                <w:kern w:val="0"/>
                <w:sz w:val="24"/>
                <w:szCs w:val="24"/>
                <w:u w:val="none"/>
                <w:lang w:val="en-US" w:eastAsia="zh-CN" w:bidi="ar"/>
              </w:rPr>
              <w:br w:type="textWrapping"/>
            </w:r>
            <w:r>
              <w:rPr>
                <w:rStyle w:val="50"/>
                <w:lang w:val="en-US" w:eastAsia="zh-CN" w:bidi="ar"/>
              </w:rPr>
              <w:t>配包间：触摸屏一体机3台、条码扫描枪3个、条码标签打印机5台；</w:t>
            </w:r>
            <w:r>
              <w:rPr>
                <w:rStyle w:val="50"/>
                <w:lang w:val="en-US" w:eastAsia="zh-CN" w:bidi="ar"/>
              </w:rPr>
              <w:br w:type="textWrapping"/>
            </w:r>
            <w:r>
              <w:rPr>
                <w:rStyle w:val="50"/>
                <w:lang w:val="en-US" w:eastAsia="zh-CN" w:bidi="ar"/>
              </w:rPr>
              <w:t>灭菌区：触摸屏一体机1台、条码扫描枪1个、条码标签打印机1台、无线手持终端（PDA）3台；</w:t>
            </w:r>
            <w:r>
              <w:rPr>
                <w:rStyle w:val="50"/>
                <w:lang w:val="en-US" w:eastAsia="zh-CN" w:bidi="ar"/>
              </w:rPr>
              <w:br w:type="textWrapping"/>
            </w:r>
            <w:r>
              <w:rPr>
                <w:rStyle w:val="50"/>
                <w:lang w:val="en-US" w:eastAsia="zh-CN" w:bidi="ar"/>
              </w:rPr>
              <w:t>无菌区：触摸屏一体机1台、条码扫描枪1个、无线手持终端（PDA）2台；</w:t>
            </w:r>
            <w:r>
              <w:rPr>
                <w:rStyle w:val="50"/>
                <w:lang w:val="en-US" w:eastAsia="zh-CN" w:bidi="ar"/>
              </w:rPr>
              <w:br w:type="textWrapping"/>
            </w:r>
            <w:r>
              <w:rPr>
                <w:rStyle w:val="50"/>
                <w:lang w:val="en-US" w:eastAsia="zh-CN" w:bidi="ar"/>
              </w:rPr>
              <w:t>辅助耗材：设备标识牌20个；洗水布套装2套；高清摄像头4个；摄像头支架4个；</w:t>
            </w:r>
            <w:r>
              <w:rPr>
                <w:rStyle w:val="50"/>
                <w:lang w:val="en-US" w:eastAsia="zh-CN" w:bidi="ar"/>
              </w:rPr>
              <w:br w:type="textWrapping"/>
            </w:r>
            <w:r>
              <w:rPr>
                <w:rStyle w:val="50"/>
                <w:lang w:val="en-US" w:eastAsia="zh-CN" w:bidi="ar"/>
              </w:rPr>
              <w:t>服务器：数据库服务器1台；应用服务器1台。</w:t>
            </w:r>
          </w:p>
        </w:tc>
      </w:tr>
    </w:tbl>
    <w:p w14:paraId="01F316BE">
      <w:pPr>
        <w:rPr>
          <w:rFonts w:hint="eastAsia"/>
          <w:lang w:val="en-US" w:eastAsia="zh-CN"/>
        </w:rPr>
      </w:pPr>
    </w:p>
    <w:p w14:paraId="0C424F83">
      <w:pPr>
        <w:bidi w:val="0"/>
        <w:rPr>
          <w:rFonts w:hint="eastAsia"/>
          <w:lang w:val="en-US" w:eastAsia="zh-CN"/>
        </w:rPr>
      </w:pPr>
    </w:p>
    <w:p w14:paraId="0E8D7A87">
      <w:pPr>
        <w:pStyle w:val="4"/>
        <w:bidi w:val="0"/>
        <w:rPr>
          <w:rFonts w:hint="eastAsia"/>
        </w:rPr>
      </w:pPr>
      <w:bookmarkStart w:id="1" w:name="_Toc22301"/>
      <w:r>
        <w:rPr>
          <w:rFonts w:hint="eastAsia"/>
        </w:rPr>
        <w:t>信息系统安全保护等级级别</w:t>
      </w:r>
      <w:bookmarkEnd w:id="1"/>
    </w:p>
    <w:p w14:paraId="056A9F8C">
      <w:pPr>
        <w:bidi w:val="0"/>
        <w:rPr>
          <w:rFonts w:hint="eastAsia"/>
          <w:lang w:val="en-US" w:eastAsia="zh-CN"/>
        </w:rPr>
      </w:pPr>
      <w:r>
        <w:rPr>
          <w:rFonts w:hint="eastAsia"/>
          <w:highlight w:val="none"/>
        </w:rPr>
        <w:t>本项目建设的医共体</w:t>
      </w:r>
      <w:r>
        <w:rPr>
          <w:rFonts w:hint="eastAsia"/>
          <w:highlight w:val="none"/>
          <w:lang w:val="en-US" w:eastAsia="zh-CN"/>
        </w:rPr>
        <w:t>消毒供应</w:t>
      </w:r>
      <w:r>
        <w:rPr>
          <w:rFonts w:hint="eastAsia"/>
          <w:highlight w:val="none"/>
        </w:rPr>
        <w:t>中心</w:t>
      </w:r>
      <w:r>
        <w:rPr>
          <w:rFonts w:hint="eastAsia"/>
          <w:highlight w:val="none"/>
          <w:lang w:val="en-US" w:eastAsia="zh-CN"/>
        </w:rPr>
        <w:t>系统</w:t>
      </w:r>
      <w:r>
        <w:rPr>
          <w:rFonts w:hint="eastAsia"/>
          <w:highlight w:val="none"/>
        </w:rPr>
        <w:t>不涉及信息系统安全保护等级评级。医共体</w:t>
      </w:r>
      <w:r>
        <w:rPr>
          <w:rFonts w:hint="eastAsia"/>
          <w:highlight w:val="none"/>
          <w:lang w:val="en-US" w:eastAsia="zh-CN"/>
        </w:rPr>
        <w:t>消毒供应</w:t>
      </w:r>
      <w:r>
        <w:rPr>
          <w:rFonts w:hint="eastAsia"/>
          <w:highlight w:val="none"/>
        </w:rPr>
        <w:t>中心</w:t>
      </w:r>
      <w:r>
        <w:rPr>
          <w:rFonts w:hint="eastAsia"/>
          <w:highlight w:val="none"/>
          <w:lang w:val="en-US" w:eastAsia="zh-CN"/>
        </w:rPr>
        <w:t>系统需满足二级等保要求</w:t>
      </w:r>
      <w:r>
        <w:rPr>
          <w:rFonts w:hint="eastAsia"/>
          <w:lang w:val="en-US" w:eastAsia="zh-CN"/>
        </w:rPr>
        <w:t>。</w:t>
      </w:r>
    </w:p>
    <w:p w14:paraId="112DB89F">
      <w:pPr>
        <w:pStyle w:val="3"/>
        <w:bidi w:val="0"/>
        <w:rPr>
          <w:rFonts w:hint="eastAsia" w:ascii="黑体" w:hAnsi="黑体" w:eastAsia="黑体" w:cs="黑体"/>
          <w:kern w:val="2"/>
          <w:sz w:val="28"/>
          <w:szCs w:val="28"/>
          <w:lang w:val="en-US" w:eastAsia="zh-CN" w:bidi="ar-SA"/>
        </w:rPr>
      </w:pPr>
      <w:bookmarkStart w:id="2" w:name="_Toc4860"/>
      <w:bookmarkStart w:id="3" w:name="_Toc12983"/>
      <w:r>
        <w:rPr>
          <w:rFonts w:hint="eastAsia" w:cs="黑体"/>
          <w:kern w:val="2"/>
          <w:sz w:val="28"/>
          <w:szCs w:val="28"/>
          <w:lang w:val="en-US" w:eastAsia="zh-CN" w:bidi="ar-SA"/>
        </w:rPr>
        <w:t>国产化需求分析</w:t>
      </w:r>
      <w:bookmarkEnd w:id="2"/>
      <w:bookmarkEnd w:id="3"/>
    </w:p>
    <w:p w14:paraId="445B4658">
      <w:pPr>
        <w:rPr>
          <w:rFonts w:hint="eastAsia"/>
          <w:lang w:val="en-US" w:eastAsia="zh-CN"/>
        </w:rPr>
      </w:pPr>
      <w:r>
        <w:rPr>
          <w:rFonts w:hint="eastAsia"/>
          <w:lang w:val="en-US" w:eastAsia="zh-CN"/>
        </w:rPr>
        <w:t>2022年9月底国资委下发《国资委79号文》，全面指导并要求国央企落实信息化系统的信创国产化改造，要求央企、国企、地方国企全面落实信创国产化。其中，明确要求到2027年底前，实现所有中央企业的信息化系统国产化替代，信创产业将从“关键环节、部分市场”走向“全产业链、全行业”的信息技术升级，全面构建国产自主的IT标准与服务生态。</w:t>
      </w:r>
    </w:p>
    <w:p w14:paraId="114223A8">
      <w:pPr>
        <w:rPr>
          <w:rFonts w:hint="eastAsia"/>
          <w:lang w:val="en-US" w:eastAsia="zh-CN"/>
        </w:rPr>
      </w:pPr>
      <w:r>
        <w:rPr>
          <w:rFonts w:hint="eastAsia"/>
          <w:lang w:val="en-US" w:eastAsia="zh-CN"/>
        </w:rPr>
        <w:t>随着这些年信创技术应用创新技术在党政机关、重点行业的深入推进，信创产品已经逐渐由“可用”到“能用”“好用”转变，同时，基于信创软硬件的行业应用开始走向多元化，医疗行业的应用也要向信创化转变。</w:t>
      </w:r>
    </w:p>
    <w:p w14:paraId="7CD682D1">
      <w:pPr>
        <w:rPr>
          <w:rFonts w:hint="eastAsia"/>
          <w:lang w:val="en-US" w:eastAsia="zh-CN"/>
        </w:rPr>
      </w:pPr>
      <w:r>
        <w:rPr>
          <w:rFonts w:hint="eastAsia"/>
          <w:lang w:val="en-US" w:eastAsia="zh-CN"/>
        </w:rPr>
        <w:t>为响应国家信创战略及医疗行业安全可控要求，医院需全面推进信息系统国产化建设，重点实现核心软硬件设备的自主可控。具体要求包括：</w:t>
      </w:r>
    </w:p>
    <w:p w14:paraId="3F840E8F">
      <w:pPr>
        <w:numPr>
          <w:ilvl w:val="0"/>
          <w:numId w:val="3"/>
        </w:numPr>
        <w:bidi w:val="0"/>
        <w:rPr>
          <w:rFonts w:hint="eastAsia"/>
          <w:lang w:val="en-US" w:eastAsia="zh-CN"/>
        </w:rPr>
      </w:pPr>
      <w:r>
        <w:rPr>
          <w:rFonts w:hint="eastAsia"/>
          <w:lang w:val="en-US" w:eastAsia="zh-CN"/>
        </w:rPr>
        <w:t>基础设施国产化：服务器、存储、网络设备优先采用国产芯片（如鲲鹏、海光）及操作系统（如统信、麒麟），逐步替换进口设备；</w:t>
      </w:r>
    </w:p>
    <w:p w14:paraId="3A1A41CC">
      <w:pPr>
        <w:numPr>
          <w:ilvl w:val="0"/>
          <w:numId w:val="3"/>
        </w:numPr>
        <w:bidi w:val="0"/>
      </w:pPr>
      <w:r>
        <w:rPr>
          <w:rFonts w:hint="eastAsia"/>
          <w:lang w:val="en-US" w:eastAsia="zh-CN"/>
        </w:rPr>
        <w:t>软件系统适配：兼容国产数据库（达梦、人大金仓）、中间件（东方通、金蝶）及开发框架，确保与基础设施的适配性；</w:t>
      </w:r>
      <w:bookmarkStart w:id="4" w:name="_Toc126839028"/>
      <w:bookmarkStart w:id="5" w:name="_Toc192512761"/>
      <w:bookmarkStart w:id="6" w:name="_Toc23124"/>
      <w:r>
        <w:rPr>
          <w:rFonts w:hint="eastAsia"/>
          <w:lang w:val="en-US" w:eastAsia="zh-CN"/>
        </w:rPr>
        <w:br w:type="page"/>
      </w:r>
    </w:p>
    <w:p w14:paraId="14308C28">
      <w:pPr>
        <w:pStyle w:val="3"/>
        <w:bidi w:val="0"/>
      </w:pPr>
      <w:bookmarkStart w:id="7" w:name="_Toc2329"/>
      <w:r>
        <w:rPr>
          <w:rFonts w:hint="eastAsia"/>
          <w:lang w:val="en-US" w:eastAsia="zh-CN"/>
        </w:rPr>
        <w:t>建设内容</w:t>
      </w:r>
      <w:bookmarkEnd w:id="7"/>
    </w:p>
    <w:p w14:paraId="2A94EBEE">
      <w:pPr>
        <w:pStyle w:val="4"/>
        <w:bidi w:val="0"/>
      </w:pPr>
      <w:bookmarkStart w:id="8" w:name="_Toc506"/>
      <w:bookmarkStart w:id="9" w:name="_Toc192512868"/>
      <w:bookmarkStart w:id="10" w:name="_Toc329213316"/>
      <w:bookmarkStart w:id="11" w:name="_Toc330493690"/>
      <w:bookmarkStart w:id="12" w:name="_Toc329216428"/>
      <w:bookmarkStart w:id="13" w:name="_Toc126839024"/>
      <w:bookmarkStart w:id="14" w:name="_Toc329889453"/>
      <w:r>
        <w:rPr>
          <w:rFonts w:hint="eastAsia"/>
        </w:rPr>
        <w:t>区域化消毒供应中心管理功能</w:t>
      </w:r>
      <w:bookmarkEnd w:id="8"/>
      <w:bookmarkEnd w:id="9"/>
    </w:p>
    <w:p w14:paraId="5AC551AF">
      <w:pPr>
        <w:pStyle w:val="5"/>
        <w:bidi w:val="0"/>
      </w:pPr>
      <w:bookmarkStart w:id="15" w:name="_Toc192512870"/>
      <w:r>
        <w:rPr>
          <w:rFonts w:hint="eastAsia"/>
        </w:rPr>
        <w:t>区域化消毒供应管理模块</w:t>
      </w:r>
      <w:bookmarkEnd w:id="15"/>
    </w:p>
    <w:p w14:paraId="1F722A61">
      <w:pPr>
        <w:bidi w:val="0"/>
      </w:pPr>
      <w:r>
        <w:rPr>
          <w:rFonts w:hint="eastAsia"/>
        </w:rPr>
        <w:t>实现一套信息系统进行区域化消毒供应闭环管理。业务上各个医院可独立管理，数据上实现各个医院相互隔离，设置上实现各个医院个性化调整。</w:t>
      </w:r>
    </w:p>
    <w:p w14:paraId="36A2332E">
      <w:pPr>
        <w:bidi w:val="0"/>
      </w:pPr>
      <w:r>
        <w:rPr>
          <w:rFonts w:hint="eastAsia"/>
        </w:rPr>
        <w:t>各医院的财务成本核算数据、工作量统计、质量监测等数据互相隔离，互不影响，可按各医院单独汇总统计分析。</w:t>
      </w:r>
    </w:p>
    <w:p w14:paraId="252533D8">
      <w:pPr>
        <w:bidi w:val="0"/>
      </w:pPr>
      <w:r>
        <w:rPr>
          <w:rFonts w:hint="eastAsia"/>
        </w:rPr>
        <w:t>博罗县也可以集中管理、监控所有医院的业务运行、成本、工作量、质量监测等相关数据，并进行数据汇总统计分析。</w:t>
      </w:r>
    </w:p>
    <w:p w14:paraId="674EC3EE">
      <w:pPr>
        <w:pStyle w:val="5"/>
        <w:bidi w:val="0"/>
      </w:pPr>
      <w:bookmarkStart w:id="16" w:name="_Toc192512871"/>
      <w:r>
        <w:rPr>
          <w:rFonts w:hint="eastAsia"/>
        </w:rPr>
        <w:t>医疗机构器械包管理模块</w:t>
      </w:r>
      <w:bookmarkEnd w:id="16"/>
    </w:p>
    <w:p w14:paraId="170159C1">
      <w:pPr>
        <w:bidi w:val="0"/>
      </w:pPr>
      <w:r>
        <w:rPr>
          <w:rFonts w:hint="eastAsia"/>
        </w:rPr>
        <w:t>通过汇总区域内下属各医院下所有科室申请单，生成区域化发货计划。</w:t>
      </w:r>
    </w:p>
    <w:p w14:paraId="163C1F27">
      <w:pPr>
        <w:bidi w:val="0"/>
      </w:pPr>
      <w:r>
        <w:rPr>
          <w:rFonts w:hint="eastAsia"/>
        </w:rPr>
        <w:t>由区域化消毒供应中心先根据各医院的区域化发货计划发货器械包到各医院。</w:t>
      </w:r>
    </w:p>
    <w:p w14:paraId="57FBC548">
      <w:pPr>
        <w:bidi w:val="0"/>
      </w:pPr>
      <w:r>
        <w:rPr>
          <w:rFonts w:hint="eastAsia"/>
        </w:rPr>
        <w:t>各医院签收入库后，再由各医院根据科室的申请单进行二次发放。</w:t>
      </w:r>
    </w:p>
    <w:p w14:paraId="2DBD6612">
      <w:pPr>
        <w:bidi w:val="0"/>
      </w:pPr>
      <w:r>
        <w:rPr>
          <w:rFonts w:hint="eastAsia"/>
        </w:rPr>
        <w:t>支持各医院器械包独立入库、出库、盘点。</w:t>
      </w:r>
    </w:p>
    <w:p w14:paraId="12ABE7AE">
      <w:pPr>
        <w:pStyle w:val="5"/>
        <w:bidi w:val="0"/>
      </w:pPr>
      <w:bookmarkStart w:id="17" w:name="_Toc192512872"/>
      <w:bookmarkStart w:id="18" w:name="_Toc192512873"/>
      <w:r>
        <w:rPr>
          <w:rFonts w:hint="eastAsia"/>
        </w:rPr>
        <w:t>区域化数据汇总统计模块</w:t>
      </w:r>
      <w:bookmarkEnd w:id="17"/>
    </w:p>
    <w:p w14:paraId="71CEC42B">
      <w:pPr>
        <w:bidi w:val="0"/>
        <w:rPr>
          <w:rFonts w:hint="eastAsia" w:eastAsia="仿宋_GB2312"/>
          <w:lang w:val="en-US" w:eastAsia="zh-CN"/>
        </w:rPr>
      </w:pPr>
      <w:r>
        <w:rPr>
          <w:rFonts w:hint="eastAsia"/>
        </w:rPr>
        <w:t>多医院之间数据交互功能，既可以单独统计单个医院的数据，也可以汇总统计多医院的数据</w:t>
      </w:r>
      <w:r>
        <w:rPr>
          <w:rFonts w:hint="eastAsia"/>
          <w:lang w:eastAsia="zh-CN"/>
        </w:rPr>
        <w:t>。</w:t>
      </w:r>
    </w:p>
    <w:p w14:paraId="1283ADAC">
      <w:pPr>
        <w:bidi w:val="0"/>
        <w:rPr>
          <w:rFonts w:hint="eastAsia" w:eastAsia="仿宋_GB2312"/>
          <w:lang w:val="en-US" w:eastAsia="zh-CN"/>
        </w:rPr>
      </w:pPr>
      <w:r>
        <w:rPr>
          <w:rFonts w:hint="eastAsia"/>
        </w:rPr>
        <w:t>财务成本核算报表可以按照医院单独统计或者多个医院汇总进行统计</w:t>
      </w:r>
      <w:r>
        <w:rPr>
          <w:rFonts w:hint="eastAsia"/>
          <w:lang w:eastAsia="zh-CN"/>
        </w:rPr>
        <w:t>。</w:t>
      </w:r>
      <w:r>
        <w:rPr>
          <w:rFonts w:hint="eastAsia"/>
          <w:lang w:val="en-US" w:eastAsia="zh-CN"/>
        </w:rPr>
        <w:t xml:space="preserve"> </w:t>
      </w:r>
    </w:p>
    <w:p w14:paraId="3EDA3ABB">
      <w:pPr>
        <w:bidi w:val="0"/>
      </w:pPr>
      <w:r>
        <w:rPr>
          <w:rFonts w:hint="eastAsia"/>
        </w:rPr>
        <w:t>工作量统计报表可以按照医院单独统计或者多个医院汇总进行统计</w:t>
      </w:r>
      <w:r>
        <w:rPr>
          <w:rFonts w:hint="eastAsia"/>
          <w:lang w:val="en-US" w:eastAsia="zh-CN"/>
        </w:rPr>
        <w:t>。</w:t>
      </w:r>
      <w:bookmarkEnd w:id="10"/>
      <w:bookmarkEnd w:id="11"/>
      <w:bookmarkEnd w:id="12"/>
      <w:bookmarkEnd w:id="13"/>
      <w:bookmarkEnd w:id="14"/>
      <w:bookmarkEnd w:id="18"/>
    </w:p>
    <w:p w14:paraId="3610A51F">
      <w:pPr>
        <w:pStyle w:val="4"/>
        <w:bidi w:val="0"/>
      </w:pPr>
      <w:bookmarkStart w:id="19" w:name="_Toc30764"/>
      <w:r>
        <w:rPr>
          <w:rFonts w:hint="eastAsia"/>
          <w:lang w:val="en-US" w:eastAsia="zh-CN"/>
        </w:rPr>
        <w:t>县人民医院消毒供应中心信息管理系统</w:t>
      </w:r>
      <w:bookmarkEnd w:id="19"/>
    </w:p>
    <w:bookmarkEnd w:id="4"/>
    <w:bookmarkEnd w:id="5"/>
    <w:p w14:paraId="5ABFAE8F">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pPr>
      <w:r>
        <w:rPr>
          <w:rFonts w:hint="eastAsia"/>
          <w:lang w:val="en-US" w:eastAsia="zh-CN"/>
        </w:rPr>
        <w:t xml:space="preserve"> </w:t>
      </w:r>
    </w:p>
    <w:p w14:paraId="0A6D76B1">
      <w:pPr>
        <w:pStyle w:val="5"/>
        <w:bidi w:val="0"/>
      </w:pPr>
      <w:bookmarkStart w:id="20" w:name="_Toc126839030"/>
      <w:bookmarkStart w:id="21" w:name="_Toc192512763"/>
      <w:r>
        <w:rPr>
          <w:rFonts w:hint="eastAsia"/>
          <w:lang w:val="en-US" w:eastAsia="zh-CN"/>
        </w:rPr>
        <w:t>物品</w:t>
      </w:r>
      <w:r>
        <w:rPr>
          <w:rFonts w:hint="eastAsia"/>
        </w:rPr>
        <w:t>申领</w:t>
      </w:r>
      <w:bookmarkEnd w:id="20"/>
      <w:bookmarkEnd w:id="21"/>
    </w:p>
    <w:p w14:paraId="503B9515">
      <w:pPr>
        <w:bidi w:val="0"/>
      </w:pPr>
      <w:r>
        <w:rPr>
          <w:rFonts w:hint="eastAsia"/>
        </w:rPr>
        <w:t>由临床科室(含手术室)发起申请，填写申请单后提交给消毒供应中心。包含如下几种格式的申请单：器械包换物申请、消毒物品申领（内容不固定的消毒物品）、外来器械包申领、自定义器械包申领。为方便用户选择物品，系统支持多种物品检索方式，包括：拼音码、五笔码、分类码和名称文字检索。</w:t>
      </w:r>
    </w:p>
    <w:p w14:paraId="071D2341">
      <w:pPr>
        <w:bidi w:val="0"/>
      </w:pPr>
      <w:r>
        <w:rPr>
          <w:rFonts w:hint="eastAsia"/>
        </w:rPr>
        <w:t>支持从临床科室收集存在的质量信息，支持临床科室意见反馈。</w:t>
      </w:r>
    </w:p>
    <w:p w14:paraId="3BB6F716">
      <w:pPr>
        <w:spacing w:line="360" w:lineRule="auto"/>
        <w:ind w:firstLine="403"/>
        <w:rPr>
          <w:rFonts w:hint="eastAsia" w:ascii="宋体" w:hAnsi="宋体" w:eastAsia="仿宋_GB2312"/>
          <w:b w:val="0"/>
          <w:bCs/>
          <w:szCs w:val="21"/>
          <w:lang w:eastAsia="zh-CN"/>
        </w:rPr>
      </w:pPr>
      <w:r>
        <w:rPr>
          <w:rFonts w:hint="eastAsia" w:ascii="宋体" w:hAnsi="宋体"/>
          <w:b w:val="0"/>
          <w:bCs/>
          <w:szCs w:val="21"/>
          <w:lang w:val="en-US" w:eastAsia="zh-CN"/>
        </w:rPr>
        <w:t>支持</w:t>
      </w:r>
      <w:r>
        <w:rPr>
          <w:rFonts w:hint="eastAsia" w:ascii="宋体" w:hAnsi="宋体"/>
          <w:b w:val="0"/>
          <w:bCs/>
          <w:szCs w:val="21"/>
        </w:rPr>
        <w:t>申请单列表及申请</w:t>
      </w:r>
      <w:r>
        <w:rPr>
          <w:rFonts w:hint="eastAsia" w:ascii="宋体" w:hAnsi="宋体"/>
          <w:b w:val="0"/>
          <w:bCs/>
          <w:szCs w:val="21"/>
          <w:lang w:eastAsia="zh-CN"/>
        </w:rPr>
        <w:t>；</w:t>
      </w:r>
    </w:p>
    <w:p w14:paraId="4DD24FE6">
      <w:pPr>
        <w:spacing w:line="360" w:lineRule="auto"/>
        <w:ind w:firstLine="403"/>
        <w:rPr>
          <w:rFonts w:hint="eastAsia" w:ascii="宋体" w:hAnsi="宋体" w:eastAsia="仿宋_GB2312"/>
          <w:szCs w:val="21"/>
          <w:lang w:eastAsia="zh-CN"/>
        </w:rPr>
      </w:pPr>
      <w:r>
        <w:rPr>
          <w:rFonts w:hint="eastAsia" w:ascii="宋体" w:hAnsi="宋体"/>
          <w:szCs w:val="21"/>
        </w:rPr>
        <w:t>支持拼音首字母搜索物品</w:t>
      </w:r>
      <w:r>
        <w:rPr>
          <w:rFonts w:hint="eastAsia" w:ascii="宋体" w:hAnsi="宋体"/>
          <w:szCs w:val="21"/>
          <w:lang w:eastAsia="zh-CN"/>
        </w:rPr>
        <w:t>；</w:t>
      </w:r>
    </w:p>
    <w:p w14:paraId="58618AAD">
      <w:pPr>
        <w:pStyle w:val="6"/>
        <w:bidi w:val="0"/>
      </w:pPr>
      <w:bookmarkStart w:id="22" w:name="_Toc192512764"/>
      <w:bookmarkStart w:id="23" w:name="_Toc15770339"/>
      <w:bookmarkStart w:id="24" w:name="_Toc126839031"/>
      <w:r>
        <w:rPr>
          <w:rFonts w:hint="eastAsia"/>
        </w:rPr>
        <w:t>科室申领模板配置</w:t>
      </w:r>
      <w:bookmarkEnd w:id="22"/>
      <w:bookmarkEnd w:id="23"/>
      <w:bookmarkEnd w:id="24"/>
    </w:p>
    <w:p w14:paraId="3585AE0D">
      <w:pPr>
        <w:bidi w:val="0"/>
      </w:pPr>
      <w:r>
        <w:rPr>
          <w:rFonts w:hint="eastAsia"/>
        </w:rPr>
        <w:t>为临床科室配置不同的申请模板，设置后，不同科室申领时，对应显示不同的物品申请模板。</w:t>
      </w:r>
    </w:p>
    <w:p w14:paraId="77905A5E">
      <w:pPr>
        <w:bidi w:val="0"/>
      </w:pPr>
      <w:r>
        <w:rPr>
          <w:rFonts w:hint="eastAsia"/>
        </w:rPr>
        <w:t>系统支持科室自行维护模板，无需通过管理员进行操作。</w:t>
      </w:r>
    </w:p>
    <w:p w14:paraId="08F8E92F">
      <w:pPr>
        <w:bidi w:val="0"/>
      </w:pPr>
      <w:r>
        <w:rPr>
          <w:rFonts w:hint="eastAsia"/>
        </w:rPr>
        <w:t>系统支持模板设置默认物品顺序与物品默认申请数量，减少用户操作。</w:t>
      </w:r>
    </w:p>
    <w:p w14:paraId="7F31AE91">
      <w:pPr>
        <w:bidi w:val="0"/>
      </w:pPr>
      <w:r>
        <w:rPr>
          <w:rFonts w:hint="eastAsia"/>
        </w:rPr>
        <w:t>系统支持申领界面同时显示多个模板。</w:t>
      </w:r>
    </w:p>
    <w:p w14:paraId="2EC2160A">
      <w:pPr>
        <w:bidi w:val="0"/>
      </w:pPr>
      <w:r>
        <w:rPr>
          <w:rFonts w:hint="eastAsia"/>
        </w:rPr>
        <w:t>在控制面板</w:t>
      </w:r>
      <w:r>
        <w:rPr/>
        <w:sym w:font="Wingdings" w:char="F0E0"/>
      </w:r>
      <w:r>
        <w:rPr>
          <w:rFonts w:hint="eastAsia"/>
        </w:rPr>
        <w:t>参数设置</w:t>
      </w:r>
      <w:r>
        <w:rPr/>
        <w:sym w:font="Wingdings" w:char="F0E0"/>
      </w:r>
      <w:r>
        <w:rPr>
          <w:rFonts w:hint="eastAsia"/>
        </w:rPr>
        <w:t>科室申请模板设置中进行设置：</w:t>
      </w:r>
    </w:p>
    <w:p w14:paraId="727A06C1">
      <w:pPr>
        <w:pStyle w:val="6"/>
        <w:bidi w:val="0"/>
      </w:pPr>
      <w:bookmarkStart w:id="25" w:name="_Toc192512765"/>
      <w:bookmarkStart w:id="26" w:name="_Toc126839032"/>
      <w:r>
        <w:rPr>
          <w:rFonts w:hint="eastAsia"/>
        </w:rPr>
        <w:t>器械包申请</w:t>
      </w:r>
      <w:bookmarkEnd w:id="25"/>
      <w:bookmarkEnd w:id="26"/>
    </w:p>
    <w:p w14:paraId="36064DB9">
      <w:pPr>
        <w:bidi w:val="0"/>
      </w:pPr>
      <w:r>
        <w:rPr>
          <w:rFonts w:hint="eastAsia"/>
        </w:rPr>
        <w:t>在科室申领页面单击“申请器械包”按钮则可以打开器械包申领页面。在该页面可以通过输入器械包的拼音简码，五笔码，中文检索器械包信息，并且可以看到该器械包进行一次消毒灭菌的价格。</w:t>
      </w:r>
    </w:p>
    <w:p w14:paraId="4A788CDA">
      <w:pPr>
        <w:bidi w:val="0"/>
      </w:pPr>
      <w:r>
        <w:rPr>
          <w:rFonts w:hint="eastAsia"/>
        </w:rPr>
        <w:t>在器械包列表中，单击器械包名称可以查看器械包的详细信息，包括该器械包的图片，以及器械包所包含的材料清单，点击材料名称可以查看该材料的图片。</w:t>
      </w:r>
    </w:p>
    <w:p w14:paraId="66684918">
      <w:pPr>
        <w:pStyle w:val="6"/>
        <w:bidi w:val="0"/>
      </w:pPr>
      <w:bookmarkStart w:id="27" w:name="_Toc192512766"/>
      <w:bookmarkStart w:id="28" w:name="_Toc126839034"/>
      <w:r>
        <w:rPr>
          <w:rFonts w:hint="eastAsia"/>
        </w:rPr>
        <w:t>消毒物品申请</w:t>
      </w:r>
      <w:bookmarkEnd w:id="27"/>
      <w:bookmarkEnd w:id="28"/>
    </w:p>
    <w:p w14:paraId="754ADC58">
      <w:pPr>
        <w:bidi w:val="0"/>
      </w:pPr>
      <w:r>
        <w:rPr>
          <w:rFonts w:hint="eastAsia"/>
        </w:rPr>
        <w:t>在科室申领页面单击“申请消毒物品”按钮则可以打开消毒物品申领页面。在该消毒物品名称这一栏可以通过输入拼音码、五笔码、物品名称检索所需要的消毒物品。</w:t>
      </w:r>
    </w:p>
    <w:p w14:paraId="18351F46">
      <w:pPr>
        <w:pStyle w:val="6"/>
        <w:bidi w:val="0"/>
      </w:pPr>
      <w:bookmarkStart w:id="29" w:name="_Toc126839035"/>
      <w:bookmarkStart w:id="30" w:name="_Toc192512767"/>
      <w:r>
        <w:rPr>
          <w:rFonts w:hint="eastAsia"/>
        </w:rPr>
        <w:t>外来器械包申请</w:t>
      </w:r>
      <w:bookmarkEnd w:id="29"/>
      <w:bookmarkEnd w:id="30"/>
    </w:p>
    <w:p w14:paraId="7B7F02C6">
      <w:pPr>
        <w:bidi w:val="0"/>
      </w:pPr>
      <w:r>
        <w:rPr>
          <w:rFonts w:hint="eastAsia"/>
        </w:rPr>
        <w:t>在科室申领页面单击“申请外来器械包”按钮则可以打开外来器械包申领页面。在该器械包名称这一栏可以通过输入拼音码、五笔码、名称文字来检索外来器械包。并且输入病人诊疗号获得病人的信息包括姓名、年龄、手术名称等。该功能需要与医院HIS系统做数据接口，从HIS系统获取病人信息。用户同样可以修改该器械包的材料信息，包括材料名称、数量、是否植入物。</w:t>
      </w:r>
    </w:p>
    <w:p w14:paraId="3AEA0883">
      <w:pPr>
        <w:pStyle w:val="6"/>
        <w:bidi w:val="0"/>
      </w:pPr>
      <w:bookmarkStart w:id="31" w:name="_Toc192512768"/>
      <w:bookmarkStart w:id="32" w:name="_Toc126839037"/>
      <w:bookmarkStart w:id="33" w:name="_Toc329216429"/>
      <w:bookmarkStart w:id="34" w:name="_Toc329889454"/>
      <w:r>
        <w:rPr>
          <w:rFonts w:hint="eastAsia"/>
        </w:rPr>
        <w:t>通用申请单</w:t>
      </w:r>
      <w:bookmarkEnd w:id="31"/>
      <w:bookmarkEnd w:id="32"/>
    </w:p>
    <w:p w14:paraId="6DEBD537">
      <w:pPr>
        <w:bidi w:val="0"/>
      </w:pPr>
      <w:r>
        <w:rPr>
          <w:rFonts w:hint="eastAsia"/>
        </w:rPr>
        <w:t>通用申请单可以把所有申请单类型合为一张单进行申请。</w:t>
      </w:r>
    </w:p>
    <w:p w14:paraId="5899EF37">
      <w:pPr>
        <w:pStyle w:val="6"/>
        <w:bidi w:val="0"/>
      </w:pPr>
      <w:bookmarkStart w:id="35" w:name="_Toc192512769"/>
      <w:bookmarkStart w:id="36" w:name="_Toc126839038"/>
      <w:r>
        <w:rPr>
          <w:rFonts w:hint="eastAsia"/>
        </w:rPr>
        <w:t>申请加急功能</w:t>
      </w:r>
      <w:bookmarkEnd w:id="35"/>
      <w:bookmarkEnd w:id="36"/>
    </w:p>
    <w:p w14:paraId="1AF20A02">
      <w:pPr>
        <w:bidi w:val="0"/>
      </w:pPr>
      <w:r>
        <w:rPr>
          <w:rFonts w:hint="eastAsia"/>
        </w:rPr>
        <w:t>系统支持需要紧急使用的器械，申请时可进行加急，并可选择加急级别。加急级别可以自定义。支持对申领的物品进行部分加急。</w:t>
      </w:r>
    </w:p>
    <w:p w14:paraId="600FA454">
      <w:pPr>
        <w:pStyle w:val="6"/>
        <w:bidi w:val="0"/>
      </w:pPr>
      <w:bookmarkStart w:id="37" w:name="_Toc126839039"/>
      <w:bookmarkStart w:id="38" w:name="_Toc192512770"/>
      <w:r>
        <w:rPr>
          <w:rFonts w:hint="eastAsia"/>
        </w:rPr>
        <w:t>物品黑白名单过滤设置</w:t>
      </w:r>
      <w:bookmarkEnd w:id="37"/>
      <w:bookmarkEnd w:id="38"/>
    </w:p>
    <w:p w14:paraId="77978633">
      <w:pPr>
        <w:rPr>
          <w:rFonts w:ascii="宋体" w:hAnsi="宋体" w:cs="宋体"/>
          <w:szCs w:val="21"/>
        </w:rPr>
      </w:pPr>
      <w:r>
        <w:rPr>
          <w:rFonts w:hint="eastAsia" w:ascii="宋体" w:hAnsi="宋体" w:cs="宋体"/>
          <w:szCs w:val="21"/>
        </w:rPr>
        <w:t>支持科室申领物品黑、白名单功能。可控制科室可申领清单或不可申领清单。</w:t>
      </w:r>
    </w:p>
    <w:p w14:paraId="4C9614C7">
      <w:pPr>
        <w:pStyle w:val="6"/>
        <w:bidi w:val="0"/>
      </w:pPr>
      <w:bookmarkStart w:id="39" w:name="_Toc126839040"/>
      <w:bookmarkStart w:id="40" w:name="_Ref121426449"/>
      <w:bookmarkStart w:id="41" w:name="_Toc192512771"/>
      <w:r>
        <w:rPr>
          <w:rFonts w:hint="eastAsia"/>
        </w:rPr>
        <w:t>申领单终止</w:t>
      </w:r>
      <w:bookmarkEnd w:id="39"/>
      <w:bookmarkEnd w:id="40"/>
      <w:bookmarkEnd w:id="41"/>
    </w:p>
    <w:p w14:paraId="716B9C0D">
      <w:r>
        <w:rPr>
          <w:rFonts w:hint="eastAsia"/>
        </w:rPr>
        <w:t>支持异常情况下的终止操作。基于实际业务的所有异常情况，都可以通过有权限的用户进行终止操作，同时记录系统日志。终止后的申请单不能继续后续的任何操作。</w:t>
      </w:r>
    </w:p>
    <w:p w14:paraId="00B63358">
      <w:r>
        <w:rPr>
          <w:rFonts w:hint="eastAsia"/>
        </w:rPr>
        <w:t>系统支持申申领单部分终止功能，进入单据后选中需要终止的物品即可进行部分终止，单据内其他物品不会受到影响。</w:t>
      </w:r>
    </w:p>
    <w:p w14:paraId="4A572543">
      <w:pPr>
        <w:pStyle w:val="6"/>
        <w:bidi w:val="0"/>
      </w:pPr>
      <w:bookmarkStart w:id="42" w:name="_Toc126839041"/>
      <w:bookmarkStart w:id="43" w:name="_Toc192512772"/>
      <w:r>
        <w:rPr>
          <w:rFonts w:hint="eastAsia"/>
        </w:rPr>
        <w:t>批量打印发货计划</w:t>
      </w:r>
      <w:bookmarkEnd w:id="42"/>
      <w:bookmarkEnd w:id="43"/>
    </w:p>
    <w:p w14:paraId="7CC10C39">
      <w:r>
        <w:rPr>
          <w:rFonts w:hint="eastAsia"/>
        </w:rPr>
        <w:t>可一键打印提前设置好范围的申请单</w:t>
      </w:r>
    </w:p>
    <w:p w14:paraId="07A924B4">
      <w:pPr>
        <w:bidi w:val="0"/>
      </w:pPr>
      <w:r>
        <w:rPr>
          <w:rFonts w:hint="eastAsia"/>
        </w:rPr>
        <w:t>可对批量打印申请单的范围进行自定义</w:t>
      </w:r>
    </w:p>
    <w:bookmarkEnd w:id="33"/>
    <w:bookmarkEnd w:id="34"/>
    <w:p w14:paraId="687CD98F">
      <w:pPr>
        <w:pStyle w:val="5"/>
        <w:bidi w:val="0"/>
      </w:pPr>
      <w:bookmarkStart w:id="44" w:name="_Toc330493691"/>
      <w:bookmarkStart w:id="45" w:name="_Toc172565117"/>
      <w:bookmarkStart w:id="46" w:name="_Toc126839042"/>
      <w:bookmarkStart w:id="47" w:name="_Toc192512773"/>
      <w:bookmarkStart w:id="48" w:name="_Toc126839080"/>
      <w:r>
        <w:rPr>
          <w:rFonts w:hint="eastAsia"/>
        </w:rPr>
        <w:t>回收</w:t>
      </w:r>
      <w:bookmarkEnd w:id="44"/>
      <w:r>
        <w:rPr>
          <w:rFonts w:hint="eastAsia"/>
        </w:rPr>
        <w:t>清点</w:t>
      </w:r>
      <w:bookmarkEnd w:id="45"/>
      <w:bookmarkEnd w:id="46"/>
      <w:bookmarkEnd w:id="47"/>
    </w:p>
    <w:p w14:paraId="4D8115D9">
      <w:pPr>
        <w:pStyle w:val="6"/>
        <w:bidi w:val="0"/>
      </w:pPr>
      <w:bookmarkStart w:id="49" w:name="_Toc15770348"/>
      <w:bookmarkStart w:id="50" w:name="_Toc172565118"/>
      <w:bookmarkStart w:id="51" w:name="_Toc126839043"/>
      <w:bookmarkStart w:id="52" w:name="_Toc509834040"/>
      <w:bookmarkStart w:id="53" w:name="_Toc192512774"/>
      <w:r>
        <w:rPr>
          <w:rFonts w:hint="eastAsia"/>
        </w:rPr>
        <w:t>普通回收</w:t>
      </w:r>
      <w:bookmarkEnd w:id="49"/>
      <w:bookmarkEnd w:id="50"/>
      <w:bookmarkEnd w:id="51"/>
      <w:bookmarkEnd w:id="52"/>
      <w:bookmarkEnd w:id="53"/>
    </w:p>
    <w:p w14:paraId="3A280E71">
      <w:pPr>
        <w:bidi w:val="0"/>
      </w:pPr>
      <w:r>
        <w:rPr>
          <w:rFonts w:hint="eastAsia"/>
        </w:rPr>
        <w:t>回收环节在去污区进行，一般由2名回收工作人员配合完成，一位进行清点，另一位在追溯系统中登记相关信息。考虑到工作人员需要戴手套，不方便操作鼠标和键盘，系统可提供一台21.5寸的大屏幕触摸屏一体机，该设备配备有灵敏的电容屏，软件的用户界面经过专门设计，采用大的图标按钮和文字，方便工作人员使用电容笔（或者戴手套）点击触摸屏完成清点登记操作。</w:t>
      </w:r>
    </w:p>
    <w:p w14:paraId="4367A8F8">
      <w:pPr>
        <w:bidi w:val="0"/>
        <w:rPr>
          <w:b/>
          <w:bCs/>
        </w:rPr>
      </w:pPr>
      <w:r>
        <w:rPr>
          <w:rFonts w:hint="eastAsia"/>
          <w:b/>
          <w:bCs/>
        </w:rPr>
        <w:t>提供两种回收方式：</w:t>
      </w:r>
    </w:p>
    <w:p w14:paraId="57299181">
      <w:pPr>
        <w:bidi w:val="0"/>
      </w:pPr>
      <w:r>
        <w:rPr>
          <w:rFonts w:hint="eastAsia"/>
        </w:rPr>
        <w:t>（1）扫描器械包身份标识回收器械包（回收一般临床科室器械包时，扫描包条码确认回收代表器械包生命周期结束）；在完成回收操作时，该器械包的状态会改为已回收，可以通过这种方式统计各科室器械包的使用情况。</w:t>
      </w:r>
    </w:p>
    <w:p w14:paraId="7AFC6A39">
      <w:pPr>
        <w:bidi w:val="0"/>
      </w:pPr>
      <w:r>
        <w:rPr>
          <w:rFonts w:hint="eastAsia"/>
        </w:rPr>
        <w:t>（2）扫描科室条码显示该科室待回收器械列表，支持器械包数量增减与品种增加；（手术室等重点手术部门，其手术器械包条码在手术时已被扫描记录，代表包的生命周期结束）。</w:t>
      </w:r>
    </w:p>
    <w:p w14:paraId="48939A19">
      <w:pPr>
        <w:bidi w:val="0"/>
      </w:pPr>
      <w:r>
        <w:rPr>
          <w:rFonts w:hint="eastAsia"/>
        </w:rPr>
        <w:t xml:space="preserve">支持器械包与科室关联的器械丢失及正常报损处理。 </w:t>
      </w:r>
    </w:p>
    <w:p w14:paraId="7596E3B9">
      <w:pPr>
        <w:bidi w:val="0"/>
      </w:pPr>
      <w:r>
        <w:rPr>
          <w:rFonts w:hint="eastAsia"/>
        </w:rPr>
        <w:t>支持常规器械与固定手术器械包回收分类，通过扫描篮筐条码装载不同清洗物品准备清洗。</w:t>
      </w:r>
    </w:p>
    <w:p w14:paraId="5FC8F08D">
      <w:pPr>
        <w:bidi w:val="0"/>
      </w:pPr>
      <w:r>
        <w:rPr>
          <w:rFonts w:hint="eastAsia"/>
        </w:rPr>
        <w:t>在回收记录列表页面，左侧部分是待回收记录，点击可查看科室申请回收的物品清单，右侧显示历史回收记录。回收环节在去污区进行，工作人员需要戴手套，不方便操作鼠标和键盘，回收环节支持PC和触摸屏两种版本的操作，允许工作人员戴手套点击触摸屏完成清点登记操作。</w:t>
      </w:r>
    </w:p>
    <w:p w14:paraId="25324642">
      <w:pPr>
        <w:pStyle w:val="6"/>
        <w:bidi w:val="0"/>
      </w:pPr>
      <w:bookmarkStart w:id="54" w:name="_Toc192512775"/>
      <w:r>
        <w:t>分组独立显示</w:t>
      </w:r>
      <w:bookmarkEnd w:id="54"/>
    </w:p>
    <w:p w14:paraId="09B0280F">
      <w:pPr>
        <w:ind w:firstLine="420"/>
        <w:jc w:val="left"/>
        <w:rPr>
          <w:rFonts w:ascii="宋体" w:hAnsi="宋体"/>
        </w:rPr>
      </w:pPr>
      <w:r>
        <w:rPr>
          <w:rFonts w:hint="eastAsia" w:ascii="宋体" w:hAnsi="宋体"/>
        </w:rPr>
        <w:t>支持门诊数据切分显示，独立分组。</w:t>
      </w:r>
    </w:p>
    <w:p w14:paraId="11B31C69">
      <w:pPr>
        <w:pStyle w:val="6"/>
        <w:bidi w:val="0"/>
      </w:pPr>
      <w:bookmarkStart w:id="55" w:name="_Toc126839044"/>
      <w:bookmarkStart w:id="56" w:name="_Toc172565119"/>
      <w:bookmarkStart w:id="57" w:name="_Toc192512776"/>
      <w:bookmarkStart w:id="58" w:name="_Toc15770349"/>
      <w:bookmarkStart w:id="59" w:name="_Toc509834041"/>
      <w:r>
        <w:rPr>
          <w:rFonts w:hint="eastAsia"/>
        </w:rPr>
        <w:t>器械包一键入筐功能</w:t>
      </w:r>
      <w:bookmarkEnd w:id="55"/>
      <w:bookmarkEnd w:id="56"/>
      <w:bookmarkEnd w:id="57"/>
    </w:p>
    <w:p w14:paraId="2F5A159F">
      <w:pPr>
        <w:bidi w:val="0"/>
      </w:pPr>
      <w:r>
        <w:rPr>
          <w:rFonts w:hint="eastAsia"/>
        </w:rPr>
        <w:t>系统针对基础数据已经分好类别的物品，可以采用一键入筐功能。</w:t>
      </w:r>
    </w:p>
    <w:p w14:paraId="732C54E6">
      <w:pPr>
        <w:pStyle w:val="6"/>
        <w:bidi w:val="0"/>
      </w:pPr>
      <w:bookmarkStart w:id="60" w:name="_Toc192512777"/>
      <w:bookmarkStart w:id="61" w:name="_Toc172565120"/>
      <w:bookmarkStart w:id="62" w:name="_Toc126839045"/>
      <w:r>
        <w:rPr>
          <w:rFonts w:hint="eastAsia"/>
        </w:rPr>
        <w:t>快速回收</w:t>
      </w:r>
      <w:bookmarkEnd w:id="58"/>
      <w:bookmarkEnd w:id="59"/>
      <w:bookmarkEnd w:id="60"/>
      <w:bookmarkEnd w:id="61"/>
      <w:bookmarkEnd w:id="62"/>
    </w:p>
    <w:p w14:paraId="71631117">
      <w:pPr>
        <w:bidi w:val="0"/>
      </w:pPr>
      <w:r>
        <w:rPr>
          <w:rFonts w:hint="eastAsia"/>
        </w:rPr>
        <w:t>用户进入回收清点模块，点击待回收界面的快速回收</w:t>
      </w:r>
    </w:p>
    <w:p w14:paraId="0B75E15C">
      <w:pPr>
        <w:bidi w:val="0"/>
      </w:pPr>
      <w:r>
        <w:rPr>
          <w:rFonts w:hint="eastAsia"/>
        </w:rPr>
        <w:t>系统显示需要进行快速回收的物品清单，该清单按科室进行分组显示，可以按器械包分组过滤，也可以按科室分组过滤。</w:t>
      </w:r>
    </w:p>
    <w:p w14:paraId="24ECEFCD">
      <w:pPr>
        <w:bidi w:val="0"/>
      </w:pPr>
      <w:r>
        <w:rPr>
          <w:rFonts w:hint="eastAsia"/>
        </w:rPr>
        <w:t>用户清点物品数量，点击物品的入筐按钮或点击【一键入筐】，将快速回收物品放入篮筐。</w:t>
      </w:r>
    </w:p>
    <w:p w14:paraId="5906ADA0">
      <w:pPr>
        <w:pStyle w:val="6"/>
        <w:bidi w:val="0"/>
      </w:pPr>
      <w:bookmarkStart w:id="63" w:name="_Toc172565122"/>
      <w:bookmarkStart w:id="64" w:name="_Ref121253201"/>
      <w:bookmarkStart w:id="65" w:name="_Toc126839047"/>
      <w:bookmarkStart w:id="66" w:name="_Toc192512778"/>
      <w:r>
        <w:rPr>
          <w:rFonts w:hint="eastAsia"/>
        </w:rPr>
        <w:t>自动加急</w:t>
      </w:r>
      <w:bookmarkEnd w:id="63"/>
      <w:bookmarkEnd w:id="64"/>
      <w:bookmarkEnd w:id="65"/>
      <w:bookmarkEnd w:id="66"/>
    </w:p>
    <w:p w14:paraId="40BC55AA">
      <w:pPr>
        <w:bidi w:val="0"/>
        <w:rPr>
          <w:lang w:val="zh-CN"/>
        </w:rPr>
      </w:pPr>
      <w:r>
        <w:rPr>
          <w:rFonts w:hint="eastAsia"/>
          <w:lang w:val="zh-CN"/>
        </w:rPr>
        <w:t>当器械包回收数量大于器械包定义中设置加急预警值数量时，会对器械包进行自动加急。</w:t>
      </w:r>
    </w:p>
    <w:p w14:paraId="240BDFFC">
      <w:pPr>
        <w:pStyle w:val="6"/>
        <w:bidi w:val="0"/>
      </w:pPr>
      <w:bookmarkStart w:id="67" w:name="_Toc126839048"/>
      <w:bookmarkStart w:id="68" w:name="_Toc192512779"/>
      <w:bookmarkStart w:id="69" w:name="_Toc172565123"/>
      <w:bookmarkStart w:id="70" w:name="_Hlk121253044"/>
      <w:r>
        <w:rPr>
          <w:rFonts w:hint="eastAsia"/>
        </w:rPr>
        <w:t>回收清点查看器械包图片</w:t>
      </w:r>
      <w:bookmarkEnd w:id="67"/>
      <w:bookmarkEnd w:id="68"/>
      <w:bookmarkEnd w:id="69"/>
    </w:p>
    <w:p w14:paraId="4EEF494B">
      <w:pPr>
        <w:bidi w:val="0"/>
      </w:pPr>
      <w:r>
        <w:rPr>
          <w:rFonts w:hint="eastAsia"/>
        </w:rPr>
        <w:t>软件回收清点模块的用户界面经过专门设计，采用大的图标按钮和文字，方便工作人员使用电容笔（或者戴手套）点击触摸屏完成清点登记操作。在回收、配包、使用记录、追溯等环节可查看器械包图片，并支持各种手势操作。包括：通过2只手指的张开或合拢，放大或者缩小图片，手指向左滑动显示下一张、向右滑动显示上一张图片。</w:t>
      </w:r>
    </w:p>
    <w:bookmarkEnd w:id="70"/>
    <w:p w14:paraId="247049C3">
      <w:pPr>
        <w:pStyle w:val="6"/>
        <w:bidi w:val="0"/>
      </w:pPr>
      <w:bookmarkStart w:id="71" w:name="_Toc126839049"/>
      <w:bookmarkStart w:id="72" w:name="_Toc192512780"/>
      <w:bookmarkStart w:id="73" w:name="_Toc172565124"/>
      <w:bookmarkStart w:id="74" w:name="_Toc118893144"/>
      <w:r>
        <w:rPr>
          <w:rFonts w:hint="eastAsia"/>
        </w:rPr>
        <w:t>支持回收清点登记丢失与报损</w:t>
      </w:r>
      <w:bookmarkEnd w:id="71"/>
      <w:bookmarkEnd w:id="72"/>
      <w:bookmarkEnd w:id="73"/>
      <w:bookmarkEnd w:id="74"/>
    </w:p>
    <w:p w14:paraId="4EE79AB0">
      <w:pPr>
        <w:ind w:firstLine="480" w:firstLineChars="200"/>
      </w:pPr>
      <w:r>
        <w:rPr>
          <w:rFonts w:hint="eastAsia"/>
        </w:rPr>
        <w:t>回收人员在回收界面可对丢失或者报损的器械进行登记。</w:t>
      </w:r>
    </w:p>
    <w:p w14:paraId="5A38C356">
      <w:pPr>
        <w:ind w:firstLine="480" w:firstLineChars="200"/>
      </w:pPr>
      <w:r>
        <w:rPr>
          <w:rFonts w:hint="eastAsia"/>
        </w:rPr>
        <w:t>支持丢失与报损登记后器械包底色发生变化，黄色为丢失、红色为报损。提高异常辨识度。</w:t>
      </w:r>
    </w:p>
    <w:p w14:paraId="11A6C3DA">
      <w:pPr>
        <w:ind w:firstLine="480" w:firstLineChars="200"/>
      </w:pPr>
      <w:r>
        <w:rPr>
          <w:rFonts w:hint="eastAsia"/>
        </w:rPr>
        <w:t>登记丢失后，单据底色为红色，代表单据异常，需要在丢失或报损情况确认后再次进入单据进行确认，确认后单据恢复正常白色。</w:t>
      </w:r>
    </w:p>
    <w:p w14:paraId="24C81868">
      <w:pPr>
        <w:pStyle w:val="6"/>
        <w:bidi w:val="0"/>
      </w:pPr>
      <w:bookmarkStart w:id="75" w:name="_Toc192512781"/>
      <w:r>
        <w:rPr>
          <w:rFonts w:hint="eastAsia"/>
        </w:rPr>
        <w:t>回收清单打印</w:t>
      </w:r>
      <w:bookmarkEnd w:id="75"/>
    </w:p>
    <w:p w14:paraId="6FF889E3">
      <w:pPr>
        <w:ind w:firstLine="480" w:firstLineChars="200"/>
      </w:pPr>
      <w:r>
        <w:rPr>
          <w:rFonts w:hint="eastAsia"/>
        </w:rPr>
        <w:t>系统支持答应回收清单，在回收环节对器械进行回收后，可在打印回收明细中打印回收明细清单用户给配包区的人员了解今天的工作量。</w:t>
      </w:r>
    </w:p>
    <w:p w14:paraId="16CADFAC">
      <w:pPr>
        <w:pStyle w:val="5"/>
        <w:bidi w:val="0"/>
      </w:pPr>
      <w:bookmarkStart w:id="76" w:name="_Toc172565129"/>
      <w:bookmarkStart w:id="77" w:name="_Toc126839053"/>
      <w:bookmarkStart w:id="78" w:name="_Toc192512784"/>
      <w:bookmarkStart w:id="79" w:name="_Toc172565127"/>
      <w:bookmarkStart w:id="80" w:name="_Toc192512782"/>
      <w:bookmarkStart w:id="81" w:name="_Toc126839051"/>
      <w:bookmarkStart w:id="82" w:name="_Ref119509498"/>
      <w:bookmarkStart w:id="83" w:name="_Toc114760741"/>
      <w:bookmarkStart w:id="84" w:name="_Toc512101276"/>
      <w:bookmarkStart w:id="85" w:name="_Toc114839245"/>
      <w:bookmarkStart w:id="86" w:name="_Ref109655803"/>
      <w:bookmarkStart w:id="87" w:name="_Toc118893146"/>
      <w:bookmarkStart w:id="88" w:name="_Toc15770353"/>
      <w:bookmarkStart w:id="89" w:name="_Toc114760039"/>
      <w:bookmarkStart w:id="90" w:name="_Ref119509596"/>
      <w:bookmarkStart w:id="91" w:name="_Toc114846065"/>
      <w:bookmarkStart w:id="92" w:name="_Ref118932494"/>
      <w:bookmarkStart w:id="93" w:name="_Toc114735631"/>
      <w:bookmarkStart w:id="94" w:name="_Ref121253958"/>
      <w:bookmarkStart w:id="95" w:name="_Toc523054545"/>
      <w:bookmarkStart w:id="96" w:name="_Ref121253783"/>
      <w:r>
        <w:rPr>
          <w:rFonts w:hint="eastAsia"/>
        </w:rPr>
        <w:t>装配管理</w:t>
      </w:r>
      <w:bookmarkEnd w:id="76"/>
      <w:bookmarkEnd w:id="77"/>
      <w:bookmarkEnd w:id="78"/>
    </w:p>
    <w:p w14:paraId="7602B949">
      <w:pPr>
        <w:bidi w:val="0"/>
      </w:pPr>
      <w:r>
        <w:rPr>
          <w:rFonts w:hint="eastAsia"/>
        </w:rPr>
        <w:t>清洗完成后，系统自动产生器械包装配任务。工作人员先从任务列表选择配包任务，参考器械包图片和材料图片进行配包。器械包组装完成后，扫描配包者、审核者身份标识条码，打印器械包标签，标签内容包括：器械包名称、材料清单、配包者、审核者、灭菌日期、失效日期和器械包条码等信息。支持自动完成配包审核记录。</w:t>
      </w:r>
    </w:p>
    <w:p w14:paraId="05BDD4BE">
      <w:pPr>
        <w:pStyle w:val="6"/>
        <w:bidi w:val="0"/>
      </w:pPr>
      <w:bookmarkStart w:id="97" w:name="_Toc192512785"/>
      <w:r>
        <w:rPr>
          <w:rFonts w:hint="eastAsia"/>
        </w:rPr>
        <w:t>独立分组显示</w:t>
      </w:r>
      <w:bookmarkEnd w:id="97"/>
    </w:p>
    <w:p w14:paraId="16DF835D">
      <w:pPr>
        <w:bidi w:val="0"/>
      </w:pPr>
      <w:r>
        <w:rPr>
          <w:rFonts w:hint="eastAsia"/>
        </w:rPr>
        <w:t>支持门诊数据切分显示，独立分组：</w:t>
      </w:r>
    </w:p>
    <w:p w14:paraId="4056CC48">
      <w:pPr>
        <w:bidi w:val="0"/>
      </w:pPr>
      <w:r>
        <w:rPr>
          <w:rFonts w:hint="eastAsia"/>
        </w:rPr>
        <w:t>装配完成可打印条码标签：</w:t>
      </w:r>
    </w:p>
    <w:p w14:paraId="23FDB0C6">
      <w:pPr>
        <w:pStyle w:val="6"/>
        <w:bidi w:val="0"/>
      </w:pPr>
      <w:bookmarkStart w:id="98" w:name="_Toc126839054"/>
      <w:bookmarkStart w:id="99" w:name="_Toc192512786"/>
      <w:bookmarkStart w:id="100" w:name="_Toc172565130"/>
      <w:bookmarkStart w:id="101" w:name="_Ref121254093"/>
      <w:r>
        <w:rPr>
          <w:rFonts w:hint="eastAsia"/>
        </w:rPr>
        <w:t>历史装配记录</w:t>
      </w:r>
      <w:bookmarkEnd w:id="98"/>
      <w:bookmarkEnd w:id="99"/>
      <w:bookmarkEnd w:id="100"/>
      <w:bookmarkEnd w:id="101"/>
    </w:p>
    <w:p w14:paraId="4B07AC23">
      <w:pPr>
        <w:bidi w:val="0"/>
      </w:pPr>
      <w:r>
        <w:rPr>
          <w:rFonts w:hint="eastAsia"/>
        </w:rPr>
        <w:t>用户完成装配后同时可以查看当天的历史装配记录，如果有标签的损坏或者丢失可以通过该界面重新打印标签。</w:t>
      </w:r>
    </w:p>
    <w:p w14:paraId="7B709038">
      <w:pPr>
        <w:pStyle w:val="6"/>
        <w:bidi w:val="0"/>
      </w:pPr>
      <w:bookmarkStart w:id="102" w:name="_Toc126839055"/>
      <w:bookmarkStart w:id="103" w:name="_Toc192512787"/>
      <w:bookmarkStart w:id="104" w:name="_Toc172565131"/>
      <w:r>
        <w:rPr>
          <w:rFonts w:hint="eastAsia"/>
        </w:rPr>
        <w:t>自定义装配</w:t>
      </w:r>
      <w:bookmarkEnd w:id="102"/>
      <w:bookmarkEnd w:id="103"/>
      <w:bookmarkEnd w:id="104"/>
    </w:p>
    <w:p w14:paraId="5F7B9D2A">
      <w:pPr>
        <w:bidi w:val="0"/>
      </w:pPr>
      <w:r>
        <w:rPr>
          <w:rFonts w:hint="eastAsia"/>
        </w:rPr>
        <w:t>在自定义装配界面分别扫描配包和审核员的条码，选择器械包名称并点击保存并打印标签即完成了装配功能。</w:t>
      </w:r>
    </w:p>
    <w:p w14:paraId="6FA49BB0">
      <w:pPr>
        <w:bidi w:val="0"/>
      </w:pPr>
      <w:r>
        <w:rPr>
          <w:rFonts w:hint="eastAsia"/>
        </w:rPr>
        <w:t>如需要打印科室，则选择“申请科室”项；科室的打印，由器械包定义中选择的打印来源控制；如器械包定义中选择的打印来源控制为“无”，界面上仍选择申请科室，则打印申请科室。</w:t>
      </w:r>
    </w:p>
    <w:p w14:paraId="01B15DB5">
      <w:pPr>
        <w:bidi w:val="0"/>
      </w:pPr>
      <w:r>
        <w:rPr>
          <w:rFonts w:hint="eastAsia"/>
        </w:rPr>
        <w:t>自定义装配，不打印消毒物品，无论对应的消毒物品是否打印</w:t>
      </w:r>
    </w:p>
    <w:p w14:paraId="418DC231">
      <w:pPr>
        <w:pStyle w:val="6"/>
        <w:bidi w:val="0"/>
      </w:pPr>
      <w:bookmarkStart w:id="105" w:name="_Toc172565132"/>
      <w:bookmarkStart w:id="106" w:name="_Toc192512788"/>
      <w:bookmarkStart w:id="107" w:name="_Toc126839057"/>
      <w:bookmarkStart w:id="108" w:name="_Ref114478402"/>
      <w:bookmarkStart w:id="109" w:name="_Toc114760040"/>
      <w:bookmarkStart w:id="110" w:name="_Toc114839246"/>
      <w:bookmarkStart w:id="111" w:name="_Toc118893148"/>
      <w:bookmarkStart w:id="112" w:name="_Toc114846066"/>
      <w:r>
        <w:rPr>
          <w:rFonts w:hint="eastAsia"/>
        </w:rPr>
        <w:t>配包注意事项提醒</w:t>
      </w:r>
      <w:bookmarkEnd w:id="105"/>
      <w:bookmarkEnd w:id="106"/>
    </w:p>
    <w:p w14:paraId="762BF84F">
      <w:pPr>
        <w:bidi w:val="0"/>
      </w:pPr>
      <w:r>
        <w:rPr>
          <w:rFonts w:hint="eastAsia"/>
        </w:rPr>
        <w:t>系统支持配包注意事项提醒功能。</w:t>
      </w:r>
    </w:p>
    <w:p w14:paraId="09AAF117">
      <w:pPr>
        <w:bidi w:val="0"/>
      </w:pPr>
      <w:r>
        <w:rPr>
          <w:rFonts w:hint="eastAsia"/>
        </w:rPr>
        <w:t>用户在进行装配包含配包注意事项的器械包时，会弹出提示询问用户是否要进行查看。</w:t>
      </w:r>
    </w:p>
    <w:p w14:paraId="1FBFC1AA">
      <w:pPr>
        <w:bidi w:val="0"/>
      </w:pPr>
      <w:r>
        <w:rPr>
          <w:rFonts w:hint="eastAsia"/>
        </w:rPr>
        <w:t>系统支持在器械包信息中对器械包配包注意事项进行编辑。</w:t>
      </w:r>
    </w:p>
    <w:p w14:paraId="146464D4">
      <w:pPr>
        <w:bidi w:val="0"/>
      </w:pPr>
      <w:r>
        <w:rPr>
          <w:rFonts w:hint="eastAsia"/>
        </w:rPr>
        <w:t>支持插入表格、图片、视频、调整字体样式、分割线等常用文档编辑功能。</w:t>
      </w:r>
    </w:p>
    <w:bookmarkEnd w:id="107"/>
    <w:bookmarkEnd w:id="108"/>
    <w:bookmarkEnd w:id="109"/>
    <w:bookmarkEnd w:id="110"/>
    <w:bookmarkEnd w:id="111"/>
    <w:bookmarkEnd w:id="112"/>
    <w:p w14:paraId="61CA50D4">
      <w:pPr>
        <w:pStyle w:val="6"/>
        <w:bidi w:val="0"/>
      </w:pPr>
      <w:bookmarkStart w:id="113" w:name="_Toc114839247"/>
      <w:bookmarkStart w:id="114" w:name="_Toc118893149"/>
      <w:bookmarkStart w:id="115" w:name="_Ref114478403"/>
      <w:bookmarkStart w:id="116" w:name="_Toc192512789"/>
      <w:bookmarkStart w:id="117" w:name="_Toc172565134"/>
      <w:bookmarkStart w:id="118" w:name="_Toc114760041"/>
      <w:bookmarkStart w:id="119" w:name="_Toc126839058"/>
      <w:bookmarkStart w:id="120" w:name="_Toc114846067"/>
      <w:r>
        <w:rPr>
          <w:rFonts w:hint="eastAsia"/>
        </w:rPr>
        <w:t>可视化标签模板设计</w:t>
      </w:r>
      <w:bookmarkEnd w:id="113"/>
      <w:bookmarkEnd w:id="114"/>
      <w:bookmarkEnd w:id="115"/>
      <w:bookmarkEnd w:id="116"/>
      <w:bookmarkEnd w:id="117"/>
      <w:bookmarkEnd w:id="118"/>
      <w:bookmarkEnd w:id="119"/>
      <w:bookmarkEnd w:id="120"/>
    </w:p>
    <w:p w14:paraId="63FD4398">
      <w:pPr>
        <w:bidi w:val="0"/>
      </w:pPr>
      <w:r>
        <w:rPr>
          <w:rFonts w:hint="eastAsia"/>
        </w:rPr>
        <w:t>支持可视化标签模板设计功能，用户可根据实际需要通过标签设计工具箱，采用所见即所得的方式，自行设计无菌物品包外标签所打印的信息和格式。</w:t>
      </w:r>
    </w:p>
    <w:p w14:paraId="127C62ED">
      <w:pPr>
        <w:pStyle w:val="6"/>
        <w:bidi w:val="0"/>
      </w:pPr>
      <w:bookmarkStart w:id="121" w:name="_Toc172565136"/>
      <w:bookmarkStart w:id="122" w:name="_Toc192512790"/>
      <w:bookmarkStart w:id="123" w:name="_Ref121483802"/>
      <w:bookmarkStart w:id="124" w:name="_Toc126839060"/>
      <w:r>
        <w:rPr>
          <w:rFonts w:hint="eastAsia"/>
        </w:rPr>
        <w:t>加急物品提醒</w:t>
      </w:r>
      <w:bookmarkEnd w:id="121"/>
      <w:bookmarkEnd w:id="122"/>
      <w:bookmarkEnd w:id="123"/>
      <w:bookmarkEnd w:id="124"/>
    </w:p>
    <w:p w14:paraId="2557F063">
      <w:pPr>
        <w:bidi w:val="0"/>
      </w:pPr>
      <w:r>
        <w:rPr>
          <w:rFonts w:hint="eastAsia"/>
        </w:rPr>
        <w:t>系统对于需要加急的器械包，可设置多种加急等级，有明显的提示（颜色等）。</w:t>
      </w:r>
    </w:p>
    <w:p w14:paraId="27B0E4C0">
      <w:pPr>
        <w:pStyle w:val="6"/>
        <w:bidi w:val="0"/>
      </w:pPr>
      <w:bookmarkStart w:id="125" w:name="_Toc172565137"/>
      <w:bookmarkStart w:id="126" w:name="_Toc192512791"/>
      <w:bookmarkStart w:id="127" w:name="_Toc126839061"/>
      <w:bookmarkStart w:id="128" w:name="_Hlk121255187"/>
      <w:r>
        <w:rPr>
          <w:rFonts w:hint="eastAsia"/>
        </w:rPr>
        <w:t>修改默认包装方式</w:t>
      </w:r>
      <w:bookmarkEnd w:id="125"/>
      <w:bookmarkEnd w:id="126"/>
      <w:bookmarkEnd w:id="127"/>
    </w:p>
    <w:p w14:paraId="5CC732F4">
      <w:pPr>
        <w:bidi w:val="0"/>
      </w:pPr>
      <w:r>
        <w:rPr>
          <w:rFonts w:hint="eastAsia"/>
        </w:rPr>
        <w:t>系统支持装配时显示器械包的默认包装方式，如有特殊情况用户可手动修改包装方式，系统会自动计算失效期，不同包装类型切换时，系统自动提示失效日期，并需要用户手动确认后，才能进行下一步。</w:t>
      </w:r>
    </w:p>
    <w:bookmarkEnd w:id="128"/>
    <w:p w14:paraId="13217F3A">
      <w:pPr>
        <w:pStyle w:val="6"/>
        <w:bidi w:val="0"/>
      </w:pPr>
      <w:bookmarkStart w:id="129" w:name="_Toc172565138"/>
      <w:bookmarkStart w:id="130" w:name="_Toc192512792"/>
      <w:bookmarkStart w:id="131" w:name="_Toc126839062"/>
      <w:r>
        <w:rPr>
          <w:rFonts w:hint="eastAsia"/>
        </w:rPr>
        <w:t>聚合包装配</w:t>
      </w:r>
      <w:bookmarkEnd w:id="129"/>
      <w:bookmarkEnd w:id="130"/>
      <w:bookmarkEnd w:id="131"/>
    </w:p>
    <w:p w14:paraId="352F84FF">
      <w:pPr>
        <w:bidi w:val="0"/>
      </w:pPr>
      <w:r>
        <w:rPr>
          <w:rFonts w:hint="eastAsia"/>
        </w:rPr>
        <w:t>系统针对口腔科特殊器械等需要进行聚合的器械包，可以在回收时，按照种类清点回收。装配打包时，按照预设模板聚合成特有的口腔科聚合包。每次聚合情况都可以人为分配适应实际业务需求。</w:t>
      </w:r>
    </w:p>
    <w:p w14:paraId="194817D1">
      <w:pPr>
        <w:pStyle w:val="6"/>
        <w:bidi w:val="0"/>
      </w:pPr>
      <w:bookmarkStart w:id="132" w:name="_Toc192512793"/>
      <w:bookmarkStart w:id="133" w:name="_Toc126839063"/>
      <w:bookmarkStart w:id="134" w:name="_Toc172565139"/>
      <w:bookmarkStart w:id="135" w:name="_Hlk121255647"/>
      <w:r>
        <w:rPr>
          <w:rFonts w:hint="eastAsia"/>
        </w:rPr>
        <w:t>装配补充丢失器械</w:t>
      </w:r>
      <w:bookmarkEnd w:id="132"/>
      <w:bookmarkEnd w:id="133"/>
      <w:bookmarkEnd w:id="134"/>
    </w:p>
    <w:p w14:paraId="5D1CB56F">
      <w:pPr>
        <w:bidi w:val="0"/>
      </w:pPr>
      <w:r>
        <w:rPr>
          <w:rFonts w:hint="eastAsia"/>
        </w:rPr>
        <w:t>系统支持当回收环节登记了丢失、报废器械后，装配环节可以根据器械库存，自动补充，并扣减器械材料库存。若库存不足，则限制不能配包。</w:t>
      </w:r>
    </w:p>
    <w:bookmarkEnd w:id="135"/>
    <w:p w14:paraId="6166869B">
      <w:pPr>
        <w:pStyle w:val="5"/>
        <w:bidi w:val="0"/>
      </w:pPr>
      <w:bookmarkStart w:id="136" w:name="_Toc172565142"/>
      <w:bookmarkStart w:id="137" w:name="_Toc192512795"/>
      <w:bookmarkStart w:id="138" w:name="_Toc126839066"/>
      <w:r>
        <w:rPr>
          <w:rFonts w:hint="eastAsia"/>
        </w:rPr>
        <w:t>灭菌管理</w:t>
      </w:r>
      <w:bookmarkEnd w:id="136"/>
      <w:bookmarkEnd w:id="137"/>
      <w:bookmarkEnd w:id="138"/>
    </w:p>
    <w:p w14:paraId="678A7390">
      <w:pPr>
        <w:pStyle w:val="6"/>
        <w:bidi w:val="0"/>
      </w:pPr>
      <w:bookmarkStart w:id="139" w:name="_Toc192512796"/>
      <w:bookmarkStart w:id="140" w:name="_Toc172565143"/>
      <w:bookmarkStart w:id="141" w:name="_Toc15770356"/>
      <w:bookmarkStart w:id="142" w:name="_Toc517874991"/>
      <w:bookmarkStart w:id="143" w:name="_Toc126839067"/>
      <w:r>
        <w:rPr>
          <w:rFonts w:hint="eastAsia"/>
        </w:rPr>
        <w:t>灭菌管理</w:t>
      </w:r>
      <w:bookmarkEnd w:id="139"/>
      <w:bookmarkEnd w:id="140"/>
      <w:bookmarkEnd w:id="141"/>
      <w:bookmarkEnd w:id="142"/>
      <w:bookmarkEnd w:id="143"/>
    </w:p>
    <w:p w14:paraId="05B813B6">
      <w:pPr>
        <w:bidi w:val="0"/>
      </w:pPr>
      <w:r>
        <w:rPr>
          <w:rFonts w:hint="eastAsia"/>
        </w:rPr>
        <w:t>灭菌员通过扫描灭菌器条码、灭菌程序条码、灭菌篮筐（或器械包外）条码进行待灭菌物品装载，确认后启动灭菌任务，系统记录灭菌过程信息，包括：灭菌人员、灭菌设备、灭菌程序、灭菌时间、器械包等。灭菌员扫描灭菌完成指令条码完成灭菌。</w:t>
      </w:r>
    </w:p>
    <w:p w14:paraId="5ED74798">
      <w:pPr>
        <w:bidi w:val="0"/>
      </w:pPr>
      <w:r>
        <w:rPr>
          <w:rFonts w:hint="eastAsia"/>
        </w:rPr>
        <w:t>系统支持拍照记录灭菌参数，如果灭菌设备厂家开放了数据访问接口，系统可与灭菌器设备做接口开发，自动采集灭菌器工作参数。</w:t>
      </w:r>
    </w:p>
    <w:p w14:paraId="4D224804">
      <w:pPr>
        <w:bidi w:val="0"/>
      </w:pPr>
      <w:r>
        <w:rPr>
          <w:rFonts w:hint="eastAsia"/>
        </w:rPr>
        <w:t>本环节支持PDA与电脑操作两种方式。</w:t>
      </w:r>
    </w:p>
    <w:p w14:paraId="4A9CDC9B">
      <w:pPr>
        <w:bidi w:val="0"/>
      </w:pPr>
      <w:r>
        <w:t>P</w:t>
      </w:r>
      <w:r>
        <w:rPr>
          <w:rFonts w:hint="eastAsia"/>
        </w:rPr>
        <w:t>DA灭菌登记：</w:t>
      </w:r>
    </w:p>
    <w:p w14:paraId="564CC0B6">
      <w:pPr>
        <w:bidi w:val="0"/>
      </w:pPr>
      <w:r>
        <w:rPr>
          <w:rFonts w:hint="eastAsia"/>
        </w:rPr>
        <w:t>P</w:t>
      </w:r>
      <w:r>
        <w:t>DA</w:t>
      </w:r>
      <w:r>
        <w:rPr>
          <w:rFonts w:hint="eastAsia"/>
        </w:rPr>
        <w:t>进行灭菌完成后可以拍照上传：</w:t>
      </w:r>
    </w:p>
    <w:p w14:paraId="57238623">
      <w:pPr>
        <w:bidi w:val="0"/>
      </w:pPr>
      <w:r>
        <w:rPr>
          <w:rFonts w:hint="eastAsia"/>
        </w:rPr>
        <w:t>灭菌完成后，打开灭菌记录，如有在灭菌炉配置每一天第一炉为合格的，则第一炉的物品的生物监测结果都为合格，如果有外来器械包需要做生物监测的，生物监测结果会显示为在灭菌炉配置的生物监测结果默认值，开始时间和结束时间也会对应显示；但如果生物监测结果默认值为“无”，则不显示时间。</w:t>
      </w:r>
    </w:p>
    <w:p w14:paraId="7FEDA91B">
      <w:pPr>
        <w:bidi w:val="0"/>
      </w:pPr>
      <w:r>
        <w:rPr>
          <w:rFonts w:hint="eastAsia"/>
        </w:rPr>
        <w:t>用户可以根据需要选择修改生物监测结果，填写开始时间、结束时间、监测员、监测核对员以及监测审核员；有配置生物监测状态的，在灭菌列表也会显示。</w:t>
      </w:r>
    </w:p>
    <w:p w14:paraId="7E6CB704">
      <w:pPr>
        <w:pStyle w:val="6"/>
        <w:bidi w:val="0"/>
      </w:pPr>
      <w:bookmarkStart w:id="144" w:name="_Toc192512797"/>
      <w:r>
        <w:rPr>
          <w:rFonts w:hint="eastAsia"/>
        </w:rPr>
        <w:t>独立分组显示</w:t>
      </w:r>
      <w:bookmarkEnd w:id="144"/>
    </w:p>
    <w:p w14:paraId="1451927F">
      <w:pPr>
        <w:bidi w:val="0"/>
      </w:pPr>
      <w:r>
        <w:rPr>
          <w:rFonts w:hint="eastAsia"/>
        </w:rPr>
        <w:t>支持门诊数据切分显示，独立分组：</w:t>
      </w:r>
    </w:p>
    <w:p w14:paraId="3023CC3C">
      <w:pPr>
        <w:pStyle w:val="6"/>
        <w:bidi w:val="0"/>
      </w:pPr>
      <w:bookmarkStart w:id="145" w:name="_Toc192512798"/>
      <w:bookmarkStart w:id="146" w:name="_Toc126839068"/>
      <w:bookmarkStart w:id="147" w:name="_Toc172565144"/>
      <w:r>
        <w:rPr>
          <w:rFonts w:hint="eastAsia"/>
        </w:rPr>
        <w:t>拦截低温物品进入高温灭菌器</w:t>
      </w:r>
      <w:bookmarkEnd w:id="145"/>
      <w:bookmarkEnd w:id="146"/>
      <w:bookmarkEnd w:id="147"/>
    </w:p>
    <w:p w14:paraId="37EC4F78">
      <w:pPr>
        <w:bidi w:val="0"/>
      </w:pPr>
      <w:r>
        <w:rPr>
          <w:rFonts w:hint="eastAsia"/>
        </w:rPr>
        <w:t>系统支持扫描器械包时，验证灭菌方式，低温物品不能进入高温炉灭菌。</w:t>
      </w:r>
    </w:p>
    <w:p w14:paraId="3244098F">
      <w:pPr>
        <w:bidi w:val="0"/>
      </w:pPr>
      <w:r>
        <w:rPr>
          <w:rFonts w:hint="eastAsia"/>
        </w:rPr>
        <w:t>系统支持自定义灭菌方式、灭菌程序、灭菌器、器械包默认灭菌方式。</w:t>
      </w:r>
    </w:p>
    <w:p w14:paraId="09D43CA1">
      <w:pPr>
        <w:bidi w:val="0"/>
      </w:pPr>
      <w:r>
        <w:rPr>
          <w:rFonts w:hint="eastAsia"/>
        </w:rPr>
        <w:t>当灭菌中扫入的灭菌程序为高温，但是扫入的器械包默认灭菌程序为低温的情况下。系统会弹窗并语音告警提示。</w:t>
      </w:r>
    </w:p>
    <w:p w14:paraId="2B6B796A">
      <w:pPr>
        <w:bidi w:val="0"/>
      </w:pPr>
      <w:r>
        <w:rPr>
          <w:rFonts w:hint="eastAsia"/>
        </w:rPr>
        <w:t>当灭菌中扫入的灭菌程序为高温，但是扫入的器械包默认灭菌程序为低温的情况下。系统会弹窗并语音告警提示。</w:t>
      </w:r>
    </w:p>
    <w:p w14:paraId="1ADD0164">
      <w:pPr>
        <w:pStyle w:val="6"/>
        <w:bidi w:val="0"/>
      </w:pPr>
      <w:bookmarkStart w:id="148" w:name="_Toc172565145"/>
      <w:bookmarkStart w:id="149" w:name="_Toc192512799"/>
      <w:bookmarkStart w:id="150" w:name="_Toc15770357"/>
      <w:bookmarkStart w:id="151" w:name="_Toc517874992"/>
      <w:bookmarkStart w:id="152" w:name="_Toc126839069"/>
      <w:r>
        <w:rPr>
          <w:rFonts w:hint="eastAsia"/>
        </w:rPr>
        <w:t>代理灭菌管理</w:t>
      </w:r>
      <w:bookmarkEnd w:id="148"/>
      <w:bookmarkEnd w:id="149"/>
      <w:bookmarkEnd w:id="150"/>
      <w:bookmarkEnd w:id="151"/>
      <w:bookmarkEnd w:id="152"/>
    </w:p>
    <w:p w14:paraId="77066684">
      <w:pPr>
        <w:bidi w:val="0"/>
      </w:pPr>
      <w:r>
        <w:rPr>
          <w:rFonts w:hint="eastAsia"/>
        </w:rPr>
        <w:t>消毒供应中心登记接收其他科室需要代理消毒灭菌物品包，打印代理灭菌包包外条码标签，扫描代理灭菌包外条码标签进行代理灭菌登记，并填写代理灭菌申请单。</w:t>
      </w:r>
    </w:p>
    <w:p w14:paraId="1B237EC9">
      <w:pPr>
        <w:pStyle w:val="6"/>
        <w:bidi w:val="0"/>
      </w:pPr>
      <w:bookmarkStart w:id="153" w:name="_Toc126839070"/>
      <w:bookmarkStart w:id="154" w:name="_Toc172565146"/>
      <w:bookmarkStart w:id="155" w:name="_Toc517874993"/>
      <w:bookmarkStart w:id="156" w:name="_Toc15770358"/>
      <w:bookmarkStart w:id="157" w:name="_Toc192512800"/>
      <w:r>
        <w:rPr>
          <w:rFonts w:hint="eastAsia"/>
        </w:rPr>
        <w:t>外部代理灭菌管理</w:t>
      </w:r>
      <w:bookmarkEnd w:id="153"/>
      <w:bookmarkEnd w:id="154"/>
      <w:bookmarkEnd w:id="155"/>
      <w:bookmarkEnd w:id="156"/>
      <w:bookmarkEnd w:id="157"/>
    </w:p>
    <w:p w14:paraId="4A68F865">
      <w:pPr>
        <w:bidi w:val="0"/>
        <w:rPr>
          <w:rFonts w:hint="eastAsia" w:eastAsia="仿宋_GB2312"/>
          <w:lang w:eastAsia="zh-CN"/>
        </w:rPr>
      </w:pPr>
      <w:r>
        <w:rPr>
          <w:rFonts w:hint="eastAsia"/>
        </w:rPr>
        <w:t>除供应室外其他科室包装但不打印标签的器械包，供应室代灭菌的物品灭菌功能</w:t>
      </w:r>
      <w:r>
        <w:rPr>
          <w:rFonts w:hint="eastAsia"/>
          <w:lang w:eastAsia="zh-CN"/>
        </w:rPr>
        <w:t>。</w:t>
      </w:r>
    </w:p>
    <w:p w14:paraId="684B600A">
      <w:pPr>
        <w:pStyle w:val="6"/>
        <w:bidi w:val="0"/>
      </w:pPr>
      <w:bookmarkStart w:id="158" w:name="_Toc172565147"/>
      <w:bookmarkStart w:id="159" w:name="_Toc15770359"/>
      <w:bookmarkStart w:id="160" w:name="_Toc192512801"/>
      <w:bookmarkStart w:id="161" w:name="_Toc126839071"/>
      <w:r>
        <w:rPr>
          <w:rFonts w:hint="eastAsia"/>
        </w:rPr>
        <w:t>灭菌中断管理</w:t>
      </w:r>
      <w:bookmarkEnd w:id="158"/>
      <w:bookmarkEnd w:id="159"/>
      <w:bookmarkEnd w:id="160"/>
      <w:bookmarkEnd w:id="161"/>
    </w:p>
    <w:p w14:paraId="699A1811">
      <w:pPr>
        <w:bidi w:val="0"/>
      </w:pPr>
      <w:r>
        <w:rPr>
          <w:rFonts w:hint="eastAsia"/>
        </w:rPr>
        <w:t>灭菌过程中，若发现异常情况，可登记灭菌中断信息，并登记中断原因（质量监测事件）。问题处理后，根据实际情况选择继续灭菌、完成灭菌或终止灭菌。</w:t>
      </w:r>
    </w:p>
    <w:p w14:paraId="33A1E94A">
      <w:pPr>
        <w:pStyle w:val="6"/>
        <w:bidi w:val="0"/>
      </w:pPr>
      <w:bookmarkStart w:id="162" w:name="_Toc192512802"/>
      <w:r>
        <w:rPr>
          <w:rFonts w:hint="eastAsia"/>
        </w:rPr>
        <w:t>灭菌装载</w:t>
      </w:r>
      <w:bookmarkEnd w:id="162"/>
    </w:p>
    <w:p w14:paraId="398C6055">
      <w:pPr>
        <w:bidi w:val="0"/>
      </w:pPr>
      <w:r>
        <w:rPr>
          <w:rFonts w:hint="eastAsia"/>
        </w:rPr>
        <w:t>系统支持灭菌装载功能。在PC或PDA可通过灭菌装载功能，将已审核的器械包装载器械包装载到篮筐或灭菌架。</w:t>
      </w:r>
    </w:p>
    <w:p w14:paraId="5097B0B5">
      <w:pPr>
        <w:bidi w:val="0"/>
      </w:pPr>
      <w:r>
        <w:rPr>
          <w:rFonts w:hint="eastAsia"/>
        </w:rPr>
        <w:t>系统支持首/尾条码扫描，物品批量装载，减少扫描的次数，便于工作的开展。</w:t>
      </w:r>
    </w:p>
    <w:p w14:paraId="1557ABA2">
      <w:pPr>
        <w:bidi w:val="0"/>
      </w:pPr>
      <w:r>
        <w:rPr>
          <w:rFonts w:hint="eastAsia"/>
        </w:rPr>
        <w:t>系统支持灭菌装载单篮筐最高装载量限制的功能，可设定灭菌篮筐的最大装载量，超出装载量将禁止入筐。</w:t>
      </w:r>
    </w:p>
    <w:p w14:paraId="3E6FF5FC">
      <w:pPr>
        <w:pStyle w:val="6"/>
        <w:bidi w:val="0"/>
      </w:pPr>
      <w:bookmarkStart w:id="163" w:name="_Toc114760049"/>
      <w:bookmarkStart w:id="164" w:name="_Ref109655849"/>
      <w:bookmarkStart w:id="165" w:name="_Toc114846075"/>
      <w:bookmarkStart w:id="166" w:name="_Toc114839255"/>
      <w:bookmarkStart w:id="167" w:name="_Toc126839072"/>
      <w:bookmarkStart w:id="168" w:name="_Toc192512803"/>
      <w:bookmarkStart w:id="169" w:name="_Toc172565148"/>
      <w:r>
        <w:rPr>
          <w:rFonts w:hint="eastAsia"/>
        </w:rPr>
        <w:t>含植入物器械包灭菌登记时生物监测提醒</w:t>
      </w:r>
      <w:bookmarkEnd w:id="163"/>
      <w:bookmarkEnd w:id="164"/>
      <w:bookmarkEnd w:id="165"/>
      <w:bookmarkEnd w:id="166"/>
      <w:bookmarkEnd w:id="167"/>
      <w:bookmarkEnd w:id="168"/>
      <w:bookmarkEnd w:id="169"/>
    </w:p>
    <w:p w14:paraId="268B0160">
      <w:pPr>
        <w:bidi w:val="0"/>
      </w:pPr>
      <w:r>
        <w:rPr>
          <w:rFonts w:hint="eastAsia"/>
        </w:rPr>
        <w:t>选择所需要使用的“灭菌炉”和“灭菌程序”→点击“器械名称”后的“载入”入炉→由于入炉的外来器械有植入物，因此提示需要进行生物监测→确认无误后点击“保存”</w:t>
      </w:r>
    </w:p>
    <w:p w14:paraId="254FAC6A">
      <w:pPr>
        <w:bidi w:val="0"/>
      </w:pPr>
      <w:r>
        <w:rPr>
          <w:rFonts w:hint="eastAsia"/>
        </w:rPr>
        <w:t>点击“灭菌员”名称进入已完成的灭菌记录→填入监测结果并登记检测责任人→点击“保存”</w:t>
      </w:r>
    </w:p>
    <w:p w14:paraId="484ACBDD">
      <w:pPr>
        <w:pStyle w:val="6"/>
        <w:bidi w:val="0"/>
      </w:pPr>
      <w:bookmarkStart w:id="170" w:name="_Toc172565149"/>
      <w:bookmarkStart w:id="171" w:name="_Toc126839073"/>
      <w:bookmarkStart w:id="172" w:name="_Toc192512804"/>
      <w:r>
        <w:rPr>
          <w:rFonts w:hint="eastAsia"/>
        </w:rPr>
        <w:t>灭菌监测包管理</w:t>
      </w:r>
      <w:bookmarkEnd w:id="170"/>
      <w:bookmarkEnd w:id="171"/>
      <w:bookmarkEnd w:id="172"/>
    </w:p>
    <w:p w14:paraId="31EADBF7">
      <w:pPr>
        <w:bidi w:val="0"/>
      </w:pPr>
      <w:r>
        <w:rPr>
          <w:rFonts w:hint="eastAsia"/>
        </w:rPr>
        <w:t>灭菌监测包的消耗及使用管理，开炉时进行灭菌监测包检查，没按要求放置则禁止开炉，避免灭菌无效。</w:t>
      </w:r>
    </w:p>
    <w:p w14:paraId="35B5F688">
      <w:pPr>
        <w:pStyle w:val="6"/>
        <w:bidi w:val="0"/>
      </w:pPr>
      <w:bookmarkStart w:id="173" w:name="_Toc192512805"/>
      <w:r>
        <w:rPr>
          <w:rFonts w:hint="eastAsia"/>
        </w:rPr>
        <w:t>强制测试限制</w:t>
      </w:r>
      <w:bookmarkEnd w:id="173"/>
    </w:p>
    <w:p w14:paraId="6F2AB599">
      <w:pPr>
        <w:bidi w:val="0"/>
      </w:pPr>
      <w:r>
        <w:rPr>
          <w:rFonts w:hint="eastAsia"/>
        </w:rPr>
        <w:t>可设定高温灭菌器的每天第</w:t>
      </w:r>
      <w:r>
        <w:t>1炉必须是BD程序</w:t>
      </w:r>
    </w:p>
    <w:p w14:paraId="185DB5A9">
      <w:pPr>
        <w:bidi w:val="0"/>
      </w:pPr>
      <w:r>
        <w:rPr>
          <w:rFonts w:hint="eastAsia"/>
        </w:rPr>
        <w:t>可设置为强制要求或者只是进行提醒。通过告警声音、震动以及红色背景进行提醒。</w:t>
      </w:r>
    </w:p>
    <w:p w14:paraId="5B4FFEC9">
      <w:pPr>
        <w:pStyle w:val="5"/>
        <w:bidi w:val="0"/>
      </w:pPr>
      <w:bookmarkStart w:id="174" w:name="_Toc512101278"/>
      <w:bookmarkStart w:id="175" w:name="_Toc523054547"/>
      <w:bookmarkStart w:id="176" w:name="_Toc192512806"/>
      <w:bookmarkStart w:id="177" w:name="_Ref109655831"/>
      <w:bookmarkStart w:id="178" w:name="_Toc126839075"/>
      <w:bookmarkStart w:id="179" w:name="_Toc114760744"/>
      <w:bookmarkStart w:id="180" w:name="_Toc15770360"/>
      <w:bookmarkStart w:id="181" w:name="_Toc114846076"/>
      <w:bookmarkStart w:id="182" w:name="_Toc114735634"/>
      <w:bookmarkStart w:id="183" w:name="_Toc114760050"/>
      <w:bookmarkStart w:id="184" w:name="_Toc172565150"/>
      <w:bookmarkStart w:id="185" w:name="_Toc114839256"/>
      <w:r>
        <w:rPr>
          <w:rFonts w:hint="eastAsia"/>
        </w:rPr>
        <w:t>发放</w:t>
      </w:r>
      <w:bookmarkEnd w:id="174"/>
      <w:bookmarkEnd w:id="175"/>
      <w:r>
        <w:rPr>
          <w:rFonts w:hint="eastAsia"/>
        </w:rPr>
        <w:t>管理</w:t>
      </w:r>
      <w:bookmarkEnd w:id="176"/>
      <w:bookmarkEnd w:id="177"/>
      <w:bookmarkEnd w:id="178"/>
      <w:bookmarkEnd w:id="179"/>
      <w:bookmarkEnd w:id="180"/>
      <w:bookmarkEnd w:id="181"/>
      <w:bookmarkEnd w:id="182"/>
      <w:bookmarkEnd w:id="183"/>
      <w:bookmarkEnd w:id="184"/>
      <w:bookmarkEnd w:id="185"/>
    </w:p>
    <w:p w14:paraId="15F9C859">
      <w:pPr>
        <w:bidi w:val="0"/>
      </w:pPr>
      <w:r>
        <w:rPr>
          <w:rFonts w:hint="eastAsia"/>
        </w:rPr>
        <w:t>根据科室需求（来自申请信息及回收确认信息）制订发货计划。系统会确保申请物品和实际发放物品的一致性（通过扫描物品包条码确定实际发放物品）。</w:t>
      </w:r>
      <w:r>
        <w:t xml:space="preserve"> </w:t>
      </w:r>
    </w:p>
    <w:p w14:paraId="19272574">
      <w:pPr>
        <w:bidi w:val="0"/>
      </w:pPr>
      <w:r>
        <w:rPr>
          <w:rFonts w:hint="eastAsia"/>
        </w:rPr>
        <w:t>系统支持PC和PDA两种方式进行发货。</w:t>
      </w:r>
    </w:p>
    <w:p w14:paraId="547A41A1">
      <w:pPr>
        <w:bidi w:val="0"/>
      </w:pPr>
      <w:r>
        <w:rPr>
          <w:rFonts w:hint="eastAsia"/>
        </w:rPr>
        <w:t>发货时工作人员根据发货单的物品清单，扫描待发放物品条码，系统与发货单内容比对，如果物品的类型或者数量不符合，系统会报警提示，避免发放错误。</w:t>
      </w:r>
    </w:p>
    <w:p w14:paraId="3AD11011">
      <w:pPr>
        <w:pStyle w:val="6"/>
        <w:bidi w:val="0"/>
      </w:pPr>
      <w:bookmarkStart w:id="186" w:name="_Toc192512807"/>
      <w:bookmarkStart w:id="187" w:name="_Toc126839076"/>
      <w:bookmarkStart w:id="188" w:name="_Ref121256969"/>
      <w:bookmarkStart w:id="189" w:name="_Toc172565151"/>
      <w:bookmarkStart w:id="190" w:name="_Toc114846077"/>
      <w:bookmarkStart w:id="191" w:name="_Toc114760051"/>
      <w:bookmarkStart w:id="192" w:name="_Toc114839257"/>
      <w:bookmarkStart w:id="193" w:name="_Ref114479436"/>
      <w:r>
        <w:rPr>
          <w:rFonts w:hint="eastAsia"/>
        </w:rPr>
        <w:t>物品发放过期拦截</w:t>
      </w:r>
      <w:bookmarkEnd w:id="186"/>
      <w:bookmarkEnd w:id="187"/>
      <w:bookmarkEnd w:id="188"/>
      <w:bookmarkEnd w:id="189"/>
    </w:p>
    <w:p w14:paraId="66BB4553">
      <w:pPr>
        <w:bidi w:val="0"/>
      </w:pPr>
      <w:r>
        <w:rPr>
          <w:rFonts w:hint="eastAsia"/>
        </w:rPr>
        <w:t>无菌物品存储及发放时，系统进行失效前预警及失效后报警，物品失效后不予发放。</w:t>
      </w:r>
    </w:p>
    <w:bookmarkEnd w:id="190"/>
    <w:bookmarkEnd w:id="191"/>
    <w:bookmarkEnd w:id="192"/>
    <w:bookmarkEnd w:id="193"/>
    <w:p w14:paraId="5484A2E2">
      <w:pPr>
        <w:pStyle w:val="6"/>
        <w:bidi w:val="0"/>
      </w:pPr>
      <w:bookmarkStart w:id="194" w:name="_Toc114846078"/>
      <w:bookmarkStart w:id="195" w:name="_Ref114479438"/>
      <w:bookmarkStart w:id="196" w:name="_Toc114839258"/>
      <w:bookmarkStart w:id="197" w:name="_Toc172565153"/>
      <w:bookmarkStart w:id="198" w:name="_Toc126839078"/>
      <w:bookmarkStart w:id="199" w:name="_Toc192512808"/>
      <w:bookmarkStart w:id="200" w:name="_Toc114760052"/>
      <w:r>
        <w:rPr>
          <w:rFonts w:hint="eastAsia"/>
        </w:rPr>
        <w:t>整筐发货</w:t>
      </w:r>
      <w:bookmarkEnd w:id="194"/>
      <w:bookmarkEnd w:id="195"/>
      <w:bookmarkEnd w:id="196"/>
      <w:bookmarkEnd w:id="197"/>
      <w:bookmarkEnd w:id="198"/>
      <w:bookmarkEnd w:id="199"/>
      <w:bookmarkEnd w:id="200"/>
    </w:p>
    <w:p w14:paraId="70C89F88">
      <w:pPr>
        <w:bidi w:val="0"/>
      </w:pPr>
      <w:r>
        <w:rPr>
          <w:rFonts w:hint="eastAsia"/>
        </w:rPr>
        <w:t>支持整筐发货功能，在发货登记时扫描灭菌篮筐条码可批量发货到对应科室。</w:t>
      </w:r>
    </w:p>
    <w:p w14:paraId="00681A9E">
      <w:pPr>
        <w:pStyle w:val="6"/>
        <w:bidi w:val="0"/>
      </w:pPr>
      <w:bookmarkStart w:id="201" w:name="_Toc126839079"/>
      <w:bookmarkStart w:id="202" w:name="_Toc114760053"/>
      <w:bookmarkStart w:id="203" w:name="_Toc114839259"/>
      <w:bookmarkStart w:id="204" w:name="_Ref114479437"/>
      <w:bookmarkStart w:id="205" w:name="_Toc192512809"/>
      <w:bookmarkStart w:id="206" w:name="_Toc172565154"/>
      <w:bookmarkStart w:id="207" w:name="_Toc114846079"/>
      <w:r>
        <w:rPr>
          <w:rFonts w:hint="eastAsia"/>
        </w:rPr>
        <w:t>自定义发货</w:t>
      </w:r>
      <w:bookmarkEnd w:id="201"/>
      <w:bookmarkEnd w:id="202"/>
      <w:bookmarkEnd w:id="203"/>
      <w:bookmarkEnd w:id="204"/>
      <w:bookmarkEnd w:id="205"/>
      <w:bookmarkEnd w:id="206"/>
      <w:bookmarkEnd w:id="207"/>
    </w:p>
    <w:p w14:paraId="039D03A0">
      <w:pPr>
        <w:bidi w:val="0"/>
      </w:pPr>
      <w:r>
        <w:rPr>
          <w:rFonts w:hint="eastAsia"/>
        </w:rPr>
        <w:t>系统支持自定义发货功能。不需要临床科室申领，消毒供应中心，可自主对某科室进行物品发货的功能。</w:t>
      </w:r>
    </w:p>
    <w:p w14:paraId="392B26F9">
      <w:pPr>
        <w:bidi w:val="0"/>
      </w:pPr>
      <w:r>
        <w:rPr>
          <w:rFonts w:hint="eastAsia"/>
        </w:rPr>
        <w:t>支持移动终端（PDA</w:t>
      </w:r>
      <w:r>
        <w:t>）</w:t>
      </w:r>
      <w:r>
        <w:rPr>
          <w:rFonts w:hint="eastAsia"/>
        </w:rPr>
        <w:t>操作,详见移动终端功能介绍。</w:t>
      </w:r>
    </w:p>
    <w:p w14:paraId="7DB3E663">
      <w:pPr>
        <w:pStyle w:val="6"/>
        <w:bidi w:val="0"/>
      </w:pPr>
      <w:bookmarkStart w:id="208" w:name="_Ref185260306"/>
      <w:bookmarkStart w:id="209" w:name="_Toc192512810"/>
      <w:r>
        <w:rPr>
          <w:rFonts w:hint="eastAsia"/>
        </w:rPr>
        <w:t>打印发货单</w:t>
      </w:r>
      <w:bookmarkEnd w:id="208"/>
      <w:bookmarkEnd w:id="209"/>
    </w:p>
    <w:p w14:paraId="34004D4C">
      <w:pPr>
        <w:bidi w:val="0"/>
      </w:pPr>
      <w:r>
        <w:rPr>
          <w:rFonts w:hint="eastAsia"/>
        </w:rPr>
        <w:t>系统支持对已经发货单进行打印。</w:t>
      </w:r>
    </w:p>
    <w:p w14:paraId="7A57DEA5">
      <w:pPr>
        <w:bidi w:val="0"/>
      </w:pPr>
      <w:r>
        <w:rPr>
          <w:rFonts w:hint="eastAsia"/>
        </w:rPr>
        <w:t>支持批量打印发货单，存在多张不同科室且未打印的发货单时，支持多选或全选发货单进行批量打印。</w:t>
      </w:r>
    </w:p>
    <w:p w14:paraId="7994BB02">
      <w:pPr>
        <w:bidi w:val="0"/>
      </w:pPr>
      <w:r>
        <w:rPr>
          <w:rFonts w:hint="eastAsia"/>
        </w:rPr>
        <w:t>支持筛选过滤发货单，按：科室、物品类型、灭菌方式、发货时间等条件筛选需要打印的发货单，进行打印。</w:t>
      </w:r>
    </w:p>
    <w:p w14:paraId="2461F260">
      <w:pPr>
        <w:bidi w:val="0"/>
      </w:pPr>
      <w:r>
        <w:rPr>
          <w:rFonts w:hint="eastAsia"/>
        </w:rPr>
        <w:t>支持合并发货单打印，同科室多张发货单，可勾选进行合并打印，减少使用纸张。</w:t>
      </w:r>
    </w:p>
    <w:p w14:paraId="7F56C10A">
      <w:pPr>
        <w:pStyle w:val="6"/>
        <w:bidi w:val="0"/>
      </w:pPr>
      <w:bookmarkStart w:id="210" w:name="_Toc192512811"/>
      <w:bookmarkStart w:id="211" w:name="_Ref185260826"/>
      <w:r>
        <w:rPr>
          <w:rFonts w:hint="eastAsia"/>
        </w:rPr>
        <w:t>发货物品查询</w:t>
      </w:r>
      <w:bookmarkEnd w:id="210"/>
      <w:bookmarkEnd w:id="211"/>
    </w:p>
    <w:p w14:paraId="2F8540B0">
      <w:pPr>
        <w:bidi w:val="0"/>
      </w:pPr>
      <w:r>
        <w:rPr>
          <w:rFonts w:hint="eastAsia"/>
        </w:rPr>
        <w:t>支持供应室无菌物品出入库记录及库存查询。</w:t>
      </w:r>
    </w:p>
    <w:p w14:paraId="63BE17F8">
      <w:pPr>
        <w:bidi w:val="0"/>
      </w:pPr>
      <w:r>
        <w:rPr>
          <w:rFonts w:hint="eastAsia"/>
        </w:rPr>
        <w:t>支持在库无菌物品效期查询和管理，临近有效期的无菌物品需要进行提醒告警通知。</w:t>
      </w:r>
    </w:p>
    <w:p w14:paraId="439EE54C">
      <w:pPr>
        <w:bidi w:val="0"/>
      </w:pPr>
      <w:r>
        <w:rPr>
          <w:rFonts w:hint="eastAsia"/>
        </w:rPr>
        <w:t>支持供应室一次性物品出入库记录及库存查询。</w:t>
      </w:r>
    </w:p>
    <w:p w14:paraId="3395E89F">
      <w:pPr>
        <w:pStyle w:val="6"/>
        <w:bidi w:val="0"/>
      </w:pPr>
      <w:bookmarkStart w:id="212" w:name="_Toc192512812"/>
      <w:bookmarkStart w:id="213" w:name="_Ref185259653"/>
      <w:r>
        <w:rPr>
          <w:rFonts w:hint="eastAsia"/>
        </w:rPr>
        <w:t>PDA发货功能</w:t>
      </w:r>
      <w:bookmarkEnd w:id="212"/>
      <w:bookmarkEnd w:id="213"/>
    </w:p>
    <w:p w14:paraId="6EAB6E23">
      <w:pPr>
        <w:bidi w:val="0"/>
      </w:pPr>
      <w:r>
        <w:rPr>
          <w:rFonts w:hint="eastAsia"/>
        </w:rPr>
        <w:t xml:space="preserve">根据科室需求（来自申请信息及回收确认信息）制订发货计划。确保申请物品和实际物品的一致性（通过扫描物品包条码确定实际发放物品）；可根据申请单类型，进行条件筛选。 </w:t>
      </w:r>
    </w:p>
    <w:p w14:paraId="5969FF43">
      <w:pPr>
        <w:bidi w:val="0"/>
      </w:pPr>
      <w:r>
        <w:rPr>
          <w:rFonts w:hint="eastAsia"/>
        </w:rPr>
        <w:t>所有无菌物品存储及发放时提供失效期预警及失效期报警，失效期过后不予发放。</w:t>
      </w:r>
    </w:p>
    <w:p w14:paraId="775F3003">
      <w:pPr>
        <w:bidi w:val="0"/>
      </w:pPr>
      <w:r>
        <w:rPr>
          <w:rFonts w:hint="eastAsia"/>
        </w:rPr>
        <w:t>支持发放时登记物流箱的编号，支持用手持</w:t>
      </w:r>
      <w:r>
        <w:t>PDA拍摄物流箱的照片留存。登记的物流箱编号和拍摄的照片可以在签收时查看核对</w:t>
      </w:r>
      <w:r>
        <w:rPr>
          <w:rFonts w:hint="eastAsia"/>
        </w:rPr>
        <w:t>。</w:t>
      </w:r>
    </w:p>
    <w:p w14:paraId="1F49C1AC">
      <w:pPr>
        <w:pStyle w:val="5"/>
        <w:bidi w:val="0"/>
      </w:pPr>
      <w:bookmarkStart w:id="214" w:name="_Toc192512813"/>
      <w:r>
        <w:rPr>
          <w:rFonts w:hint="eastAsia"/>
        </w:rPr>
        <w:t>签收管理</w:t>
      </w:r>
      <w:bookmarkEnd w:id="214"/>
    </w:p>
    <w:p w14:paraId="06B093D6">
      <w:pPr>
        <w:bidi w:val="0"/>
      </w:pPr>
      <w:r>
        <w:rPr>
          <w:rFonts w:hint="eastAsia"/>
        </w:rPr>
        <w:t>物品发货到临床科室后，临床科室对物品签收，把签收的物品的状态由已发货改为已签收。</w:t>
      </w:r>
    </w:p>
    <w:p w14:paraId="02EFA6E2">
      <w:pPr>
        <w:bidi w:val="0"/>
      </w:pPr>
      <w:r>
        <w:rPr>
          <w:rFonts w:hint="eastAsia"/>
        </w:rPr>
        <w:t>签收时，系统对消毒包的状态进行检查，避免用户签收不属于本科室的包，也不允许签收未灭菌或者未发货的包。</w:t>
      </w:r>
    </w:p>
    <w:p w14:paraId="6629B3D2">
      <w:pPr>
        <w:bidi w:val="0"/>
      </w:pPr>
      <w:r>
        <w:rPr>
          <w:rFonts w:hint="eastAsia"/>
        </w:rPr>
        <w:t>历史记录默认显示今天所有的签收记录，可通过查询时间段过滤，签收记录只能通过签收人过滤，点击签收记录的【查看详情】，可查看签收的具体内容，签收详情能通过包名过滤。</w:t>
      </w:r>
    </w:p>
    <w:p w14:paraId="677EF074">
      <w:pPr>
        <w:pStyle w:val="5"/>
        <w:bidi w:val="0"/>
      </w:pPr>
      <w:bookmarkStart w:id="215" w:name="_Toc126839136"/>
      <w:bookmarkStart w:id="216" w:name="_Toc192512841"/>
      <w:r>
        <w:rPr>
          <w:rFonts w:hint="eastAsia"/>
        </w:rPr>
        <w:t>统计报表</w:t>
      </w:r>
      <w:bookmarkEnd w:id="215"/>
      <w:bookmarkEnd w:id="216"/>
    </w:p>
    <w:p w14:paraId="216FAE2F">
      <w:pPr>
        <w:bidi w:val="0"/>
      </w:pPr>
      <w:r>
        <w:rPr>
          <w:rFonts w:hint="eastAsia"/>
        </w:rPr>
        <w:t xml:space="preserve">报表模块的底层使用主流的商业智能报表引擎，系统的报表引擎具有强大的功能，可以制作出基于WEB、EXCEL、PDF等格式的精美的报表。 </w:t>
      </w:r>
    </w:p>
    <w:p w14:paraId="0C3D405D">
      <w:pPr>
        <w:bidi w:val="0"/>
      </w:pPr>
      <w:r>
        <w:rPr>
          <w:rFonts w:hint="eastAsia"/>
        </w:rPr>
        <w:t>具有自定义各类报表的功能，用户可以选择报表输出的列的类型，部分统计的参数可由用户自行设定，用户能通过报表设计器自行设计报表。</w:t>
      </w:r>
    </w:p>
    <w:p w14:paraId="7462ED84">
      <w:pPr>
        <w:bidi w:val="0"/>
      </w:pPr>
      <w:r>
        <w:rPr>
          <w:rFonts w:hint="eastAsia"/>
        </w:rPr>
        <w:t>系统支持的报表格式有如下几种：</w:t>
      </w:r>
    </w:p>
    <w:p w14:paraId="1689C196">
      <w:pPr>
        <w:keepNext w:val="0"/>
        <w:keepLines w:val="0"/>
        <w:pageBreakBefore w:val="0"/>
        <w:widowControl w:val="0"/>
        <w:numPr>
          <w:ilvl w:val="0"/>
          <w:numId w:val="4"/>
        </w:numPr>
        <w:kinsoku/>
        <w:wordWrap/>
        <w:overflowPunct/>
        <w:topLinePunct w:val="0"/>
        <w:autoSpaceDE/>
        <w:autoSpaceDN/>
        <w:bidi w:val="0"/>
        <w:adjustRightInd/>
        <w:snapToGrid/>
        <w:ind w:left="0"/>
        <w:textAlignment w:val="auto"/>
      </w:pPr>
      <w:r>
        <w:rPr>
          <w:rFonts w:hint="eastAsia"/>
        </w:rPr>
        <w:t>HTML网页格式</w:t>
      </w:r>
    </w:p>
    <w:p w14:paraId="02517395">
      <w:pPr>
        <w:keepNext w:val="0"/>
        <w:keepLines w:val="0"/>
        <w:pageBreakBefore w:val="0"/>
        <w:widowControl w:val="0"/>
        <w:numPr>
          <w:ilvl w:val="0"/>
          <w:numId w:val="4"/>
        </w:numPr>
        <w:kinsoku/>
        <w:wordWrap/>
        <w:overflowPunct/>
        <w:topLinePunct w:val="0"/>
        <w:autoSpaceDE/>
        <w:autoSpaceDN/>
        <w:bidi w:val="0"/>
        <w:adjustRightInd/>
        <w:snapToGrid/>
        <w:ind w:left="0"/>
        <w:textAlignment w:val="auto"/>
      </w:pPr>
      <w:r>
        <w:rPr>
          <w:rFonts w:hint="eastAsia"/>
        </w:rPr>
        <w:t>PDF格式</w:t>
      </w:r>
    </w:p>
    <w:p w14:paraId="4B09CB17">
      <w:pPr>
        <w:keepNext w:val="0"/>
        <w:keepLines w:val="0"/>
        <w:pageBreakBefore w:val="0"/>
        <w:widowControl w:val="0"/>
        <w:numPr>
          <w:ilvl w:val="0"/>
          <w:numId w:val="4"/>
        </w:numPr>
        <w:kinsoku/>
        <w:wordWrap/>
        <w:overflowPunct/>
        <w:topLinePunct w:val="0"/>
        <w:autoSpaceDE/>
        <w:autoSpaceDN/>
        <w:bidi w:val="0"/>
        <w:adjustRightInd/>
        <w:snapToGrid/>
        <w:ind w:left="0"/>
        <w:textAlignment w:val="auto"/>
      </w:pPr>
      <w:r>
        <w:rPr>
          <w:rFonts w:hint="eastAsia"/>
        </w:rPr>
        <w:t>Excel格式</w:t>
      </w:r>
    </w:p>
    <w:p w14:paraId="7605499D">
      <w:pPr>
        <w:pStyle w:val="6"/>
        <w:bidi w:val="0"/>
      </w:pPr>
      <w:bookmarkStart w:id="217" w:name="_Toc126839137"/>
      <w:bookmarkStart w:id="218" w:name="_Toc192512842"/>
      <w:r>
        <w:rPr>
          <w:rFonts w:hint="eastAsia"/>
        </w:rPr>
        <w:t>财务核算报表</w:t>
      </w:r>
      <w:bookmarkEnd w:id="217"/>
      <w:bookmarkEnd w:id="218"/>
    </w:p>
    <w:p w14:paraId="1FE147C8">
      <w:pPr>
        <w:bidi w:val="0"/>
      </w:pPr>
      <w:r>
        <w:rPr>
          <w:rFonts w:hint="eastAsia"/>
        </w:rPr>
        <w:t>包括核算月报、明细核算月报、发货物品统计月报、物品发放分布图、借还物品统计报表、入/退库物品统计报表、签收统计报表、退货统计报表等。</w:t>
      </w:r>
    </w:p>
    <w:p w14:paraId="0C02B3B7">
      <w:pPr>
        <w:bidi w:val="0"/>
      </w:pPr>
      <w:r>
        <w:rPr>
          <w:rFonts w:hint="eastAsia"/>
        </w:rPr>
        <w:t xml:space="preserve">核算月报：根据发货单、退货单、供应室物品领用按月份统计各科室发货物品数量、金额汇总。 </w:t>
      </w:r>
    </w:p>
    <w:p w14:paraId="57DFA61D">
      <w:pPr>
        <w:bidi w:val="0"/>
      </w:pPr>
      <w:r>
        <w:rPr>
          <w:rFonts w:hint="eastAsia"/>
        </w:rPr>
        <w:t>明细核算月报：根据发货单、退货单、供应室物品领用按月份统计各科室各种类型的物品的信息。</w:t>
      </w:r>
    </w:p>
    <w:p w14:paraId="4D496CE4">
      <w:pPr>
        <w:bidi w:val="0"/>
      </w:pPr>
      <w:r>
        <w:rPr>
          <w:rFonts w:hint="eastAsia"/>
        </w:rPr>
        <w:t>借还物品统计表：按时间段统计各科室借还的物品清单，自动计算产生的费用。</w:t>
      </w:r>
    </w:p>
    <w:p w14:paraId="4F850326">
      <w:pPr>
        <w:bidi w:val="0"/>
        <w:rPr>
          <w:rFonts w:hint="eastAsia" w:eastAsia="仿宋_GB2312"/>
          <w:lang w:eastAsia="zh-CN"/>
        </w:rPr>
      </w:pPr>
      <w:r>
        <w:rPr>
          <w:rFonts w:hint="eastAsia"/>
        </w:rPr>
        <w:t>物品发放分布图：统计某物品各科室发放的情况</w:t>
      </w:r>
      <w:r>
        <w:rPr>
          <w:rFonts w:hint="eastAsia"/>
          <w:lang w:eastAsia="zh-CN"/>
        </w:rPr>
        <w:t>。</w:t>
      </w:r>
    </w:p>
    <w:p w14:paraId="4A594F0E">
      <w:pPr>
        <w:bidi w:val="0"/>
        <w:rPr>
          <w:rFonts w:hint="eastAsia" w:eastAsia="仿宋_GB2312"/>
          <w:lang w:eastAsia="zh-CN"/>
        </w:rPr>
      </w:pPr>
      <w:r>
        <w:rPr>
          <w:rFonts w:hint="eastAsia"/>
        </w:rPr>
        <w:t>入/退库物品统计报表</w:t>
      </w:r>
      <w:r>
        <w:rPr>
          <w:rFonts w:hint="eastAsia"/>
          <w:lang w:eastAsia="zh-CN"/>
        </w:rPr>
        <w:t>：</w:t>
      </w:r>
      <w:r>
        <w:rPr>
          <w:rFonts w:hint="eastAsia"/>
        </w:rPr>
        <w:t>统计入/退库物品</w:t>
      </w:r>
      <w:r>
        <w:rPr>
          <w:rFonts w:hint="eastAsia"/>
          <w:lang w:eastAsia="zh-CN"/>
        </w:rPr>
        <w:t>。</w:t>
      </w:r>
    </w:p>
    <w:p w14:paraId="654930C8">
      <w:pPr>
        <w:bidi w:val="0"/>
        <w:rPr>
          <w:rFonts w:hint="eastAsia" w:eastAsia="仿宋_GB2312"/>
          <w:lang w:eastAsia="zh-CN"/>
        </w:rPr>
      </w:pPr>
      <w:r>
        <w:rPr>
          <w:rFonts w:hint="eastAsia"/>
        </w:rPr>
        <w:t>签收统计报表</w:t>
      </w:r>
      <w:r>
        <w:rPr>
          <w:rFonts w:hint="eastAsia"/>
          <w:lang w:eastAsia="zh-CN"/>
        </w:rPr>
        <w:t>。</w:t>
      </w:r>
    </w:p>
    <w:p w14:paraId="52219E4C">
      <w:pPr>
        <w:bidi w:val="0"/>
      </w:pPr>
      <w:r>
        <w:rPr>
          <w:rFonts w:hint="eastAsia"/>
        </w:rPr>
        <w:t>退货统计报表：按时间段统计各个科室退货记录。</w:t>
      </w:r>
    </w:p>
    <w:p w14:paraId="7074A048">
      <w:pPr>
        <w:pStyle w:val="6"/>
        <w:bidi w:val="0"/>
      </w:pPr>
      <w:bookmarkStart w:id="219" w:name="_Toc192512843"/>
      <w:bookmarkStart w:id="220" w:name="_Toc126839138"/>
      <w:r>
        <w:rPr>
          <w:rFonts w:hint="eastAsia"/>
        </w:rPr>
        <w:t>消毒供应中心工作量统计报表</w:t>
      </w:r>
      <w:bookmarkEnd w:id="219"/>
      <w:bookmarkEnd w:id="220"/>
    </w:p>
    <w:p w14:paraId="3D1CC345">
      <w:pPr>
        <w:bidi w:val="0"/>
      </w:pPr>
      <w:r>
        <w:rPr>
          <w:rFonts w:hint="eastAsia"/>
        </w:rPr>
        <w:t>包括年度消毒中心指标工作量统计、消毒中心员工工作量统计评分报表、器械包工作量统计报表、灭菌炉使用次数统计报表、使用记录录入统计报表等。</w:t>
      </w:r>
    </w:p>
    <w:p w14:paraId="3FE5DCCB">
      <w:pPr>
        <w:bidi w:val="0"/>
      </w:pPr>
      <w:r>
        <w:rPr>
          <w:rFonts w:hint="eastAsia"/>
        </w:rPr>
        <w:t>年度消毒供应中心工作量统计报表：根据年份统计各参数值。</w:t>
      </w:r>
    </w:p>
    <w:p w14:paraId="02029341">
      <w:pPr>
        <w:bidi w:val="0"/>
      </w:pPr>
      <w:r>
        <w:rPr>
          <w:rFonts w:hint="eastAsia"/>
        </w:rPr>
        <w:t>消毒供应中心员工工作量统计评分报表：按时间段统计人员工作量，可设置评分标准，计算出评分。</w:t>
      </w:r>
    </w:p>
    <w:p w14:paraId="58814A1E">
      <w:pPr>
        <w:bidi w:val="0"/>
      </w:pPr>
      <w:r>
        <w:rPr>
          <w:rFonts w:hint="eastAsia"/>
        </w:rPr>
        <w:t>器械包工作量统计报表：统计某个时间段内的各环节所处理的器械包名称和数量。</w:t>
      </w:r>
    </w:p>
    <w:p w14:paraId="6C436E91">
      <w:pPr>
        <w:bidi w:val="0"/>
      </w:pPr>
      <w:r>
        <w:rPr>
          <w:rFonts w:hint="eastAsia"/>
        </w:rPr>
        <w:t>使用记录录入统计报表</w:t>
      </w:r>
    </w:p>
    <w:p w14:paraId="3B5A3F42">
      <w:pPr>
        <w:bidi w:val="0"/>
      </w:pPr>
      <w:r>
        <w:rPr>
          <w:rFonts w:hint="eastAsia"/>
        </w:rPr>
        <w:t>灭菌炉使用次数统计报表：统计某个时间段内的灭菌炉使用次数，可进行汇总、明细、图形、图形对比统计。</w:t>
      </w:r>
    </w:p>
    <w:p w14:paraId="118F5E2A">
      <w:pPr>
        <w:pStyle w:val="6"/>
        <w:bidi w:val="0"/>
      </w:pPr>
      <w:bookmarkStart w:id="221" w:name="_Toc192512844"/>
      <w:bookmarkStart w:id="222" w:name="_Toc126839139"/>
      <w:r>
        <w:rPr>
          <w:rFonts w:hint="eastAsia"/>
        </w:rPr>
        <w:t>质量监测统计报表</w:t>
      </w:r>
      <w:bookmarkEnd w:id="221"/>
      <w:bookmarkEnd w:id="222"/>
    </w:p>
    <w:p w14:paraId="4023A7A1">
      <w:pPr>
        <w:bidi w:val="0"/>
      </w:pPr>
      <w:r>
        <w:rPr>
          <w:rFonts w:hint="eastAsia"/>
        </w:rPr>
        <w:t>包括十八项指标分析报表、清洗区工作量及不合格率月报、包装区工作量及不合格率月报、灭菌区工作量及不合格率月报、质量监测报表、清洗不合格率环比报表、设备维护报表等。</w:t>
      </w:r>
    </w:p>
    <w:p w14:paraId="07397780">
      <w:pPr>
        <w:bidi w:val="0"/>
      </w:pPr>
      <w:r>
        <w:rPr>
          <w:rFonts w:hint="eastAsia"/>
        </w:rPr>
        <w:t>十八项指标分析报表：按年份统计各月份各种质量指标。</w:t>
      </w:r>
    </w:p>
    <w:p w14:paraId="3F23C904">
      <w:pPr>
        <w:bidi w:val="0"/>
      </w:pPr>
      <w:r>
        <w:rPr>
          <w:rFonts w:hint="eastAsia"/>
        </w:rPr>
        <w:t>清洗区工作量及不合格率月报：按月统计各类器械数量、不合格数、不合格率。</w:t>
      </w:r>
    </w:p>
    <w:p w14:paraId="0209BF0B">
      <w:pPr>
        <w:bidi w:val="0"/>
      </w:pPr>
      <w:r>
        <w:rPr>
          <w:rFonts w:hint="eastAsia"/>
        </w:rPr>
        <w:t>包装区工作质量评价指标月报：按月统计本月每天各种不合格指标的数量。</w:t>
      </w:r>
    </w:p>
    <w:p w14:paraId="2A7B08BF">
      <w:pPr>
        <w:bidi w:val="0"/>
      </w:pPr>
      <w:r>
        <w:rPr>
          <w:rFonts w:hint="eastAsia"/>
        </w:rPr>
        <w:t>灭菌区工作量及不合格率月报：按月份统计各种类型的包数量、不合格数量，不合格率</w:t>
      </w:r>
    </w:p>
    <w:p w14:paraId="34676672">
      <w:pPr>
        <w:bidi w:val="0"/>
      </w:pPr>
      <w:r>
        <w:rPr>
          <w:rFonts w:hint="eastAsia"/>
        </w:rPr>
        <w:t>质量监测报表：统计某个时间段的质量监测记录，支持如下多种展现方式：表格、折线图、柱状图、上下半年对比、跟去年对比、季度对比。</w:t>
      </w:r>
    </w:p>
    <w:p w14:paraId="47122DE9">
      <w:pPr>
        <w:bidi w:val="0"/>
      </w:pPr>
      <w:r>
        <w:rPr>
          <w:rFonts w:hint="eastAsia"/>
        </w:rPr>
        <w:t>清洗不合格率环比报表：统计清洗不合格率的月份变化曲线图</w:t>
      </w:r>
    </w:p>
    <w:p w14:paraId="7B6C24A8">
      <w:pPr>
        <w:bidi w:val="0"/>
      </w:pPr>
      <w:r>
        <w:rPr>
          <w:rFonts w:hint="eastAsia"/>
        </w:rPr>
        <w:t>设备维护报表：统计某个时间段设备维护记录。</w:t>
      </w:r>
    </w:p>
    <w:p w14:paraId="05B0C6A6">
      <w:pPr>
        <w:pStyle w:val="5"/>
        <w:bidi w:val="0"/>
      </w:pPr>
      <w:bookmarkStart w:id="223" w:name="_Toc126839118"/>
      <w:bookmarkStart w:id="224" w:name="_Toc192512853"/>
      <w:bookmarkStart w:id="225" w:name="_Toc172565198"/>
      <w:bookmarkStart w:id="226" w:name="_Toc172565204"/>
      <w:bookmarkStart w:id="227" w:name="_Toc168424491"/>
      <w:bookmarkStart w:id="228" w:name="_Toc167875837"/>
      <w:bookmarkStart w:id="229" w:name="_Toc192512858"/>
      <w:bookmarkStart w:id="230" w:name="_Toc192512860"/>
      <w:bookmarkStart w:id="231" w:name="_Toc172565207"/>
      <w:bookmarkStart w:id="232" w:name="_Toc126839123"/>
      <w:bookmarkStart w:id="233" w:name="_Toc172565265"/>
      <w:bookmarkStart w:id="234" w:name="_Toc168424500"/>
      <w:bookmarkStart w:id="235" w:name="_Toc192512859"/>
      <w:bookmarkStart w:id="236" w:name="_Toc139565317"/>
      <w:r>
        <w:rPr>
          <w:rFonts w:hint="eastAsia"/>
        </w:rPr>
        <w:t>器械包管理</w:t>
      </w:r>
      <w:bookmarkEnd w:id="223"/>
      <w:bookmarkEnd w:id="224"/>
      <w:bookmarkEnd w:id="225"/>
    </w:p>
    <w:p w14:paraId="760CA495">
      <w:pPr>
        <w:pStyle w:val="6"/>
        <w:bidi w:val="0"/>
      </w:pPr>
      <w:bookmarkStart w:id="237" w:name="_Toc172565199"/>
      <w:bookmarkStart w:id="238" w:name="_Toc192512854"/>
      <w:bookmarkStart w:id="239" w:name="_Toc126839119"/>
      <w:bookmarkStart w:id="240" w:name="_Toc106375852"/>
      <w:r>
        <w:rPr>
          <w:rFonts w:hint="eastAsia"/>
        </w:rPr>
        <w:t>器械包标识牌管理</w:t>
      </w:r>
      <w:bookmarkEnd w:id="237"/>
      <w:bookmarkEnd w:id="238"/>
      <w:bookmarkEnd w:id="239"/>
      <w:bookmarkEnd w:id="240"/>
    </w:p>
    <w:p w14:paraId="136280CC">
      <w:pPr>
        <w:bidi w:val="0"/>
      </w:pPr>
      <w:r>
        <w:rPr>
          <w:rFonts w:hint="eastAsia"/>
        </w:rPr>
        <w:t>器械包包内标识牌，标识牌可在器械包生命周期内重复使用，标识牌上打印器械包的材料明细清单，以及器械包的唯一身份二维码，可追溯每个器械包的使用次数，超过最大允许的使用次数后会禁止用户使用，并提醒用户进行报废处理。</w:t>
      </w:r>
    </w:p>
    <w:p w14:paraId="35C12518">
      <w:pPr>
        <w:bidi w:val="0"/>
      </w:pPr>
      <w:r>
        <w:rPr>
          <w:rFonts w:hint="eastAsia"/>
        </w:rPr>
        <w:t>有标识牌的器械包，可提供使用次数查询、位置查询等功能。可设置手术器械包的最大使用次数，达到最大使用次数后不允许使用，强制报废处理。</w:t>
      </w:r>
    </w:p>
    <w:p w14:paraId="577091EC">
      <w:pPr>
        <w:bidi w:val="0"/>
      </w:pPr>
      <w:r>
        <w:rPr>
          <w:rFonts w:hint="eastAsia"/>
        </w:rPr>
        <w:t>标识牌管理页面：</w:t>
      </w:r>
    </w:p>
    <w:p w14:paraId="7E0A4B32">
      <w:pPr>
        <w:bidi w:val="0"/>
      </w:pPr>
      <w:r>
        <w:rPr>
          <w:rFonts w:hint="eastAsia"/>
        </w:rPr>
        <w:t>可设置手术器械包的最大使用次数，达到最大使用次数后不允许使用，强制报废处理。</w:t>
      </w:r>
    </w:p>
    <w:p w14:paraId="152C8AE8">
      <w:pPr>
        <w:bidi w:val="0"/>
      </w:pPr>
      <w:r>
        <w:rPr>
          <w:rFonts w:hint="eastAsia"/>
        </w:rPr>
        <w:t>超过最大使用次数后的报废提示：</w:t>
      </w:r>
    </w:p>
    <w:p w14:paraId="79113BE1">
      <w:pPr>
        <w:pStyle w:val="6"/>
        <w:bidi w:val="0"/>
      </w:pPr>
      <w:bookmarkStart w:id="241" w:name="_Toc162528134"/>
      <w:bookmarkStart w:id="242" w:name="_Toc172565200"/>
      <w:bookmarkStart w:id="243" w:name="_Toc192512855"/>
      <w:r>
        <w:rPr>
          <w:rFonts w:hint="eastAsia"/>
        </w:rPr>
        <w:t>标识牌打印</w:t>
      </w:r>
      <w:bookmarkEnd w:id="241"/>
      <w:bookmarkEnd w:id="242"/>
      <w:bookmarkEnd w:id="243"/>
    </w:p>
    <w:p w14:paraId="1027CC45">
      <w:pPr>
        <w:bidi w:val="0"/>
      </w:pPr>
      <w:r>
        <w:rPr>
          <w:rFonts w:hint="eastAsia"/>
        </w:rPr>
        <w:t>可在标识牌上打印手术器械包的材料明细清单、材料总件数、灭菌方式、灭菌程序等信息。</w:t>
      </w:r>
    </w:p>
    <w:p w14:paraId="633041C0">
      <w:pPr>
        <w:pStyle w:val="6"/>
        <w:bidi w:val="0"/>
      </w:pPr>
      <w:bookmarkStart w:id="244" w:name="_Toc192512856"/>
      <w:bookmarkStart w:id="245" w:name="_Toc172565201"/>
      <w:r>
        <w:rPr>
          <w:rFonts w:hint="eastAsia"/>
        </w:rPr>
        <w:t>标识牌维护信息</w:t>
      </w:r>
      <w:bookmarkEnd w:id="244"/>
      <w:bookmarkEnd w:id="245"/>
    </w:p>
    <w:p w14:paraId="45704A00">
      <w:pPr>
        <w:bidi w:val="0"/>
      </w:pPr>
      <w:r>
        <w:rPr>
          <w:rFonts w:hint="eastAsia"/>
        </w:rPr>
        <w:t>可在标识牌上打印手术器械包的材料明细清单、材料总件数、灭菌方式、灭菌程序等信息。可登记维护手术器械包内的器械的维护记录以及备忘信息（例如有一件器械被医生拿走了，或该包中的某件器械出现了损坏，但是还可以使用等信息），并打印到标识牌上。</w:t>
      </w:r>
    </w:p>
    <w:p w14:paraId="6363E52C">
      <w:pPr>
        <w:bidi w:val="0"/>
      </w:pPr>
      <w:r>
        <w:rPr>
          <w:rFonts w:hint="eastAsia"/>
        </w:rPr>
        <w:t>打印的标识牌如下：</w:t>
      </w:r>
    </w:p>
    <w:p w14:paraId="2AF66EBE">
      <w:pPr>
        <w:pStyle w:val="6"/>
        <w:bidi w:val="0"/>
      </w:pPr>
      <w:bookmarkStart w:id="246" w:name="_Toc192512857"/>
      <w:bookmarkStart w:id="247" w:name="_Toc172565202"/>
      <w:bookmarkStart w:id="248" w:name="_Toc162528135"/>
      <w:r>
        <w:rPr>
          <w:rFonts w:hint="eastAsia"/>
        </w:rPr>
        <w:t>标识牌查询</w:t>
      </w:r>
      <w:bookmarkEnd w:id="246"/>
      <w:bookmarkEnd w:id="247"/>
      <w:bookmarkEnd w:id="248"/>
    </w:p>
    <w:p w14:paraId="30D24FB9">
      <w:pPr>
        <w:bidi w:val="0"/>
      </w:pPr>
      <w:r>
        <w:rPr>
          <w:rFonts w:hint="eastAsia"/>
        </w:rPr>
        <w:t>有标识牌的器械包，可提供使用次数查询、位置查询等功能。</w:t>
      </w:r>
    </w:p>
    <w:p w14:paraId="2DDFB426">
      <w:pPr>
        <w:pStyle w:val="5"/>
        <w:bidi w:val="0"/>
      </w:pPr>
      <w:r>
        <w:rPr>
          <w:rFonts w:hint="eastAsia"/>
        </w:rPr>
        <w:t>图像和视频采集</w:t>
      </w:r>
      <w:bookmarkEnd w:id="226"/>
      <w:bookmarkEnd w:id="227"/>
      <w:bookmarkEnd w:id="228"/>
      <w:bookmarkEnd w:id="229"/>
    </w:p>
    <w:p w14:paraId="7E87F7BD">
      <w:pPr>
        <w:bidi w:val="0"/>
      </w:pPr>
      <w:r>
        <w:rPr>
          <w:rFonts w:hint="eastAsia"/>
        </w:rPr>
        <w:t>器械包的图像和视频采集功能。通过高拍仪或电脑连接的摄像头，可采集回收、装配环节的照片和视频，并关联到器械包。可以通过器械包的唯一身份标识，查询其回收和装配环节的图像和视频数据。</w:t>
      </w:r>
    </w:p>
    <w:p w14:paraId="38946F16">
      <w:pPr>
        <w:bidi w:val="0"/>
      </w:pPr>
      <w:bookmarkStart w:id="249" w:name="_Hlk167975151"/>
      <w:r>
        <w:rPr>
          <w:rFonts w:hint="eastAsia"/>
          <w:lang w:val="en-US" w:eastAsia="zh-CN"/>
        </w:rPr>
        <w:t xml:space="preserve"> </w:t>
      </w:r>
      <w:r>
        <w:rPr>
          <w:rFonts w:hint="eastAsia"/>
        </w:rPr>
        <w:t>可以通过器械包的唯一身份标识，查询其回收和装配环节的图像和视频数据。</w:t>
      </w:r>
    </w:p>
    <w:bookmarkEnd w:id="249"/>
    <w:p w14:paraId="2BA5F159">
      <w:pPr>
        <w:pStyle w:val="5"/>
        <w:bidi w:val="0"/>
      </w:pPr>
      <w:r>
        <w:rPr>
          <w:rFonts w:hint="eastAsia"/>
        </w:rPr>
        <w:t>器械维修管理</w:t>
      </w:r>
      <w:bookmarkEnd w:id="230"/>
      <w:bookmarkEnd w:id="231"/>
      <w:bookmarkEnd w:id="232"/>
    </w:p>
    <w:p w14:paraId="407120D7">
      <w:pPr>
        <w:bidi w:val="0"/>
      </w:pPr>
      <w:r>
        <w:rPr>
          <w:rFonts w:hint="eastAsia"/>
        </w:rPr>
        <w:t>手术器械维修管理功能，手术器械维修的处理流程为：待维修→维修中→已维修/报废，维修结果有已维修或报废。维修登记表单的字段包括：登记时间，器械名称，房间号、洗手护士（发现故障）、送修护士、工程师（现场）、器械是否唯一、是否感染、器械故障现象描述并标记故障点、维修时间、送修类别、备注等。</w:t>
      </w:r>
    </w:p>
    <w:p w14:paraId="4F0EBFD2">
      <w:pPr>
        <w:pStyle w:val="5"/>
        <w:bidi w:val="0"/>
      </w:pPr>
      <w:r>
        <w:rPr>
          <w:rFonts w:hint="eastAsia"/>
        </w:rPr>
        <w:t>仪器图谱</w:t>
      </w:r>
      <w:bookmarkEnd w:id="233"/>
      <w:bookmarkEnd w:id="234"/>
      <w:bookmarkEnd w:id="235"/>
      <w:bookmarkEnd w:id="236"/>
    </w:p>
    <w:p w14:paraId="50920BA8">
      <w:pPr>
        <w:ind w:firstLine="480" w:firstLineChars="200"/>
        <w:rPr>
          <w:rFonts w:ascii="宋体" w:hAnsi="宋体" w:cs="宋体"/>
          <w:sz w:val="24"/>
        </w:rPr>
      </w:pPr>
      <w:r>
        <w:rPr>
          <w:rFonts w:hint="eastAsia" w:ascii="宋体" w:hAnsi="宋体" w:cs="宋体"/>
          <w:sz w:val="24"/>
        </w:rPr>
        <w:t>手术仪器包的图谱管理与查询。具有权限的用户可查询器械包图谱，包括图片和器械材料清单。可根据包名称、包外标签条码、标识牌条码等多种方式查询。可设置为桌面快捷图标。</w:t>
      </w:r>
    </w:p>
    <w:p w14:paraId="6C82AE3D">
      <w:pPr>
        <w:pStyle w:val="5"/>
        <w:bidi w:val="0"/>
      </w:pPr>
      <w:r>
        <w:rPr>
          <w:rFonts w:hint="eastAsia"/>
        </w:rPr>
        <w:t>清洗消毒</w:t>
      </w:r>
      <w:bookmarkEnd w:id="79"/>
      <w:bookmarkEnd w:id="80"/>
      <w:bookmarkEnd w:id="81"/>
      <w:bookmarkEnd w:id="82"/>
    </w:p>
    <w:p w14:paraId="2E4000F9">
      <w:pPr>
        <w:bidi w:val="0"/>
      </w:pPr>
      <w:r>
        <w:rPr>
          <w:rFonts w:hint="eastAsia"/>
        </w:rPr>
        <w:tab/>
      </w:r>
      <w:r>
        <w:rPr>
          <w:rFonts w:hint="eastAsia"/>
        </w:rPr>
        <w:t>去污区工作人员将清洗筐摆放到清洗架上，通过扫描篮筐、清洗机等条码标识，系统通过记录清洗机、清洗程序、清洗人员、清洗篮筐、器械包等清洗过程的关键参数到追溯系统中。对于放入清洗篮筐并且与篮筐进行了关联的器械包，只扫描篮筐条码即可。清洗过程的记录支持PDA和PC两种方式记录。</w:t>
      </w:r>
    </w:p>
    <w:p w14:paraId="6C6A73CD">
      <w:pPr>
        <w:pStyle w:val="6"/>
        <w:bidi w:val="0"/>
      </w:pPr>
      <w:bookmarkStart w:id="250" w:name="_Toc126839052"/>
      <w:bookmarkStart w:id="251" w:name="_Toc172565128"/>
      <w:bookmarkStart w:id="252" w:name="_Ref121253478"/>
      <w:bookmarkStart w:id="253" w:name="_Toc192512783"/>
      <w:r>
        <w:rPr>
          <w:rFonts w:hint="eastAsia"/>
        </w:rPr>
        <w:t>P</w:t>
      </w:r>
      <w:r>
        <w:t>DA</w:t>
      </w:r>
      <w:r>
        <w:rPr>
          <w:rFonts w:hint="eastAsia"/>
        </w:rPr>
        <w:t>录入清洗记录</w:t>
      </w:r>
      <w:bookmarkEnd w:id="250"/>
      <w:bookmarkEnd w:id="251"/>
      <w:bookmarkEnd w:id="252"/>
      <w:bookmarkEnd w:id="253"/>
    </w:p>
    <w:p w14:paraId="34DEBB28">
      <w:pPr>
        <w:bidi w:val="0"/>
      </w:pPr>
      <w:r>
        <w:rPr>
          <w:rFonts w:hint="eastAsia"/>
        </w:rPr>
        <w:t>可采用手持终端（PDA）进行操作。通过PDA扫描清洗机、清洗程序和篮筐条码完成清洗登记。</w:t>
      </w:r>
    </w:p>
    <w:bookmarkEnd w:id="83"/>
    <w:bookmarkEnd w:id="84"/>
    <w:bookmarkEnd w:id="85"/>
    <w:bookmarkEnd w:id="86"/>
    <w:bookmarkEnd w:id="87"/>
    <w:bookmarkEnd w:id="88"/>
    <w:bookmarkEnd w:id="89"/>
    <w:bookmarkEnd w:id="90"/>
    <w:bookmarkEnd w:id="91"/>
    <w:bookmarkEnd w:id="92"/>
    <w:bookmarkEnd w:id="93"/>
    <w:bookmarkEnd w:id="94"/>
    <w:bookmarkEnd w:id="95"/>
    <w:bookmarkEnd w:id="96"/>
    <w:p w14:paraId="463D8A15">
      <w:pPr>
        <w:pStyle w:val="5"/>
        <w:bidi w:val="0"/>
      </w:pPr>
      <w:bookmarkStart w:id="254" w:name="_Toc172565141"/>
      <w:bookmarkStart w:id="255" w:name="_Toc192512794"/>
      <w:bookmarkStart w:id="256" w:name="_Toc126839065"/>
      <w:bookmarkStart w:id="257" w:name="_Toc114846069"/>
      <w:bookmarkStart w:id="258" w:name="_Toc114735632"/>
      <w:bookmarkStart w:id="259" w:name="_Toc114760742"/>
      <w:bookmarkStart w:id="260" w:name="_Toc114839249"/>
      <w:bookmarkStart w:id="261" w:name="_Toc15770354"/>
      <w:bookmarkStart w:id="262" w:name="_Toc114760043"/>
      <w:bookmarkStart w:id="263" w:name="_Ref109655811"/>
      <w:bookmarkStart w:id="264" w:name="_Toc106375822"/>
      <w:bookmarkStart w:id="265" w:name="_Toc330493696"/>
      <w:bookmarkStart w:id="266" w:name="_Toc329889459"/>
      <w:bookmarkStart w:id="267" w:name="_Toc512101277"/>
      <w:bookmarkStart w:id="268" w:name="_Toc329216434"/>
      <w:bookmarkStart w:id="269" w:name="_Toc15770355"/>
      <w:bookmarkStart w:id="270" w:name="_Toc523054546"/>
      <w:r>
        <w:rPr>
          <w:rFonts w:hint="eastAsia"/>
        </w:rPr>
        <w:t>审核打包</w:t>
      </w:r>
      <w:bookmarkEnd w:id="254"/>
      <w:bookmarkEnd w:id="255"/>
      <w:bookmarkEnd w:id="256"/>
      <w:bookmarkEnd w:id="257"/>
      <w:bookmarkEnd w:id="258"/>
      <w:bookmarkEnd w:id="259"/>
      <w:bookmarkEnd w:id="260"/>
      <w:bookmarkEnd w:id="261"/>
      <w:bookmarkEnd w:id="262"/>
      <w:bookmarkEnd w:id="263"/>
    </w:p>
    <w:p w14:paraId="6552E145">
      <w:pPr>
        <w:bidi w:val="0"/>
      </w:pPr>
      <w:r>
        <w:rPr>
          <w:rFonts w:hint="eastAsia"/>
        </w:rPr>
        <w:t>装配任务完成之后，由审核员对器械包进行审核和封包。当审核员确认无误后，扫描自己胸卡条码和所需装入篮筐条码，单击审核按钮完成审核，实现一键审核与入框的操作。用户同样可以在该页面查看到个人的审核工作量。</w:t>
      </w:r>
    </w:p>
    <w:p w14:paraId="26ED7398">
      <w:pPr>
        <w:bidi w:val="0"/>
      </w:pPr>
      <w:r>
        <w:rPr>
          <w:rFonts w:hint="eastAsia"/>
        </w:rPr>
        <w:t>配包质量审核对配包的正确性进行检查，合格的情况下打印消毒包的一维条形码标签进行打包，在未审核情况下进行灭菌系统将明确提示操作人员前部分工作未完成，不能进行灭菌。</w:t>
      </w:r>
    </w:p>
    <w:p w14:paraId="0485BF50">
      <w:pPr>
        <w:bidi w:val="0"/>
      </w:pPr>
      <w:r>
        <w:rPr>
          <w:rFonts w:hint="eastAsia"/>
        </w:rPr>
        <w:t>装配时进入虚拟篮筐的物品，可直接输入虚拟篮筐号进行审核操作。</w:t>
      </w:r>
    </w:p>
    <w:p w14:paraId="14DEFCC4">
      <w:pPr>
        <w:bidi w:val="0"/>
      </w:pPr>
      <w:r>
        <w:rPr>
          <w:rFonts w:hint="eastAsia"/>
        </w:rPr>
        <w:t>根据医院流程，可选择在审核打包步骤进行标签打印。</w:t>
      </w:r>
    </w:p>
    <w:p w14:paraId="63F3392A">
      <w:pPr>
        <w:bidi w:val="0"/>
      </w:pPr>
      <w:r>
        <w:rPr>
          <w:rFonts w:hint="eastAsia"/>
        </w:rPr>
        <w:t>移动终端PDA审核打包界面：</w:t>
      </w:r>
    </w:p>
    <w:bookmarkEnd w:id="48"/>
    <w:bookmarkEnd w:id="264"/>
    <w:bookmarkEnd w:id="265"/>
    <w:bookmarkEnd w:id="266"/>
    <w:bookmarkEnd w:id="267"/>
    <w:bookmarkEnd w:id="268"/>
    <w:bookmarkEnd w:id="269"/>
    <w:bookmarkEnd w:id="270"/>
    <w:p w14:paraId="7CD3BB98">
      <w:pPr>
        <w:pStyle w:val="5"/>
        <w:bidi w:val="0"/>
      </w:pPr>
      <w:bookmarkStart w:id="271" w:name="_Toc329889468"/>
      <w:bookmarkStart w:id="272" w:name="_Toc330493705"/>
      <w:bookmarkStart w:id="273" w:name="_Toc329216443"/>
      <w:bookmarkStart w:id="274" w:name="_Toc192512814"/>
      <w:bookmarkStart w:id="275" w:name="_Toc126839081"/>
      <w:r>
        <w:rPr>
          <w:rFonts w:hint="eastAsia"/>
        </w:rPr>
        <w:t>使用</w:t>
      </w:r>
      <w:bookmarkEnd w:id="271"/>
      <w:bookmarkEnd w:id="272"/>
      <w:bookmarkEnd w:id="273"/>
      <w:r>
        <w:rPr>
          <w:rFonts w:hint="eastAsia"/>
        </w:rPr>
        <w:t>记录管理</w:t>
      </w:r>
      <w:bookmarkEnd w:id="274"/>
      <w:bookmarkEnd w:id="275"/>
    </w:p>
    <w:p w14:paraId="740FAE6C">
      <w:pPr>
        <w:bidi w:val="0"/>
      </w:pPr>
      <w:r>
        <w:rPr>
          <w:rFonts w:hint="eastAsia"/>
        </w:rPr>
        <w:t>在为病人使用器械包之前，护士先输入病人的手术单号或病人住院号，系统从HIS系统自动获取或者由护士手工填写病人的基本信息，然后所使用的扫描器械包条码，由系统记录该病人所使用的器械包。支持手术过程中添加手术器械，手术后器械清点审核，系统提供病人使用器械包一览表。手术室等重点部门，能查询到手术病人一览表，以及病人所使用的器械包信息。</w:t>
      </w:r>
    </w:p>
    <w:p w14:paraId="1007ACAB">
      <w:pPr>
        <w:pStyle w:val="6"/>
        <w:bidi w:val="0"/>
      </w:pPr>
      <w:bookmarkStart w:id="276" w:name="_Ref121257785"/>
      <w:bookmarkStart w:id="277" w:name="_Toc192512815"/>
      <w:bookmarkStart w:id="278" w:name="_Toc126839082"/>
      <w:r>
        <w:rPr>
          <w:rFonts w:hint="eastAsia"/>
        </w:rPr>
        <w:t>使用记录中对器械进行加急</w:t>
      </w:r>
      <w:bookmarkEnd w:id="276"/>
      <w:bookmarkEnd w:id="277"/>
      <w:bookmarkEnd w:id="278"/>
    </w:p>
    <w:p w14:paraId="18EBFAEA">
      <w:pPr>
        <w:bidi w:val="0"/>
      </w:pPr>
      <w:r>
        <w:rPr>
          <w:rFonts w:hint="eastAsia"/>
        </w:rPr>
        <w:t>系统支持在登记使用记录时，针对急用器械进行加急登记。根据系统自定义的加急等级，可选择对应的加急等级。使用记录的加急都是根据扫描的器械包条码进行单个包加急。在手术未完成时，可以将加急器械包拆分一张回收单，提前发送到消毒供应中心，方便快速处理。</w:t>
      </w:r>
    </w:p>
    <w:p w14:paraId="59C69D86">
      <w:pPr>
        <w:pStyle w:val="5"/>
        <w:bidi w:val="0"/>
      </w:pPr>
      <w:bookmarkStart w:id="279" w:name="_Toc192512816"/>
      <w:bookmarkStart w:id="280" w:name="_Toc126839086"/>
      <w:r>
        <w:rPr>
          <w:rFonts w:hint="eastAsia"/>
        </w:rPr>
        <w:t>退货管理</w:t>
      </w:r>
      <w:bookmarkEnd w:id="279"/>
      <w:bookmarkEnd w:id="280"/>
    </w:p>
    <w:p w14:paraId="283864D7">
      <w:pPr>
        <w:bidi w:val="0"/>
      </w:pPr>
      <w:r>
        <w:rPr>
          <w:rFonts w:hint="eastAsia"/>
        </w:rPr>
        <w:t>科室如果发现所申请的器械包发错或者太多无法用完可以通过退货管理将不需要的器械包退给供应室。供应室工作人员在收到用户所退物品之后填写退货单。用户可以通过扫描器械包或通过拼音码，五笔码和中文来检索物品，输入完成之后打印退货单交由科室签字即可。</w:t>
      </w:r>
    </w:p>
    <w:p w14:paraId="615C6E1B">
      <w:pPr>
        <w:pStyle w:val="5"/>
        <w:bidi w:val="0"/>
      </w:pPr>
      <w:bookmarkStart w:id="281" w:name="_Toc126839087"/>
      <w:bookmarkStart w:id="282" w:name="_Toc192512817"/>
      <w:bookmarkStart w:id="283" w:name="_Toc329216437"/>
      <w:bookmarkStart w:id="284" w:name="_Toc330493699"/>
      <w:bookmarkStart w:id="285" w:name="_Toc329889462"/>
      <w:r>
        <w:rPr>
          <w:rFonts w:hint="eastAsia"/>
        </w:rPr>
        <w:t>召回管理</w:t>
      </w:r>
      <w:bookmarkEnd w:id="281"/>
      <w:bookmarkEnd w:id="282"/>
    </w:p>
    <w:p w14:paraId="61B0978A">
      <w:pPr>
        <w:bidi w:val="0"/>
      </w:pPr>
      <w:r>
        <w:rPr>
          <w:rFonts w:hint="eastAsia"/>
        </w:rPr>
        <w:t>供应室在发现某一炉次的器械包质量不合格时需要发布召回信息。将不合格产品召回，以免造成更严重的医疗事故。在召回模块用户可以通过扫描器械包的条码进行召回，并且可以完善填写召回原因、处理过程等信息。</w:t>
      </w:r>
    </w:p>
    <w:p w14:paraId="0A1F9179">
      <w:pPr>
        <w:bidi w:val="0"/>
      </w:pPr>
      <w:r>
        <w:rPr>
          <w:rFonts w:hint="eastAsia"/>
        </w:rPr>
        <w:t>召回信息时可按炉次号进行召回，也可扫描该批次某物品的条形码进行召回。</w:t>
      </w:r>
    </w:p>
    <w:p w14:paraId="1677AB7D">
      <w:pPr>
        <w:bidi w:val="0"/>
      </w:pPr>
      <w:r>
        <w:rPr>
          <w:rFonts w:hint="eastAsia"/>
        </w:rPr>
        <w:t>召回信息登记表的内容包括物品类型、物品名称、批次、召回时间、召回范围、召回原因、处理过程、结果评价等。</w:t>
      </w:r>
    </w:p>
    <w:p w14:paraId="7123BAC2">
      <w:pPr>
        <w:bidi w:val="0"/>
      </w:pPr>
      <w:r>
        <w:rPr>
          <w:rFonts w:hint="eastAsia"/>
        </w:rPr>
        <w:t>在发布完召回信息之后，科室用户登录系统将会看到召回的信息，并且提示用户需要将召回的包退回，科室用户可以查询需要召回的器械包的使用情况。在完成召回之后供应室用户可以关闭召回信息，表示所有物品已经召回。</w:t>
      </w:r>
    </w:p>
    <w:bookmarkEnd w:id="283"/>
    <w:bookmarkEnd w:id="284"/>
    <w:bookmarkEnd w:id="285"/>
    <w:p w14:paraId="1A6B57B1">
      <w:pPr>
        <w:pStyle w:val="5"/>
        <w:bidi w:val="0"/>
      </w:pPr>
      <w:bookmarkStart w:id="286" w:name="_Toc192512818"/>
      <w:bookmarkStart w:id="287" w:name="_Toc126839089"/>
      <w:bookmarkStart w:id="288" w:name="_Toc329216436"/>
      <w:bookmarkStart w:id="289" w:name="_Toc329889461"/>
      <w:bookmarkStart w:id="290" w:name="_Toc330493698"/>
      <w:bookmarkStart w:id="291" w:name="_Toc20228454"/>
      <w:r>
        <w:rPr>
          <w:rFonts w:hint="eastAsia"/>
        </w:rPr>
        <w:t>外来器械包管理</w:t>
      </w:r>
      <w:bookmarkEnd w:id="286"/>
      <w:bookmarkEnd w:id="287"/>
      <w:bookmarkEnd w:id="288"/>
      <w:bookmarkEnd w:id="289"/>
      <w:bookmarkEnd w:id="290"/>
      <w:bookmarkEnd w:id="291"/>
    </w:p>
    <w:p w14:paraId="192F53E5">
      <w:pPr>
        <w:bidi w:val="0"/>
      </w:pPr>
      <w:r>
        <w:rPr>
          <w:rFonts w:hint="eastAsia"/>
        </w:rPr>
        <w:t>外来器械包管理功能提供了外来器械包的申请、回收、清洗、打包、灭菌、发放、使用、二次回收清洗、归还的闭环流程管理。本模块的主要功能如下：</w:t>
      </w:r>
    </w:p>
    <w:p w14:paraId="6BC40170">
      <w:pPr>
        <w:keepNext w:val="0"/>
        <w:keepLines w:val="0"/>
        <w:pageBreakBefore w:val="0"/>
        <w:widowControl w:val="0"/>
        <w:numPr>
          <w:ilvl w:val="0"/>
          <w:numId w:val="5"/>
        </w:numPr>
        <w:kinsoku/>
        <w:wordWrap/>
        <w:overflowPunct/>
        <w:topLinePunct w:val="0"/>
        <w:autoSpaceDE/>
        <w:autoSpaceDN/>
        <w:bidi w:val="0"/>
        <w:adjustRightInd/>
        <w:snapToGrid/>
        <w:spacing w:line="400" w:lineRule="exact"/>
        <w:ind w:left="0" w:firstLine="480" w:firstLineChars="200"/>
        <w:textAlignment w:val="auto"/>
        <w:rPr>
          <w:rFonts w:ascii="宋体" w:hAnsi="宋体"/>
          <w:szCs w:val="21"/>
        </w:rPr>
      </w:pPr>
      <w:r>
        <w:rPr>
          <w:rFonts w:hint="eastAsia" w:ascii="宋体" w:hAnsi="宋体"/>
          <w:szCs w:val="21"/>
        </w:rPr>
        <w:t>支持外来器械包植入物的管理</w:t>
      </w:r>
    </w:p>
    <w:p w14:paraId="660E7058">
      <w:pPr>
        <w:keepNext w:val="0"/>
        <w:keepLines w:val="0"/>
        <w:pageBreakBefore w:val="0"/>
        <w:widowControl w:val="0"/>
        <w:kinsoku/>
        <w:wordWrap/>
        <w:overflowPunct/>
        <w:topLinePunct w:val="0"/>
        <w:autoSpaceDE/>
        <w:autoSpaceDN/>
        <w:bidi w:val="0"/>
        <w:adjustRightInd/>
        <w:snapToGrid/>
        <w:spacing w:line="400" w:lineRule="exact"/>
        <w:ind w:left="0" w:firstLine="480" w:firstLineChars="200"/>
        <w:textAlignment w:val="auto"/>
        <w:rPr>
          <w:rFonts w:ascii="宋体" w:hAnsi="宋体"/>
          <w:szCs w:val="21"/>
        </w:rPr>
      </w:pPr>
      <w:r>
        <w:rPr>
          <w:rFonts w:hint="eastAsia" w:ascii="宋体" w:hAnsi="宋体"/>
          <w:szCs w:val="21"/>
        </w:rPr>
        <w:t>能记录手术时所使用的植入物的名称和数量，并进行收费</w:t>
      </w:r>
    </w:p>
    <w:p w14:paraId="5166D960">
      <w:pPr>
        <w:keepNext w:val="0"/>
        <w:keepLines w:val="0"/>
        <w:pageBreakBefore w:val="0"/>
        <w:widowControl w:val="0"/>
        <w:numPr>
          <w:ilvl w:val="0"/>
          <w:numId w:val="5"/>
        </w:numPr>
        <w:kinsoku/>
        <w:wordWrap/>
        <w:overflowPunct/>
        <w:topLinePunct w:val="0"/>
        <w:autoSpaceDE/>
        <w:autoSpaceDN/>
        <w:bidi w:val="0"/>
        <w:adjustRightInd/>
        <w:snapToGrid/>
        <w:spacing w:line="400" w:lineRule="exact"/>
        <w:ind w:left="0" w:firstLine="480" w:firstLineChars="200"/>
        <w:textAlignment w:val="auto"/>
        <w:rPr>
          <w:rFonts w:ascii="宋体" w:hAnsi="宋体"/>
          <w:szCs w:val="21"/>
        </w:rPr>
      </w:pPr>
      <w:r>
        <w:rPr>
          <w:rFonts w:hint="eastAsia" w:ascii="宋体" w:hAnsi="宋体"/>
          <w:szCs w:val="21"/>
        </w:rPr>
        <w:t>支持外来器械包的收费管理</w:t>
      </w:r>
    </w:p>
    <w:p w14:paraId="6C39C329">
      <w:pPr>
        <w:keepNext w:val="0"/>
        <w:keepLines w:val="0"/>
        <w:pageBreakBefore w:val="0"/>
        <w:widowControl w:val="0"/>
        <w:kinsoku/>
        <w:wordWrap/>
        <w:overflowPunct/>
        <w:topLinePunct w:val="0"/>
        <w:autoSpaceDE/>
        <w:autoSpaceDN/>
        <w:bidi w:val="0"/>
        <w:adjustRightInd/>
        <w:snapToGrid/>
        <w:spacing w:line="400" w:lineRule="exact"/>
        <w:ind w:left="0" w:firstLine="480" w:firstLineChars="200"/>
        <w:textAlignment w:val="auto"/>
        <w:rPr>
          <w:rFonts w:ascii="宋体" w:hAnsi="宋体"/>
          <w:szCs w:val="21"/>
        </w:rPr>
      </w:pPr>
      <w:r>
        <w:rPr>
          <w:rFonts w:hint="eastAsia" w:ascii="宋体" w:hAnsi="宋体"/>
          <w:szCs w:val="21"/>
        </w:rPr>
        <w:t>能设定外来器械包的处理费用，按月提供外来器械包的核算费用报表</w:t>
      </w:r>
    </w:p>
    <w:p w14:paraId="1445F0CB">
      <w:pPr>
        <w:keepNext w:val="0"/>
        <w:keepLines w:val="0"/>
        <w:pageBreakBefore w:val="0"/>
        <w:widowControl w:val="0"/>
        <w:numPr>
          <w:ilvl w:val="0"/>
          <w:numId w:val="5"/>
        </w:numPr>
        <w:kinsoku/>
        <w:wordWrap/>
        <w:overflowPunct/>
        <w:topLinePunct w:val="0"/>
        <w:autoSpaceDE/>
        <w:autoSpaceDN/>
        <w:bidi w:val="0"/>
        <w:adjustRightInd/>
        <w:snapToGrid/>
        <w:spacing w:line="400" w:lineRule="exact"/>
        <w:ind w:left="0" w:firstLine="480" w:firstLineChars="200"/>
        <w:textAlignment w:val="auto"/>
        <w:rPr>
          <w:rFonts w:ascii="宋体" w:hAnsi="宋体"/>
          <w:szCs w:val="21"/>
        </w:rPr>
      </w:pPr>
      <w:r>
        <w:rPr>
          <w:rFonts w:hint="eastAsia" w:ascii="宋体" w:hAnsi="宋体"/>
          <w:szCs w:val="21"/>
        </w:rPr>
        <w:t>支持外来器械包的加急处理</w:t>
      </w:r>
    </w:p>
    <w:p w14:paraId="6D82E06E">
      <w:pPr>
        <w:keepNext w:val="0"/>
        <w:keepLines w:val="0"/>
        <w:pageBreakBefore w:val="0"/>
        <w:widowControl w:val="0"/>
        <w:numPr>
          <w:ilvl w:val="0"/>
          <w:numId w:val="5"/>
        </w:numPr>
        <w:kinsoku/>
        <w:wordWrap/>
        <w:overflowPunct/>
        <w:topLinePunct w:val="0"/>
        <w:autoSpaceDE/>
        <w:autoSpaceDN/>
        <w:bidi w:val="0"/>
        <w:adjustRightInd/>
        <w:snapToGrid/>
        <w:spacing w:line="400" w:lineRule="exact"/>
        <w:ind w:left="0" w:firstLine="480" w:firstLineChars="200"/>
        <w:textAlignment w:val="auto"/>
        <w:rPr>
          <w:rFonts w:ascii="宋体" w:hAnsi="宋体"/>
          <w:szCs w:val="21"/>
        </w:rPr>
      </w:pPr>
      <w:r>
        <w:rPr>
          <w:rFonts w:hint="eastAsia" w:ascii="宋体" w:hAnsi="宋体"/>
          <w:szCs w:val="21"/>
        </w:rPr>
        <w:t>支持外来器械说明书的管理</w:t>
      </w:r>
    </w:p>
    <w:p w14:paraId="18CA36F8">
      <w:pPr>
        <w:keepNext w:val="0"/>
        <w:keepLines w:val="0"/>
        <w:pageBreakBefore w:val="0"/>
        <w:widowControl w:val="0"/>
        <w:kinsoku/>
        <w:wordWrap/>
        <w:overflowPunct/>
        <w:topLinePunct w:val="0"/>
        <w:autoSpaceDE/>
        <w:autoSpaceDN/>
        <w:bidi w:val="0"/>
        <w:adjustRightInd/>
        <w:snapToGrid/>
        <w:spacing w:line="400" w:lineRule="exact"/>
        <w:ind w:left="0" w:firstLine="480" w:firstLineChars="200"/>
        <w:textAlignment w:val="auto"/>
        <w:rPr>
          <w:rFonts w:ascii="宋体" w:hAnsi="宋体"/>
          <w:szCs w:val="21"/>
        </w:rPr>
      </w:pPr>
      <w:r>
        <w:rPr>
          <w:rFonts w:hint="eastAsia" w:ascii="宋体" w:hAnsi="宋体"/>
          <w:szCs w:val="21"/>
        </w:rPr>
        <w:t>可上传外来器械说明书，能在接收等多个环节进行查看</w:t>
      </w:r>
    </w:p>
    <w:p w14:paraId="075FBA25">
      <w:pPr>
        <w:keepNext w:val="0"/>
        <w:keepLines w:val="0"/>
        <w:pageBreakBefore w:val="0"/>
        <w:widowControl w:val="0"/>
        <w:numPr>
          <w:ilvl w:val="0"/>
          <w:numId w:val="5"/>
        </w:numPr>
        <w:kinsoku/>
        <w:wordWrap/>
        <w:overflowPunct/>
        <w:topLinePunct w:val="0"/>
        <w:autoSpaceDE/>
        <w:autoSpaceDN/>
        <w:bidi w:val="0"/>
        <w:adjustRightInd/>
        <w:snapToGrid/>
        <w:spacing w:line="400" w:lineRule="exact"/>
        <w:ind w:left="0" w:firstLine="480" w:firstLineChars="200"/>
        <w:textAlignment w:val="auto"/>
        <w:rPr>
          <w:rFonts w:ascii="宋体" w:hAnsi="宋体"/>
          <w:szCs w:val="21"/>
        </w:rPr>
      </w:pPr>
      <w:r>
        <w:rPr>
          <w:rFonts w:hint="eastAsia" w:ascii="宋体" w:hAnsi="宋体"/>
          <w:szCs w:val="21"/>
        </w:rPr>
        <w:t>支持外来器械包的拆包处理</w:t>
      </w:r>
    </w:p>
    <w:p w14:paraId="42C8585E">
      <w:pPr>
        <w:keepNext w:val="0"/>
        <w:keepLines w:val="0"/>
        <w:pageBreakBefore w:val="0"/>
        <w:widowControl w:val="0"/>
        <w:kinsoku/>
        <w:wordWrap/>
        <w:overflowPunct/>
        <w:topLinePunct w:val="0"/>
        <w:autoSpaceDE/>
        <w:autoSpaceDN/>
        <w:bidi w:val="0"/>
        <w:adjustRightInd/>
        <w:snapToGrid/>
        <w:spacing w:line="400" w:lineRule="exact"/>
        <w:ind w:left="0" w:firstLine="480" w:firstLineChars="200"/>
        <w:textAlignment w:val="auto"/>
        <w:rPr>
          <w:rFonts w:ascii="宋体" w:hAnsi="宋体"/>
          <w:szCs w:val="21"/>
        </w:rPr>
      </w:pPr>
      <w:r>
        <w:rPr>
          <w:rFonts w:hint="eastAsia" w:ascii="宋体" w:hAnsi="宋体"/>
          <w:szCs w:val="21"/>
        </w:rPr>
        <w:t>接收或者装配时，可根据需要拆分为多个包</w:t>
      </w:r>
    </w:p>
    <w:p w14:paraId="6F3C2FA7">
      <w:pPr>
        <w:keepNext w:val="0"/>
        <w:keepLines w:val="0"/>
        <w:pageBreakBefore w:val="0"/>
        <w:widowControl w:val="0"/>
        <w:numPr>
          <w:ilvl w:val="0"/>
          <w:numId w:val="5"/>
        </w:numPr>
        <w:kinsoku/>
        <w:wordWrap/>
        <w:overflowPunct/>
        <w:topLinePunct w:val="0"/>
        <w:autoSpaceDE/>
        <w:autoSpaceDN/>
        <w:bidi w:val="0"/>
        <w:adjustRightInd/>
        <w:snapToGrid/>
        <w:spacing w:line="400" w:lineRule="exact"/>
        <w:ind w:left="0" w:firstLine="480" w:firstLineChars="200"/>
        <w:textAlignment w:val="auto"/>
        <w:rPr>
          <w:rFonts w:ascii="宋体" w:hAnsi="宋体"/>
          <w:szCs w:val="21"/>
        </w:rPr>
      </w:pPr>
      <w:r>
        <w:rPr>
          <w:rFonts w:hint="eastAsia" w:ascii="宋体" w:hAnsi="宋体"/>
          <w:szCs w:val="21"/>
        </w:rPr>
        <w:t>支持生物监测提醒</w:t>
      </w:r>
    </w:p>
    <w:p w14:paraId="37E3B4F8">
      <w:pPr>
        <w:keepNext w:val="0"/>
        <w:keepLines w:val="0"/>
        <w:pageBreakBefore w:val="0"/>
        <w:widowControl w:val="0"/>
        <w:kinsoku/>
        <w:wordWrap/>
        <w:overflowPunct/>
        <w:topLinePunct w:val="0"/>
        <w:autoSpaceDE/>
        <w:autoSpaceDN/>
        <w:bidi w:val="0"/>
        <w:adjustRightInd/>
        <w:snapToGrid/>
        <w:spacing w:line="400" w:lineRule="exact"/>
        <w:ind w:left="0" w:firstLine="480" w:firstLineChars="200"/>
        <w:textAlignment w:val="auto"/>
        <w:rPr>
          <w:rFonts w:ascii="宋体" w:hAnsi="宋体"/>
          <w:szCs w:val="21"/>
        </w:rPr>
      </w:pPr>
      <w:r>
        <w:rPr>
          <w:rFonts w:hint="eastAsia" w:ascii="宋体" w:hAnsi="宋体"/>
          <w:szCs w:val="21"/>
        </w:rPr>
        <w:t>对于含植入物的外来器械，支持入炉和发放时进行生物监测的提醒。如果急用器械提前放行，可统计外来器械提前放行的情况。</w:t>
      </w:r>
    </w:p>
    <w:p w14:paraId="65266D4A">
      <w:pPr>
        <w:keepNext w:val="0"/>
        <w:keepLines w:val="0"/>
        <w:pageBreakBefore w:val="0"/>
        <w:widowControl w:val="0"/>
        <w:numPr>
          <w:ilvl w:val="0"/>
          <w:numId w:val="5"/>
        </w:numPr>
        <w:kinsoku/>
        <w:wordWrap/>
        <w:overflowPunct/>
        <w:topLinePunct w:val="0"/>
        <w:autoSpaceDE/>
        <w:autoSpaceDN/>
        <w:bidi w:val="0"/>
        <w:adjustRightInd/>
        <w:snapToGrid/>
        <w:spacing w:line="400" w:lineRule="exact"/>
        <w:ind w:left="0" w:firstLine="480" w:firstLineChars="200"/>
        <w:textAlignment w:val="auto"/>
        <w:rPr>
          <w:rFonts w:ascii="宋体" w:hAnsi="宋体"/>
          <w:szCs w:val="21"/>
        </w:rPr>
      </w:pPr>
      <w:r>
        <w:rPr>
          <w:rFonts w:hint="eastAsia" w:ascii="宋体" w:hAnsi="宋体"/>
          <w:szCs w:val="21"/>
        </w:rPr>
        <w:t>支持</w:t>
      </w:r>
      <w:r>
        <w:rPr>
          <w:rFonts w:ascii="宋体" w:hAnsi="宋体"/>
          <w:szCs w:val="21"/>
        </w:rPr>
        <w:t>外来器械</w:t>
      </w:r>
      <w:r>
        <w:rPr>
          <w:rFonts w:hint="eastAsia" w:ascii="宋体" w:hAnsi="宋体"/>
          <w:szCs w:val="21"/>
        </w:rPr>
        <w:t>包</w:t>
      </w:r>
      <w:r>
        <w:rPr>
          <w:rFonts w:ascii="宋体" w:hAnsi="宋体"/>
          <w:szCs w:val="21"/>
        </w:rPr>
        <w:t>申请单列表</w:t>
      </w:r>
      <w:r>
        <w:rPr>
          <w:rFonts w:hint="eastAsia" w:ascii="宋体" w:hAnsi="宋体"/>
          <w:szCs w:val="21"/>
        </w:rPr>
        <w:t>包</w:t>
      </w:r>
      <w:r>
        <w:rPr>
          <w:rFonts w:ascii="宋体" w:hAnsi="宋体"/>
          <w:szCs w:val="21"/>
        </w:rPr>
        <w:t>状态</w:t>
      </w:r>
      <w:r>
        <w:rPr>
          <w:rFonts w:hint="eastAsia" w:ascii="宋体" w:hAnsi="宋体"/>
          <w:szCs w:val="21"/>
        </w:rPr>
        <w:t>、回收状态、背景</w:t>
      </w:r>
      <w:r>
        <w:rPr>
          <w:rFonts w:ascii="宋体" w:hAnsi="宋体"/>
          <w:szCs w:val="21"/>
        </w:rPr>
        <w:t>颜色区分</w:t>
      </w:r>
    </w:p>
    <w:p w14:paraId="5897103C">
      <w:pPr>
        <w:keepNext w:val="0"/>
        <w:keepLines w:val="0"/>
        <w:pageBreakBefore w:val="0"/>
        <w:widowControl w:val="0"/>
        <w:numPr>
          <w:ilvl w:val="0"/>
          <w:numId w:val="5"/>
        </w:numPr>
        <w:kinsoku/>
        <w:wordWrap/>
        <w:overflowPunct/>
        <w:topLinePunct w:val="0"/>
        <w:autoSpaceDE/>
        <w:autoSpaceDN/>
        <w:bidi w:val="0"/>
        <w:adjustRightInd/>
        <w:snapToGrid/>
        <w:spacing w:line="400" w:lineRule="exact"/>
        <w:ind w:left="0" w:firstLine="480" w:firstLineChars="200"/>
        <w:textAlignment w:val="auto"/>
        <w:rPr>
          <w:rFonts w:ascii="宋体" w:hAnsi="宋体"/>
          <w:szCs w:val="21"/>
        </w:rPr>
      </w:pPr>
      <w:r>
        <w:rPr>
          <w:rFonts w:hint="eastAsia" w:ascii="宋体" w:hAnsi="宋体"/>
          <w:szCs w:val="21"/>
        </w:rPr>
        <w:t>支持</w:t>
      </w:r>
      <w:r>
        <w:rPr>
          <w:rFonts w:ascii="宋体" w:hAnsi="宋体"/>
          <w:szCs w:val="21"/>
        </w:rPr>
        <w:t>外来器械</w:t>
      </w:r>
      <w:r>
        <w:rPr>
          <w:rFonts w:hint="eastAsia" w:ascii="宋体" w:hAnsi="宋体"/>
          <w:szCs w:val="21"/>
        </w:rPr>
        <w:t>包</w:t>
      </w:r>
      <w:r>
        <w:rPr>
          <w:rFonts w:ascii="宋体" w:hAnsi="宋体"/>
          <w:szCs w:val="21"/>
        </w:rPr>
        <w:t>申请归还提示</w:t>
      </w:r>
    </w:p>
    <w:p w14:paraId="3AF001D7">
      <w:pPr>
        <w:keepNext w:val="0"/>
        <w:keepLines w:val="0"/>
        <w:pageBreakBefore w:val="0"/>
        <w:widowControl w:val="0"/>
        <w:numPr>
          <w:ilvl w:val="0"/>
          <w:numId w:val="5"/>
        </w:numPr>
        <w:kinsoku/>
        <w:wordWrap/>
        <w:overflowPunct/>
        <w:topLinePunct w:val="0"/>
        <w:autoSpaceDE/>
        <w:autoSpaceDN/>
        <w:bidi w:val="0"/>
        <w:adjustRightInd/>
        <w:snapToGrid/>
        <w:spacing w:line="400" w:lineRule="exact"/>
        <w:ind w:left="0" w:firstLine="480" w:firstLineChars="200"/>
        <w:textAlignment w:val="auto"/>
        <w:rPr>
          <w:rFonts w:ascii="宋体" w:hAnsi="宋体"/>
          <w:szCs w:val="21"/>
        </w:rPr>
      </w:pPr>
      <w:r>
        <w:rPr>
          <w:rFonts w:hint="eastAsia" w:ascii="宋体" w:hAnsi="宋体"/>
          <w:szCs w:val="21"/>
        </w:rPr>
        <w:t>支持外来器械包申请单统计报表、外来器械包使用后交接报表</w:t>
      </w:r>
    </w:p>
    <w:p w14:paraId="4CB77498">
      <w:pPr>
        <w:bidi w:val="0"/>
      </w:pPr>
      <w:r>
        <w:rPr>
          <w:rFonts w:hint="eastAsia"/>
        </w:rPr>
        <w:t>外来器械包接收前，需要先录入外来器械供应商以及外来器械包的信息。然后进行申请、回收、清洗、打包、灭菌、发放、使用、二次回收清洗、归还。</w:t>
      </w:r>
    </w:p>
    <w:p w14:paraId="6E4BCB55">
      <w:pPr>
        <w:pStyle w:val="6"/>
        <w:bidi w:val="0"/>
      </w:pPr>
      <w:bookmarkStart w:id="292" w:name="_Toc126839090"/>
      <w:bookmarkStart w:id="293" w:name="_Toc19489316"/>
      <w:bookmarkStart w:id="294" w:name="_Toc20228455"/>
      <w:bookmarkStart w:id="295" w:name="_Toc192512819"/>
      <w:r>
        <w:rPr>
          <w:rFonts w:hint="eastAsia"/>
        </w:rPr>
        <w:t>外来器械包供应商管理</w:t>
      </w:r>
      <w:bookmarkEnd w:id="292"/>
      <w:bookmarkEnd w:id="293"/>
      <w:bookmarkEnd w:id="294"/>
      <w:bookmarkEnd w:id="295"/>
    </w:p>
    <w:p w14:paraId="0B798D45">
      <w:pPr>
        <w:bidi w:val="0"/>
      </w:pPr>
      <w:r>
        <w:rPr>
          <w:rFonts w:hint="eastAsia"/>
        </w:rPr>
        <w:t>在供应商管理菜单，可以管理外来器械供应商的信息</w:t>
      </w:r>
      <w:r>
        <w:rPr>
          <w:rFonts w:hint="eastAsia"/>
          <w:lang w:eastAsia="zh-CN"/>
        </w:rPr>
        <w:t>。</w:t>
      </w:r>
    </w:p>
    <w:p w14:paraId="6B7AD168">
      <w:pPr>
        <w:pStyle w:val="6"/>
        <w:bidi w:val="0"/>
      </w:pPr>
      <w:bookmarkStart w:id="296" w:name="_Toc20228456"/>
      <w:bookmarkStart w:id="297" w:name="_Toc19489317"/>
      <w:bookmarkStart w:id="298" w:name="_Toc192512820"/>
      <w:bookmarkStart w:id="299" w:name="_Toc126839091"/>
      <w:r>
        <w:rPr>
          <w:rFonts w:hint="eastAsia"/>
        </w:rPr>
        <w:t>外来器械包管理</w:t>
      </w:r>
      <w:bookmarkEnd w:id="296"/>
      <w:bookmarkEnd w:id="297"/>
      <w:bookmarkEnd w:id="298"/>
      <w:bookmarkEnd w:id="299"/>
    </w:p>
    <w:p w14:paraId="7AFE84AC">
      <w:pPr>
        <w:bidi w:val="0"/>
      </w:pPr>
      <w:r>
        <w:rPr>
          <w:rFonts w:hint="eastAsia"/>
        </w:rPr>
        <w:t>通过外来器械包管理菜单，可以管理各个外来器械厂家所能提供的外来器械包的信息。</w:t>
      </w:r>
    </w:p>
    <w:p w14:paraId="2C3340AD">
      <w:r>
        <w:rPr>
          <w:rFonts w:hint="eastAsia"/>
        </w:rPr>
        <w:t>定义外来器械包的材料清单、默认包装类型、标签纸类型、配包注意事项、图片、说明书等信息。</w:t>
      </w:r>
    </w:p>
    <w:p w14:paraId="496DE5E4">
      <w:pPr>
        <w:rPr>
          <w:rFonts w:hint="eastAsia" w:eastAsia="仿宋_GB2312"/>
          <w:lang w:eastAsia="zh-CN"/>
        </w:rPr>
      </w:pPr>
      <w:r>
        <w:rPr>
          <w:rFonts w:hint="eastAsia"/>
        </w:rPr>
        <w:t>可上传外来器械的说明书，在接收、清洗、装配、灭菌、使用等多个环节均可以查看外来器械的说明书</w:t>
      </w:r>
      <w:r>
        <w:rPr>
          <w:rFonts w:hint="eastAsia"/>
          <w:lang w:eastAsia="zh-CN"/>
        </w:rPr>
        <w:t>。</w:t>
      </w:r>
    </w:p>
    <w:p w14:paraId="37A9800F">
      <w:pPr>
        <w:pStyle w:val="6"/>
        <w:bidi w:val="0"/>
      </w:pPr>
      <w:bookmarkStart w:id="300" w:name="_Toc19489318"/>
      <w:bookmarkStart w:id="301" w:name="_Toc20228457"/>
      <w:bookmarkStart w:id="302" w:name="_Toc126839092"/>
      <w:bookmarkStart w:id="303" w:name="_Toc192512821"/>
      <w:r>
        <w:rPr>
          <w:rFonts w:hint="eastAsia"/>
        </w:rPr>
        <w:t>外来器械包申请</w:t>
      </w:r>
      <w:bookmarkEnd w:id="300"/>
      <w:bookmarkEnd w:id="301"/>
      <w:bookmarkEnd w:id="302"/>
      <w:bookmarkEnd w:id="303"/>
    </w:p>
    <w:p w14:paraId="09046BBE">
      <w:pPr>
        <w:bidi w:val="0"/>
      </w:pPr>
      <w:r>
        <w:rPr>
          <w:rFonts w:hint="eastAsia"/>
        </w:rPr>
        <w:t>点击工具栏的添加按钮，新添加一张外来器械申请单</w:t>
      </w:r>
    </w:p>
    <w:p w14:paraId="73741326">
      <w:pPr>
        <w:bidi w:val="0"/>
        <w:rPr>
          <w:rFonts w:hint="eastAsia"/>
        </w:rPr>
      </w:pPr>
      <w:r>
        <w:rPr>
          <w:rFonts w:hint="eastAsia"/>
        </w:rPr>
        <w:t>选择外来器械供应商</w:t>
      </w:r>
    </w:p>
    <w:p w14:paraId="0BD04F72">
      <w:pPr>
        <w:bidi w:val="0"/>
      </w:pPr>
      <w:r>
        <w:rPr>
          <w:rFonts w:hint="eastAsia"/>
        </w:rPr>
        <w:t>选择供应商能提供的外来器械包</w:t>
      </w:r>
    </w:p>
    <w:p w14:paraId="1BEFD99E">
      <w:pPr>
        <w:bidi w:val="0"/>
      </w:pPr>
      <w:r>
        <w:t>点击添加时</w:t>
      </w:r>
      <w:r>
        <w:rPr>
          <w:rFonts w:hint="eastAsia"/>
        </w:rPr>
        <w:t>会</w:t>
      </w:r>
      <w:r>
        <w:t>检测是否有同供应商和同名称的器械包未归还，如果有则弹窗提示归还；提示信息为：“该外来器械上次申请后未归还，请及时归还”；</w:t>
      </w:r>
    </w:p>
    <w:p w14:paraId="050F4E8E">
      <w:pPr>
        <w:bidi w:val="0"/>
        <w:rPr>
          <w:rFonts w:hint="eastAsia" w:eastAsia="仿宋_GB2312"/>
          <w:lang w:eastAsia="zh-CN"/>
        </w:rPr>
      </w:pPr>
      <w:r>
        <w:rPr>
          <w:rFonts w:hint="eastAsia"/>
        </w:rPr>
        <w:t>添加了外来器械包后，系统会显示外来器械包的器械清单，可以设置每种器械是否植入物</w:t>
      </w:r>
      <w:r>
        <w:rPr>
          <w:rFonts w:hint="eastAsia"/>
          <w:lang w:eastAsia="zh-CN"/>
        </w:rPr>
        <w:t>。</w:t>
      </w:r>
    </w:p>
    <w:p w14:paraId="2C4501F0">
      <w:pPr>
        <w:pStyle w:val="6"/>
        <w:bidi w:val="0"/>
      </w:pPr>
      <w:bookmarkStart w:id="304" w:name="_Toc20228462"/>
      <w:bookmarkStart w:id="305" w:name="_Toc192512822"/>
      <w:bookmarkStart w:id="306" w:name="_Toc126839097"/>
      <w:bookmarkStart w:id="307" w:name="_Toc172565173"/>
      <w:bookmarkStart w:id="308" w:name="_Toc19489323"/>
      <w:r>
        <w:rPr>
          <w:rFonts w:hint="eastAsia"/>
        </w:rPr>
        <w:t>外来器械包发货</w:t>
      </w:r>
      <w:bookmarkEnd w:id="304"/>
      <w:bookmarkEnd w:id="305"/>
      <w:bookmarkEnd w:id="306"/>
      <w:bookmarkEnd w:id="307"/>
      <w:bookmarkEnd w:id="308"/>
    </w:p>
    <w:p w14:paraId="3329B9D6">
      <w:pPr>
        <w:bidi w:val="0"/>
      </w:pPr>
      <w:r>
        <w:rPr>
          <w:rFonts w:hint="eastAsia"/>
        </w:rPr>
        <w:t>含植入物的外来器械需做生物监测，合格后方可放行。如果是急诊手术，可在第五类化学指示物合格后，提前放行。</w:t>
      </w:r>
    </w:p>
    <w:p w14:paraId="3D612C5B">
      <w:pPr>
        <w:bidi w:val="0"/>
      </w:pPr>
      <w:r>
        <w:rPr>
          <w:rFonts w:hint="eastAsia"/>
        </w:rPr>
        <w:t>发放时，如果系统中的生物监测结果为无，则系统提示用户是否需要继续发货，如果继续，当做提前放行进行处理。</w:t>
      </w:r>
    </w:p>
    <w:p w14:paraId="5076B52D">
      <w:pPr>
        <w:bidi w:val="0"/>
      </w:pPr>
      <w:r>
        <w:rPr>
          <w:rFonts w:hint="eastAsia"/>
        </w:rPr>
        <w:t>如果外来器械被拆分为多个包，也可以要求扫描完所有的包才能进行发放，避免手术时缺少包。</w:t>
      </w:r>
    </w:p>
    <w:p w14:paraId="2083B38E">
      <w:pPr>
        <w:pStyle w:val="6"/>
        <w:bidi w:val="0"/>
      </w:pPr>
      <w:bookmarkStart w:id="309" w:name="_Toc126839098"/>
      <w:bookmarkStart w:id="310" w:name="_Toc192512823"/>
      <w:bookmarkStart w:id="311" w:name="_Toc20228463"/>
      <w:bookmarkStart w:id="312" w:name="_Toc19489324"/>
      <w:r>
        <w:rPr>
          <w:rFonts w:hint="eastAsia"/>
        </w:rPr>
        <w:t>外来器械包使用记录登记</w:t>
      </w:r>
      <w:bookmarkEnd w:id="309"/>
      <w:bookmarkEnd w:id="310"/>
      <w:bookmarkEnd w:id="311"/>
      <w:bookmarkEnd w:id="312"/>
    </w:p>
    <w:p w14:paraId="7D8A3B81">
      <w:r>
        <w:rPr>
          <w:rFonts w:hint="eastAsia"/>
        </w:rPr>
        <w:t>使用记录登记时，支持录入植入物的使用情况。</w:t>
      </w:r>
    </w:p>
    <w:p w14:paraId="34EC4A56">
      <w:r>
        <w:rPr>
          <w:rFonts w:hint="eastAsia"/>
        </w:rPr>
        <w:t>登记使用记录后，可以审核并生成回收申请单：</w:t>
      </w:r>
    </w:p>
    <w:p w14:paraId="7D94F2BB">
      <w:pPr>
        <w:pStyle w:val="6"/>
        <w:bidi w:val="0"/>
      </w:pPr>
      <w:bookmarkStart w:id="313" w:name="_Toc192512824"/>
      <w:bookmarkStart w:id="314" w:name="_Toc126839100"/>
      <w:r>
        <w:rPr>
          <w:rFonts w:hint="eastAsia"/>
        </w:rPr>
        <w:t>外来器械包的归还</w:t>
      </w:r>
      <w:bookmarkEnd w:id="313"/>
      <w:bookmarkEnd w:id="314"/>
    </w:p>
    <w:p w14:paraId="210A4F0D">
      <w:r>
        <w:rPr>
          <w:rFonts w:hint="eastAsia"/>
        </w:rPr>
        <w:t>外来器械包经过二次回收和清洗后，打开外来器械申请单，可供应室归还人和厂家归还人操作确认归还</w:t>
      </w:r>
    </w:p>
    <w:p w14:paraId="2CE547E7">
      <w:r>
        <w:rPr>
          <w:rFonts w:hint="eastAsia"/>
        </w:rPr>
        <w:t>确认归还后，外来器械包的包状态显示为已归还</w:t>
      </w:r>
    </w:p>
    <w:p w14:paraId="63B2B758">
      <w:pPr>
        <w:pStyle w:val="6"/>
        <w:bidi w:val="0"/>
      </w:pPr>
      <w:bookmarkStart w:id="315" w:name="_Toc192512825"/>
      <w:bookmarkStart w:id="316" w:name="_Toc126839101"/>
      <w:r>
        <w:rPr>
          <w:rFonts w:hint="eastAsia"/>
        </w:rPr>
        <w:t>外来器械包相关报表</w:t>
      </w:r>
      <w:bookmarkEnd w:id="315"/>
      <w:bookmarkEnd w:id="316"/>
    </w:p>
    <w:p w14:paraId="2D3BC03F">
      <w:pPr>
        <w:keepNext w:val="0"/>
        <w:keepLines w:val="0"/>
        <w:pageBreakBefore w:val="0"/>
        <w:widowControl w:val="0"/>
        <w:numPr>
          <w:ilvl w:val="0"/>
          <w:numId w:val="6"/>
        </w:numPr>
        <w:kinsoku/>
        <w:wordWrap/>
        <w:overflowPunct/>
        <w:topLinePunct w:val="0"/>
        <w:autoSpaceDE/>
        <w:autoSpaceDN/>
        <w:bidi w:val="0"/>
        <w:adjustRightInd/>
        <w:snapToGrid/>
        <w:ind w:left="0"/>
        <w:textAlignment w:val="auto"/>
        <w:rPr>
          <w:sz w:val="24"/>
        </w:rPr>
      </w:pPr>
      <w:r>
        <w:rPr>
          <w:rFonts w:hint="eastAsia"/>
        </w:rPr>
        <w:t>外来器械申请单统计报表</w:t>
      </w:r>
    </w:p>
    <w:p w14:paraId="5A1F9663">
      <w:r>
        <w:rPr>
          <w:rFonts w:hint="eastAsia"/>
        </w:rPr>
        <w:t>可统计外来器械包每天的申请明细，直观地体现发货状态、供应商、病人信息、住院号等信息</w:t>
      </w:r>
    </w:p>
    <w:p w14:paraId="0430FA7E">
      <w:pPr>
        <w:keepNext w:val="0"/>
        <w:keepLines w:val="0"/>
        <w:pageBreakBefore w:val="0"/>
        <w:widowControl w:val="0"/>
        <w:numPr>
          <w:ilvl w:val="0"/>
          <w:numId w:val="6"/>
        </w:numPr>
        <w:kinsoku/>
        <w:wordWrap/>
        <w:overflowPunct/>
        <w:topLinePunct w:val="0"/>
        <w:autoSpaceDE/>
        <w:autoSpaceDN/>
        <w:bidi w:val="0"/>
        <w:adjustRightInd/>
        <w:snapToGrid/>
        <w:ind w:left="0"/>
        <w:textAlignment w:val="auto"/>
      </w:pPr>
      <w:r>
        <w:rPr>
          <w:rFonts w:hint="eastAsia"/>
        </w:rPr>
        <w:t>外来器械使用后交接报表</w:t>
      </w:r>
    </w:p>
    <w:p w14:paraId="6E7E3A6F">
      <w:pPr>
        <w:bidi w:val="0"/>
      </w:pPr>
      <w:r>
        <w:rPr>
          <w:rFonts w:hint="eastAsia"/>
        </w:rPr>
        <w:t>对已使用的外来器械包进行统计，可打印出来填写交接人，方便与供应商进行交接</w:t>
      </w:r>
    </w:p>
    <w:p w14:paraId="2466DC4E">
      <w:pPr>
        <w:pStyle w:val="6"/>
        <w:bidi w:val="0"/>
      </w:pPr>
      <w:bookmarkStart w:id="317" w:name="_Toc114760055"/>
      <w:bookmarkStart w:id="318" w:name="_Toc192512826"/>
      <w:bookmarkStart w:id="319" w:name="_Ref114479752"/>
      <w:bookmarkStart w:id="320" w:name="_Toc114839261"/>
      <w:bookmarkStart w:id="321" w:name="_Toc126839102"/>
      <w:bookmarkStart w:id="322" w:name="_Toc114846081"/>
      <w:r>
        <w:rPr>
          <w:rFonts w:hint="eastAsia"/>
        </w:rPr>
        <w:t>外来器械特殊标识</w:t>
      </w:r>
      <w:bookmarkEnd w:id="317"/>
      <w:bookmarkEnd w:id="318"/>
      <w:bookmarkEnd w:id="319"/>
      <w:bookmarkEnd w:id="320"/>
      <w:bookmarkEnd w:id="321"/>
      <w:bookmarkEnd w:id="322"/>
    </w:p>
    <w:p w14:paraId="38230D2F">
      <w:pPr>
        <w:bidi w:val="0"/>
        <w:rPr>
          <w:rFonts w:hint="eastAsia"/>
        </w:rPr>
      </w:pPr>
      <w:r>
        <w:rPr>
          <w:rFonts w:hint="eastAsia"/>
        </w:rPr>
        <w:t>同时外来器械包在完成回收和清洗之后，在装配环节会有特殊标识用以区分其他器械包。</w:t>
      </w:r>
    </w:p>
    <w:p w14:paraId="5CF43D86">
      <w:pPr>
        <w:pStyle w:val="23"/>
      </w:pPr>
    </w:p>
    <w:p w14:paraId="0E2271E6">
      <w:pPr>
        <w:pStyle w:val="5"/>
        <w:bidi w:val="0"/>
      </w:pPr>
      <w:bookmarkStart w:id="323" w:name="_Toc126839105"/>
      <w:bookmarkStart w:id="324" w:name="_Toc192512827"/>
      <w:r>
        <w:rPr>
          <w:rFonts w:hint="eastAsia"/>
        </w:rPr>
        <w:t>器械仓库管理</w:t>
      </w:r>
      <w:bookmarkEnd w:id="323"/>
      <w:bookmarkEnd w:id="324"/>
    </w:p>
    <w:p w14:paraId="2E7B0E95">
      <w:pPr>
        <w:bidi w:val="0"/>
      </w:pPr>
      <w:r>
        <w:rPr>
          <w:rFonts w:hint="eastAsia"/>
        </w:rPr>
        <w:t>器械仓库材料入库、出库、盘点记录，与器械包误差器械补充实时联动，实现自动出库记录，正常损耗补充处理。</w:t>
      </w:r>
    </w:p>
    <w:p w14:paraId="4CA5F33A">
      <w:pPr>
        <w:bidi w:val="0"/>
        <w:rPr>
          <w:rFonts w:hint="eastAsia" w:eastAsia="仿宋_GB2312"/>
          <w:lang w:eastAsia="zh-CN"/>
        </w:rPr>
      </w:pPr>
      <w:r>
        <w:rPr>
          <w:rFonts w:hint="eastAsia"/>
          <w:lang w:val="en-US" w:eastAsia="zh-CN"/>
        </w:rPr>
        <w:t xml:space="preserve"> </w:t>
      </w:r>
    </w:p>
    <w:p w14:paraId="6D1461E0">
      <w:pPr>
        <w:pStyle w:val="5"/>
        <w:bidi w:val="0"/>
      </w:pPr>
      <w:bookmarkStart w:id="325" w:name="_Toc114760066"/>
      <w:bookmarkStart w:id="326" w:name="_Toc114839272"/>
      <w:bookmarkStart w:id="327" w:name="_Toc114760751"/>
      <w:bookmarkStart w:id="328" w:name="_Toc114846092"/>
      <w:bookmarkStart w:id="329" w:name="_Ref109834109"/>
      <w:bookmarkStart w:id="330" w:name="_Toc192512828"/>
      <w:bookmarkStart w:id="331" w:name="_Ref114480110"/>
      <w:bookmarkStart w:id="332" w:name="_Ref109834108"/>
      <w:bookmarkStart w:id="333" w:name="_Ref109655896"/>
      <w:bookmarkStart w:id="334" w:name="_Toc114735641"/>
      <w:bookmarkStart w:id="335" w:name="_Toc126839106"/>
      <w:bookmarkStart w:id="336" w:name="_Toc15770374"/>
      <w:r>
        <w:rPr>
          <w:rFonts w:hint="eastAsia"/>
        </w:rPr>
        <w:t>质量监测</w:t>
      </w:r>
      <w:bookmarkEnd w:id="325"/>
      <w:bookmarkEnd w:id="326"/>
      <w:bookmarkEnd w:id="327"/>
      <w:bookmarkEnd w:id="328"/>
      <w:bookmarkEnd w:id="329"/>
      <w:bookmarkEnd w:id="330"/>
      <w:bookmarkEnd w:id="331"/>
      <w:bookmarkEnd w:id="332"/>
      <w:bookmarkEnd w:id="333"/>
      <w:bookmarkEnd w:id="334"/>
      <w:bookmarkEnd w:id="335"/>
      <w:bookmarkEnd w:id="336"/>
    </w:p>
    <w:p w14:paraId="5968BA08">
      <w:pPr>
        <w:bidi w:val="0"/>
      </w:pPr>
      <w:r>
        <w:rPr>
          <w:rFonts w:hint="eastAsia"/>
        </w:rPr>
        <w:t>系统提供灵活而功能强大的质量监测功能，用户可自行定义监测的项目以及每个监测项目监测的内容。</w:t>
      </w:r>
    </w:p>
    <w:p w14:paraId="0803B812">
      <w:pPr>
        <w:pStyle w:val="6"/>
        <w:bidi w:val="0"/>
      </w:pPr>
      <w:bookmarkStart w:id="337" w:name="_Ref114480115"/>
      <w:bookmarkStart w:id="338" w:name="_Toc192512829"/>
      <w:bookmarkStart w:id="339" w:name="_Toc114839273"/>
      <w:bookmarkStart w:id="340" w:name="_Toc114760067"/>
      <w:bookmarkStart w:id="341" w:name="_Toc114846093"/>
      <w:bookmarkStart w:id="342" w:name="_Toc126839107"/>
      <w:r>
        <w:rPr>
          <w:rFonts w:hint="eastAsia"/>
        </w:rPr>
        <w:t>监测项目定义</w:t>
      </w:r>
      <w:bookmarkEnd w:id="337"/>
      <w:bookmarkEnd w:id="338"/>
      <w:bookmarkEnd w:id="339"/>
      <w:bookmarkEnd w:id="340"/>
      <w:bookmarkEnd w:id="341"/>
      <w:bookmarkEnd w:id="342"/>
    </w:p>
    <w:p w14:paraId="0086BC75">
      <w:pPr>
        <w:bidi w:val="0"/>
      </w:pPr>
      <w:r>
        <w:rPr>
          <w:rFonts w:hint="eastAsia"/>
        </w:rPr>
        <w:t>质量监测管理模块的使用先要完成质量监测项的基础数据定义，定义的内容包括质量监测项名称、责任环节、模块、监测细则。</w:t>
      </w:r>
    </w:p>
    <w:p w14:paraId="04010669">
      <w:pPr>
        <w:pStyle w:val="6"/>
        <w:bidi w:val="0"/>
      </w:pPr>
      <w:bookmarkStart w:id="343" w:name="_Toc192512830"/>
      <w:bookmarkStart w:id="344" w:name="_Toc114839274"/>
      <w:bookmarkStart w:id="345" w:name="_Toc114760068"/>
      <w:bookmarkStart w:id="346" w:name="_Toc114846094"/>
      <w:bookmarkStart w:id="347" w:name="_Toc126839108"/>
      <w:r>
        <w:rPr>
          <w:rFonts w:hint="eastAsia"/>
        </w:rPr>
        <w:t>质量监测版本管理</w:t>
      </w:r>
      <w:bookmarkEnd w:id="343"/>
      <w:bookmarkEnd w:id="344"/>
      <w:bookmarkEnd w:id="345"/>
      <w:bookmarkEnd w:id="346"/>
      <w:bookmarkEnd w:id="347"/>
    </w:p>
    <w:p w14:paraId="33DCB21C">
      <w:pPr>
        <w:bidi w:val="0"/>
      </w:pPr>
      <w:r>
        <w:t>支持质量监测版本管理功能，质量监测定义修改后可产生新的版本，不影响旧版本所录入的数据。</w:t>
      </w:r>
    </w:p>
    <w:p w14:paraId="5CA81446">
      <w:pPr>
        <w:pStyle w:val="6"/>
        <w:bidi w:val="0"/>
      </w:pPr>
      <w:bookmarkStart w:id="348" w:name="_Ref114480135"/>
      <w:bookmarkStart w:id="349" w:name="_Toc114839275"/>
      <w:bookmarkStart w:id="350" w:name="_Toc192512831"/>
      <w:bookmarkStart w:id="351" w:name="_Toc114760069"/>
      <w:bookmarkStart w:id="352" w:name="_Toc126839109"/>
      <w:bookmarkStart w:id="353" w:name="_Toc114846095"/>
      <w:r>
        <w:rPr>
          <w:rFonts w:hint="eastAsia"/>
        </w:rPr>
        <w:t>监测信息登记</w:t>
      </w:r>
      <w:bookmarkEnd w:id="348"/>
      <w:bookmarkEnd w:id="349"/>
      <w:bookmarkEnd w:id="350"/>
      <w:bookmarkEnd w:id="351"/>
      <w:bookmarkEnd w:id="352"/>
      <w:bookmarkEnd w:id="353"/>
    </w:p>
    <w:p w14:paraId="48A8A903">
      <w:pPr>
        <w:bidi w:val="0"/>
      </w:pPr>
      <w:r>
        <w:rPr>
          <w:rFonts w:hint="eastAsia"/>
        </w:rPr>
        <w:t>在完成所有的质量监测配置之后，用户可以在多个生产与使用环节（回收、清洗、配包、配包审核、灭菌、发货、使用等环节）点击质量监测按钮录入质量监测信息。</w:t>
      </w:r>
    </w:p>
    <w:p w14:paraId="2941E6F3">
      <w:pPr>
        <w:pStyle w:val="6"/>
        <w:bidi w:val="0"/>
      </w:pPr>
      <w:bookmarkStart w:id="354" w:name="_Toc114839276"/>
      <w:bookmarkStart w:id="355" w:name="_Toc192512835"/>
      <w:bookmarkStart w:id="356" w:name="_Ref114480140"/>
      <w:bookmarkStart w:id="357" w:name="_Toc114846096"/>
      <w:bookmarkStart w:id="358" w:name="_Toc126839113"/>
      <w:bookmarkStart w:id="359" w:name="_Toc114760070"/>
      <w:r>
        <w:rPr>
          <w:rFonts w:hint="eastAsia"/>
        </w:rPr>
        <w:t>质量监测报表</w:t>
      </w:r>
      <w:bookmarkEnd w:id="354"/>
      <w:bookmarkEnd w:id="355"/>
      <w:bookmarkEnd w:id="356"/>
      <w:bookmarkEnd w:id="357"/>
      <w:bookmarkEnd w:id="358"/>
      <w:bookmarkEnd w:id="359"/>
    </w:p>
    <w:p w14:paraId="48675B8F">
      <w:pPr>
        <w:bidi w:val="0"/>
      </w:pPr>
      <w:r>
        <w:rPr>
          <w:rFonts w:hint="eastAsia"/>
        </w:rPr>
        <w:t>提供</w:t>
      </w:r>
      <w:r>
        <w:rPr>
          <w:rFonts w:hint="eastAsia"/>
          <w:lang w:val="en-US" w:eastAsia="zh-CN"/>
        </w:rPr>
        <w:t>质量检测报表功能。</w:t>
      </w:r>
      <w:r>
        <w:br w:type="page"/>
      </w:r>
    </w:p>
    <w:p w14:paraId="6E0D24DC">
      <w:pPr>
        <w:pStyle w:val="5"/>
        <w:bidi w:val="0"/>
      </w:pPr>
      <w:bookmarkStart w:id="360" w:name="_Toc192512836"/>
      <w:bookmarkStart w:id="361" w:name="_Toc126839114"/>
      <w:bookmarkStart w:id="362" w:name="_Toc15770369"/>
      <w:bookmarkStart w:id="363" w:name="_Toc438483517"/>
      <w:bookmarkStart w:id="364" w:name="_Toc106375836"/>
      <w:r>
        <w:rPr>
          <w:rFonts w:hint="eastAsia"/>
        </w:rPr>
        <w:t>追溯管理</w:t>
      </w:r>
      <w:bookmarkEnd w:id="360"/>
      <w:bookmarkEnd w:id="361"/>
    </w:p>
    <w:p w14:paraId="52903E1B">
      <w:pPr>
        <w:bidi w:val="0"/>
      </w:pPr>
      <w:r>
        <w:rPr>
          <w:rFonts w:hint="eastAsia"/>
        </w:rPr>
        <w:t>系统提供多种方式追踪消毒供应生产和物品使用过程的信息，以保证医疗安全，便于物品跟踪管理。主要的追溯功能如下：</w:t>
      </w:r>
    </w:p>
    <w:p w14:paraId="1BE1B3E2">
      <w:pPr>
        <w:keepNext w:val="0"/>
        <w:keepLines w:val="0"/>
        <w:pageBreakBefore w:val="0"/>
        <w:widowControl w:val="0"/>
        <w:numPr>
          <w:ilvl w:val="0"/>
          <w:numId w:val="7"/>
        </w:numPr>
        <w:kinsoku/>
        <w:wordWrap/>
        <w:overflowPunct/>
        <w:topLinePunct w:val="0"/>
        <w:autoSpaceDE/>
        <w:autoSpaceDN/>
        <w:bidi w:val="0"/>
        <w:adjustRightInd/>
        <w:snapToGrid/>
        <w:ind w:left="0"/>
        <w:textAlignment w:val="auto"/>
        <w:rPr>
          <w:b/>
          <w:bCs/>
        </w:rPr>
      </w:pPr>
      <w:r>
        <w:rPr>
          <w:rFonts w:hint="eastAsia"/>
          <w:b/>
          <w:bCs/>
        </w:rPr>
        <w:t>器械包信息追溯（含生产与使用情况追溯）</w:t>
      </w:r>
    </w:p>
    <w:p w14:paraId="5170ECE4">
      <w:pPr>
        <w:bidi w:val="0"/>
      </w:pPr>
      <w:r>
        <w:rPr>
          <w:rFonts w:hint="eastAsia"/>
        </w:rPr>
        <w:t>包含器械包生产过程信息追溯和使用流转过程信息追溯。</w:t>
      </w:r>
    </w:p>
    <w:p w14:paraId="15D160EF">
      <w:pPr>
        <w:bidi w:val="0"/>
      </w:pPr>
      <w:r>
        <w:rPr>
          <w:rFonts w:hint="eastAsia"/>
        </w:rPr>
        <w:t>在器械包信息模块，用户可以根据器械包条码、灭菌炉、炉次、灭菌日期对器械包进行多条件查询。查询列表中用户可以看到器械包的名称、条码、所发科室、有效期、装配员、审核员等信息。</w:t>
      </w:r>
    </w:p>
    <w:p w14:paraId="632138D0">
      <w:pPr>
        <w:spacing w:line="360" w:lineRule="auto"/>
        <w:ind w:firstLine="480" w:firstLineChars="200"/>
        <w:rPr>
          <w:rFonts w:ascii="宋体" w:hAnsi="宋体"/>
          <w:szCs w:val="21"/>
        </w:rPr>
      </w:pPr>
      <w:r>
        <w:rPr>
          <w:rFonts w:hint="eastAsia" w:ascii="宋体" w:hAnsi="宋体"/>
          <w:szCs w:val="21"/>
        </w:rPr>
        <w:t>单击器械包名称，可以查到该器械包的详细追溯信息，器械包生产过程的信息涵盖如下几个环节：清洗、装配、审核、灭菌、发货等。</w:t>
      </w:r>
    </w:p>
    <w:p w14:paraId="0789EC32">
      <w:pPr>
        <w:keepNext w:val="0"/>
        <w:keepLines w:val="0"/>
        <w:pageBreakBefore w:val="0"/>
        <w:widowControl w:val="0"/>
        <w:numPr>
          <w:ilvl w:val="0"/>
          <w:numId w:val="7"/>
        </w:numPr>
        <w:kinsoku/>
        <w:wordWrap/>
        <w:overflowPunct/>
        <w:topLinePunct w:val="0"/>
        <w:autoSpaceDE/>
        <w:autoSpaceDN/>
        <w:bidi w:val="0"/>
        <w:adjustRightInd/>
        <w:snapToGrid/>
        <w:ind w:left="0"/>
        <w:textAlignment w:val="auto"/>
        <w:rPr>
          <w:b/>
          <w:bCs/>
        </w:rPr>
      </w:pPr>
      <w:r>
        <w:rPr>
          <w:rFonts w:hint="eastAsia"/>
          <w:b/>
          <w:bCs/>
        </w:rPr>
        <w:t>病人追溯</w:t>
      </w:r>
    </w:p>
    <w:p w14:paraId="4BADDF74">
      <w:pPr>
        <w:bidi w:val="0"/>
      </w:pPr>
      <w:r>
        <w:rPr>
          <w:rFonts w:hint="eastAsia"/>
        </w:rPr>
        <w:t>进入使用记录模块，可根据病人的姓名、身份证号码、住院号、手术名称及手术时间等信息追溯病人手术所使用的器械包。包括手术室以及临床科室的病人均可追溯。</w:t>
      </w:r>
    </w:p>
    <w:p w14:paraId="668E57B3">
      <w:pPr>
        <w:keepNext w:val="0"/>
        <w:keepLines w:val="0"/>
        <w:pageBreakBefore w:val="0"/>
        <w:widowControl w:val="0"/>
        <w:numPr>
          <w:ilvl w:val="0"/>
          <w:numId w:val="7"/>
        </w:numPr>
        <w:kinsoku/>
        <w:wordWrap/>
        <w:overflowPunct/>
        <w:topLinePunct w:val="0"/>
        <w:autoSpaceDE/>
        <w:autoSpaceDN/>
        <w:bidi w:val="0"/>
        <w:adjustRightInd/>
        <w:snapToGrid/>
        <w:ind w:left="0"/>
        <w:textAlignment w:val="auto"/>
        <w:rPr>
          <w:rFonts w:hint="eastAsia"/>
          <w:b/>
          <w:bCs/>
        </w:rPr>
      </w:pPr>
      <w:r>
        <w:rPr>
          <w:rFonts w:hint="eastAsia"/>
          <w:b/>
          <w:bCs/>
        </w:rPr>
        <w:t>设备追溯</w:t>
      </w:r>
    </w:p>
    <w:p w14:paraId="2C00F7A4">
      <w:pPr>
        <w:bidi w:val="0"/>
      </w:pPr>
      <w:r>
        <w:rPr>
          <w:rFonts w:hint="eastAsia"/>
        </w:rPr>
        <w:t>支持按设备进行追溯，可查询某台设备某天生产的产品清单：</w:t>
      </w:r>
    </w:p>
    <w:p w14:paraId="446D5E42">
      <w:pPr>
        <w:keepNext w:val="0"/>
        <w:keepLines w:val="0"/>
        <w:pageBreakBefore w:val="0"/>
        <w:widowControl w:val="0"/>
        <w:numPr>
          <w:ilvl w:val="0"/>
          <w:numId w:val="7"/>
        </w:numPr>
        <w:kinsoku/>
        <w:wordWrap/>
        <w:overflowPunct/>
        <w:topLinePunct w:val="0"/>
        <w:autoSpaceDE/>
        <w:autoSpaceDN/>
        <w:bidi w:val="0"/>
        <w:adjustRightInd/>
        <w:snapToGrid/>
        <w:ind w:left="0"/>
        <w:textAlignment w:val="auto"/>
        <w:rPr>
          <w:rFonts w:hint="eastAsia"/>
          <w:b/>
          <w:bCs/>
        </w:rPr>
      </w:pPr>
      <w:r>
        <w:rPr>
          <w:rFonts w:hint="eastAsia"/>
          <w:b/>
          <w:bCs/>
        </w:rPr>
        <w:t>工作人员追溯</w:t>
      </w:r>
    </w:p>
    <w:p w14:paraId="2998B8FC">
      <w:pPr>
        <w:spacing w:line="360" w:lineRule="auto"/>
        <w:ind w:firstLine="480" w:firstLineChars="200"/>
        <w:rPr>
          <w:rFonts w:ascii="宋体" w:hAnsi="宋体"/>
          <w:szCs w:val="21"/>
        </w:rPr>
      </w:pPr>
      <w:r>
        <w:rPr>
          <w:rFonts w:hint="eastAsia" w:ascii="宋体" w:hAnsi="宋体"/>
          <w:szCs w:val="21"/>
        </w:rPr>
        <w:t>可输入工作人员姓名，追溯其生产的器械包的情况：</w:t>
      </w:r>
    </w:p>
    <w:p w14:paraId="3B66A835">
      <w:pPr>
        <w:keepNext w:val="0"/>
        <w:keepLines w:val="0"/>
        <w:pageBreakBefore w:val="0"/>
        <w:widowControl w:val="0"/>
        <w:numPr>
          <w:ilvl w:val="0"/>
          <w:numId w:val="7"/>
        </w:numPr>
        <w:kinsoku/>
        <w:wordWrap/>
        <w:overflowPunct/>
        <w:topLinePunct w:val="0"/>
        <w:autoSpaceDE/>
        <w:autoSpaceDN/>
        <w:bidi w:val="0"/>
        <w:adjustRightInd/>
        <w:snapToGrid/>
        <w:ind w:left="0"/>
        <w:textAlignment w:val="auto"/>
        <w:rPr>
          <w:rFonts w:hint="eastAsia"/>
          <w:b/>
          <w:bCs/>
        </w:rPr>
      </w:pPr>
      <w:r>
        <w:rPr>
          <w:rFonts w:hint="eastAsia"/>
          <w:b/>
          <w:bCs/>
        </w:rPr>
        <w:t>批次追溯</w:t>
      </w:r>
    </w:p>
    <w:p w14:paraId="67B5F995">
      <w:pPr>
        <w:spacing w:line="360" w:lineRule="auto"/>
        <w:ind w:firstLine="480" w:firstLineChars="200"/>
        <w:rPr>
          <w:rFonts w:ascii="宋体" w:hAnsi="宋体"/>
          <w:szCs w:val="21"/>
        </w:rPr>
      </w:pPr>
      <w:r>
        <w:rPr>
          <w:rFonts w:hint="eastAsia" w:ascii="宋体" w:hAnsi="宋体"/>
          <w:szCs w:val="21"/>
        </w:rPr>
        <w:t>可按灭菌的批次，追踪同一批物品的发货和使用情况：</w:t>
      </w:r>
    </w:p>
    <w:p w14:paraId="6FEB8AF4">
      <w:pPr>
        <w:keepNext w:val="0"/>
        <w:keepLines w:val="0"/>
        <w:pageBreakBefore w:val="0"/>
        <w:widowControl w:val="0"/>
        <w:numPr>
          <w:ilvl w:val="0"/>
          <w:numId w:val="7"/>
        </w:numPr>
        <w:kinsoku/>
        <w:wordWrap/>
        <w:overflowPunct/>
        <w:topLinePunct w:val="0"/>
        <w:autoSpaceDE/>
        <w:autoSpaceDN/>
        <w:bidi w:val="0"/>
        <w:adjustRightInd/>
        <w:snapToGrid/>
        <w:ind w:left="0"/>
        <w:textAlignment w:val="auto"/>
        <w:rPr>
          <w:rFonts w:hint="eastAsia"/>
          <w:b/>
          <w:bCs/>
        </w:rPr>
      </w:pPr>
      <w:r>
        <w:rPr>
          <w:rFonts w:hint="eastAsia"/>
          <w:b/>
          <w:bCs/>
        </w:rPr>
        <w:t>无条形码追溯</w:t>
      </w:r>
    </w:p>
    <w:p w14:paraId="11A4BB0C">
      <w:pPr>
        <w:bidi w:val="0"/>
      </w:pPr>
      <w:r>
        <w:rPr>
          <w:rFonts w:hint="eastAsia"/>
        </w:rPr>
        <w:t>对于条形码丢失或者破损的物品，可以通过多种综合查询手段在系统中进行追溯。比如根据该物品的名称、生产日期，系统中同类型物品的使用记录等信息进行追溯排查、定位。</w:t>
      </w:r>
    </w:p>
    <w:bookmarkEnd w:id="362"/>
    <w:bookmarkEnd w:id="363"/>
    <w:bookmarkEnd w:id="364"/>
    <w:p w14:paraId="42009FD4">
      <w:pPr>
        <w:pStyle w:val="5"/>
        <w:bidi w:val="0"/>
      </w:pPr>
      <w:bookmarkStart w:id="365" w:name="_Toc192512837"/>
      <w:bookmarkStart w:id="366" w:name="_Toc126839126"/>
      <w:bookmarkStart w:id="367" w:name="_Toc330493706"/>
      <w:bookmarkStart w:id="368" w:name="_Toc329889469"/>
      <w:bookmarkStart w:id="369" w:name="_Toc329216444"/>
      <w:bookmarkStart w:id="370" w:name="_Toc329889470"/>
      <w:bookmarkStart w:id="371" w:name="_Toc330493707"/>
      <w:bookmarkStart w:id="372" w:name="_Toc329216445"/>
      <w:bookmarkStart w:id="373" w:name="_Toc335726271"/>
      <w:r>
        <w:rPr>
          <w:rFonts w:hint="eastAsia"/>
        </w:rPr>
        <w:t>运作监控管理</w:t>
      </w:r>
      <w:bookmarkEnd w:id="365"/>
      <w:bookmarkEnd w:id="366"/>
    </w:p>
    <w:p w14:paraId="05EEA493">
      <w:pPr>
        <w:bidi w:val="0"/>
      </w:pPr>
      <w:r>
        <w:rPr>
          <w:rFonts w:hint="eastAsia"/>
        </w:rPr>
        <w:t>运作监控管理模块，可针对消毒供应中心内部工作步骤，查询所有环节的数据。</w:t>
      </w:r>
    </w:p>
    <w:p w14:paraId="0322974D">
      <w:pPr>
        <w:bidi w:val="0"/>
      </w:pPr>
      <w:r>
        <w:rPr>
          <w:rFonts w:hint="eastAsia"/>
        </w:rPr>
        <w:t>主要功能如下：</w:t>
      </w:r>
    </w:p>
    <w:p w14:paraId="4F50A424">
      <w:pPr>
        <w:keepNext w:val="0"/>
        <w:keepLines w:val="0"/>
        <w:pageBreakBefore w:val="0"/>
        <w:widowControl w:val="0"/>
        <w:numPr>
          <w:ilvl w:val="0"/>
          <w:numId w:val="8"/>
        </w:numPr>
        <w:kinsoku/>
        <w:wordWrap/>
        <w:overflowPunct/>
        <w:topLinePunct w:val="0"/>
        <w:autoSpaceDE/>
        <w:autoSpaceDN/>
        <w:bidi w:val="0"/>
        <w:adjustRightInd/>
        <w:snapToGrid/>
        <w:spacing w:line="360" w:lineRule="auto"/>
        <w:ind w:left="0"/>
        <w:textAlignment w:val="auto"/>
        <w:rPr>
          <w:rFonts w:ascii="宋体" w:hAnsi="宋体"/>
          <w:szCs w:val="21"/>
          <w:lang w:eastAsia="zh-CN"/>
        </w:rPr>
      </w:pPr>
      <w:r>
        <w:rPr>
          <w:rFonts w:hint="eastAsia" w:ascii="宋体" w:hAnsi="宋体"/>
          <w:szCs w:val="21"/>
          <w:lang w:eastAsia="zh-CN"/>
        </w:rPr>
        <w:t>消毒供应中心运作监控</w:t>
      </w:r>
    </w:p>
    <w:p w14:paraId="587739AE">
      <w:pPr>
        <w:bidi w:val="0"/>
      </w:pPr>
      <w:r>
        <w:rPr>
          <w:rFonts w:hint="eastAsia"/>
        </w:rPr>
        <w:t>通过物品名称，科室名称或者某个时间段查询供应室里器械包的运作情况，包括回收申请信息，清洗记录信息，装配信息，审核信息，灭菌信息，发货信息。</w:t>
      </w:r>
    </w:p>
    <w:p w14:paraId="0F5C5A99">
      <w:pPr>
        <w:keepNext w:val="0"/>
        <w:keepLines w:val="0"/>
        <w:pageBreakBefore w:val="0"/>
        <w:widowControl w:val="0"/>
        <w:numPr>
          <w:ilvl w:val="0"/>
          <w:numId w:val="8"/>
        </w:numPr>
        <w:kinsoku/>
        <w:wordWrap/>
        <w:overflowPunct/>
        <w:topLinePunct w:val="0"/>
        <w:autoSpaceDE/>
        <w:autoSpaceDN/>
        <w:bidi w:val="0"/>
        <w:adjustRightInd/>
        <w:snapToGrid/>
        <w:spacing w:line="360" w:lineRule="auto"/>
        <w:ind w:left="0"/>
        <w:textAlignment w:val="auto"/>
        <w:rPr>
          <w:rFonts w:hint="eastAsia" w:ascii="宋体" w:hAnsi="宋体"/>
          <w:szCs w:val="21"/>
          <w:lang w:eastAsia="zh-CN"/>
        </w:rPr>
      </w:pPr>
      <w:r>
        <w:rPr>
          <w:rFonts w:hint="eastAsia" w:ascii="宋体" w:hAnsi="宋体"/>
          <w:szCs w:val="21"/>
          <w:lang w:eastAsia="zh-CN"/>
        </w:rPr>
        <w:t>消毒供应中心未完成工作列表</w:t>
      </w:r>
    </w:p>
    <w:p w14:paraId="0A70DA33">
      <w:pPr>
        <w:spacing w:line="360" w:lineRule="auto"/>
        <w:ind w:firstLine="420"/>
        <w:rPr>
          <w:rFonts w:ascii="宋体" w:hAnsi="宋体"/>
          <w:szCs w:val="21"/>
        </w:rPr>
      </w:pPr>
      <w:r>
        <w:rPr>
          <w:rFonts w:hint="eastAsia" w:ascii="宋体" w:hAnsi="宋体"/>
          <w:szCs w:val="21"/>
        </w:rPr>
        <w:t>通过科室查询待回收，待装配，待审核，待灭菌，待发货的器械包。</w:t>
      </w:r>
    </w:p>
    <w:p w14:paraId="2ADE39AF">
      <w:pPr>
        <w:keepNext w:val="0"/>
        <w:keepLines w:val="0"/>
        <w:pageBreakBefore w:val="0"/>
        <w:widowControl w:val="0"/>
        <w:numPr>
          <w:ilvl w:val="0"/>
          <w:numId w:val="8"/>
        </w:numPr>
        <w:kinsoku/>
        <w:wordWrap/>
        <w:overflowPunct/>
        <w:topLinePunct w:val="0"/>
        <w:autoSpaceDE/>
        <w:autoSpaceDN/>
        <w:bidi w:val="0"/>
        <w:adjustRightInd/>
        <w:snapToGrid/>
        <w:spacing w:line="360" w:lineRule="auto"/>
        <w:ind w:left="0"/>
        <w:textAlignment w:val="auto"/>
        <w:rPr>
          <w:rFonts w:hint="eastAsia" w:ascii="宋体" w:hAnsi="宋体"/>
          <w:szCs w:val="21"/>
          <w:lang w:eastAsia="zh-CN"/>
        </w:rPr>
      </w:pPr>
      <w:r>
        <w:rPr>
          <w:rFonts w:hint="eastAsia" w:ascii="宋体" w:hAnsi="宋体"/>
          <w:szCs w:val="21"/>
          <w:lang w:eastAsia="zh-CN"/>
        </w:rPr>
        <w:t>科室运作监控</w:t>
      </w:r>
    </w:p>
    <w:p w14:paraId="590A37EB">
      <w:pPr>
        <w:rPr>
          <w:rFonts w:hint="eastAsia"/>
        </w:rPr>
      </w:pPr>
      <w:r>
        <w:rPr>
          <w:rFonts w:hint="eastAsia"/>
        </w:rPr>
        <w:t>给临床科室查看本科室在对应时间段内的申请情况及供应室的回收情况。</w:t>
      </w:r>
    </w:p>
    <w:p w14:paraId="1F492238">
      <w:pPr>
        <w:pStyle w:val="23"/>
      </w:pPr>
    </w:p>
    <w:p w14:paraId="2D4FA541">
      <w:pPr>
        <w:pStyle w:val="5"/>
        <w:bidi w:val="0"/>
      </w:pPr>
      <w:bookmarkStart w:id="374" w:name="_Toc114735647"/>
      <w:bookmarkStart w:id="375" w:name="_Toc192512838"/>
      <w:bookmarkStart w:id="376" w:name="_Toc114760757"/>
      <w:bookmarkStart w:id="377" w:name="_Toc126839127"/>
      <w:bookmarkStart w:id="378" w:name="_Toc114846102"/>
      <w:bookmarkStart w:id="379" w:name="_Ref109655989"/>
      <w:bookmarkStart w:id="380" w:name="_Toc15770382"/>
      <w:bookmarkStart w:id="381" w:name="_Toc114760076"/>
      <w:bookmarkStart w:id="382" w:name="_Toc114839282"/>
      <w:r>
        <w:rPr>
          <w:rFonts w:hint="eastAsia"/>
        </w:rPr>
        <w:t>干预管理</w:t>
      </w:r>
      <w:bookmarkEnd w:id="374"/>
      <w:bookmarkEnd w:id="375"/>
      <w:bookmarkEnd w:id="376"/>
      <w:bookmarkEnd w:id="377"/>
      <w:bookmarkEnd w:id="378"/>
      <w:bookmarkEnd w:id="379"/>
      <w:bookmarkEnd w:id="380"/>
      <w:bookmarkEnd w:id="381"/>
      <w:bookmarkEnd w:id="382"/>
    </w:p>
    <w:p w14:paraId="0E2C82AA">
      <w:pPr>
        <w:bidi w:val="0"/>
      </w:pPr>
      <w:bookmarkStart w:id="383" w:name="_Toc509834079"/>
      <w:r>
        <w:rPr>
          <w:rFonts w:hint="eastAsia"/>
        </w:rPr>
        <w:t>针对意外情况产生的错误数据，系统可配置有权限的用户可干预记录信息。包括：申请单干预、器械包灭菌信息干预、清洗记录信息干预、外来器械信息干预、科室数据干预管理和批量终止申请单等。</w:t>
      </w:r>
    </w:p>
    <w:p w14:paraId="581952BA">
      <w:pPr>
        <w:pStyle w:val="6"/>
        <w:bidi w:val="0"/>
      </w:pPr>
      <w:bookmarkStart w:id="384" w:name="_Toc114760077"/>
      <w:bookmarkStart w:id="385" w:name="_Toc192512839"/>
      <w:bookmarkStart w:id="386" w:name="_Toc114839283"/>
      <w:bookmarkStart w:id="387" w:name="_Toc15770383"/>
      <w:bookmarkStart w:id="388" w:name="_Toc114846103"/>
      <w:bookmarkStart w:id="389" w:name="_Ref114480180"/>
      <w:bookmarkStart w:id="390" w:name="_Toc126839128"/>
      <w:r>
        <w:rPr>
          <w:rFonts w:hint="eastAsia"/>
        </w:rPr>
        <w:t>申请单干预管理</w:t>
      </w:r>
      <w:bookmarkEnd w:id="383"/>
      <w:bookmarkEnd w:id="384"/>
      <w:bookmarkEnd w:id="385"/>
      <w:bookmarkEnd w:id="386"/>
      <w:bookmarkEnd w:id="387"/>
      <w:bookmarkEnd w:id="388"/>
      <w:bookmarkEnd w:id="389"/>
      <w:bookmarkEnd w:id="390"/>
    </w:p>
    <w:p w14:paraId="24D67E0B">
      <w:pPr>
        <w:bidi w:val="0"/>
      </w:pPr>
      <w:r>
        <w:t>对待回收、待发货的申请单中的物品进行拆分单据或转换处理科室</w:t>
      </w:r>
    </w:p>
    <w:p w14:paraId="6A1BA38F">
      <w:pPr>
        <w:pStyle w:val="6"/>
        <w:bidi w:val="0"/>
      </w:pPr>
      <w:bookmarkStart w:id="391" w:name="_Toc126839135"/>
      <w:bookmarkStart w:id="392" w:name="_Toc15770388"/>
      <w:bookmarkStart w:id="393" w:name="_Toc114839290"/>
      <w:bookmarkStart w:id="394" w:name="_Toc114846110"/>
      <w:bookmarkStart w:id="395" w:name="_Toc114760084"/>
      <w:bookmarkStart w:id="396" w:name="_Toc192512840"/>
      <w:bookmarkStart w:id="397" w:name="_Toc509834083"/>
      <w:r>
        <w:rPr>
          <w:rFonts w:hint="eastAsia"/>
        </w:rPr>
        <w:t>发货记录干预管理</w:t>
      </w:r>
      <w:bookmarkEnd w:id="391"/>
      <w:bookmarkEnd w:id="392"/>
      <w:bookmarkEnd w:id="393"/>
      <w:bookmarkEnd w:id="394"/>
      <w:bookmarkEnd w:id="395"/>
      <w:bookmarkEnd w:id="396"/>
      <w:bookmarkEnd w:id="397"/>
    </w:p>
    <w:p w14:paraId="13AA5B37">
      <w:pPr>
        <w:bidi w:val="0"/>
        <w:rPr>
          <w:rFonts w:hint="eastAsia"/>
        </w:rPr>
      </w:pPr>
      <w:r>
        <w:rPr>
          <w:rFonts w:hint="eastAsia"/>
        </w:rPr>
        <w:t>通过条件过滤，筛选后可干预修改发货时间，不可多选。</w:t>
      </w:r>
    </w:p>
    <w:p w14:paraId="7D6E7605">
      <w:pPr>
        <w:pStyle w:val="23"/>
      </w:pPr>
    </w:p>
    <w:p w14:paraId="50EFE3A1">
      <w:pPr>
        <w:pStyle w:val="5"/>
        <w:bidi w:val="0"/>
      </w:pPr>
      <w:bookmarkStart w:id="398" w:name="_Toc126839148"/>
      <w:bookmarkStart w:id="399" w:name="_Toc192512845"/>
      <w:bookmarkStart w:id="400" w:name="_Toc335726269"/>
      <w:bookmarkStart w:id="401" w:name="_Toc330493709"/>
      <w:bookmarkStart w:id="402" w:name="_Toc329889472"/>
      <w:r>
        <w:rPr>
          <w:rFonts w:hint="eastAsia"/>
        </w:rPr>
        <w:t>基础数据管理</w:t>
      </w:r>
      <w:bookmarkEnd w:id="398"/>
      <w:bookmarkEnd w:id="399"/>
      <w:bookmarkEnd w:id="400"/>
    </w:p>
    <w:p w14:paraId="2ED30438">
      <w:pPr>
        <w:bidi w:val="0"/>
      </w:pPr>
      <w:r>
        <w:rPr>
          <w:rFonts w:hint="eastAsia"/>
        </w:rPr>
        <w:t>基础数据包括材料，器械包，灭菌炉，成本数据等内容。可以添加，修改相关的数据。</w:t>
      </w:r>
    </w:p>
    <w:p w14:paraId="0B375178">
      <w:pPr>
        <w:bidi w:val="0"/>
      </w:pPr>
      <w:r>
        <w:rPr>
          <w:rFonts w:hint="eastAsia"/>
        </w:rPr>
        <w:t>支持器械包实体、单一器械实体注册登记，并融入消毒供应业务过程中，实现跟踪记录。</w:t>
      </w:r>
    </w:p>
    <w:p w14:paraId="3D4D4817">
      <w:pPr>
        <w:bidi w:val="0"/>
      </w:pPr>
      <w:r>
        <w:rPr>
          <w:rFonts w:hint="eastAsia"/>
        </w:rPr>
        <w:t>提供器械包配置整体图片和单一器械图片。</w:t>
      </w:r>
    </w:p>
    <w:p w14:paraId="5C65BF91">
      <w:pPr>
        <w:pStyle w:val="6"/>
        <w:bidi w:val="0"/>
      </w:pPr>
      <w:bookmarkStart w:id="403" w:name="_Toc126839153"/>
      <w:bookmarkStart w:id="404" w:name="_Toc192512846"/>
      <w:r>
        <w:rPr>
          <w:rFonts w:hint="eastAsia"/>
        </w:rPr>
        <w:t>科室供应室配置</w:t>
      </w:r>
      <w:bookmarkEnd w:id="403"/>
      <w:bookmarkEnd w:id="404"/>
    </w:p>
    <w:p w14:paraId="47219F44">
      <w:pPr>
        <w:bidi w:val="0"/>
        <w:rPr>
          <w:rFonts w:hint="eastAsia"/>
        </w:rPr>
      </w:pPr>
      <w:r>
        <w:rPr>
          <w:rFonts w:hint="eastAsia"/>
        </w:rPr>
        <w:t>配置一级供应室、二级供应室、申请科室、系统基础参数等。</w:t>
      </w:r>
    </w:p>
    <w:p w14:paraId="584D0656">
      <w:pPr>
        <w:pStyle w:val="23"/>
      </w:pPr>
    </w:p>
    <w:bookmarkEnd w:id="401"/>
    <w:bookmarkEnd w:id="402"/>
    <w:p w14:paraId="61D11332">
      <w:pPr>
        <w:pStyle w:val="5"/>
        <w:bidi w:val="0"/>
      </w:pPr>
      <w:bookmarkStart w:id="405" w:name="_Toc192512847"/>
      <w:bookmarkStart w:id="406" w:name="_Toc126839154"/>
      <w:r>
        <w:rPr>
          <w:rFonts w:hint="eastAsia"/>
        </w:rPr>
        <w:t>用户权限管理</w:t>
      </w:r>
      <w:bookmarkEnd w:id="405"/>
      <w:bookmarkEnd w:id="406"/>
    </w:p>
    <w:p w14:paraId="36FB3363">
      <w:pPr>
        <w:pStyle w:val="6"/>
        <w:bidi w:val="0"/>
      </w:pPr>
      <w:bookmarkStart w:id="407" w:name="_Toc126839155"/>
      <w:bookmarkStart w:id="408" w:name="_Toc192512848"/>
      <w:r>
        <w:rPr>
          <w:rFonts w:hint="eastAsia"/>
        </w:rPr>
        <w:t>组织机构管理</w:t>
      </w:r>
      <w:bookmarkEnd w:id="407"/>
      <w:bookmarkEnd w:id="408"/>
    </w:p>
    <w:p w14:paraId="284CDBB1">
      <w:pPr>
        <w:bidi w:val="0"/>
      </w:pPr>
      <w:r>
        <w:rPr>
          <w:rFonts w:hint="eastAsia"/>
        </w:rPr>
        <w:t>组织机构为树形结构：组织机构下面可以包含子部门。用户可以自定义组织机构的层级和组织机构中包含的人员。</w:t>
      </w:r>
    </w:p>
    <w:p w14:paraId="209F93AD">
      <w:pPr>
        <w:bidi w:val="0"/>
      </w:pPr>
      <w:r>
        <w:rPr>
          <w:rFonts w:hint="eastAsia"/>
        </w:rPr>
        <w:t>组织机构具有如下功能：</w:t>
      </w:r>
    </w:p>
    <w:p w14:paraId="485B34A9">
      <w:pPr>
        <w:keepNext w:val="0"/>
        <w:keepLines w:val="0"/>
        <w:pageBreakBefore w:val="0"/>
        <w:widowControl w:val="0"/>
        <w:numPr>
          <w:ilvl w:val="0"/>
          <w:numId w:val="9"/>
        </w:numPr>
        <w:kinsoku/>
        <w:wordWrap/>
        <w:overflowPunct/>
        <w:topLinePunct w:val="0"/>
        <w:autoSpaceDE/>
        <w:autoSpaceDN/>
        <w:bidi w:val="0"/>
        <w:adjustRightInd/>
        <w:snapToGrid/>
        <w:ind w:left="0"/>
        <w:textAlignment w:val="auto"/>
      </w:pPr>
      <w:r>
        <w:rPr>
          <w:rFonts w:hint="eastAsia"/>
        </w:rPr>
        <w:t>组织机构层级控制</w:t>
      </w:r>
    </w:p>
    <w:p w14:paraId="7DB847F1">
      <w:pPr>
        <w:keepNext w:val="0"/>
        <w:keepLines w:val="0"/>
        <w:pageBreakBefore w:val="0"/>
        <w:widowControl w:val="0"/>
        <w:numPr>
          <w:ilvl w:val="0"/>
          <w:numId w:val="9"/>
        </w:numPr>
        <w:kinsoku/>
        <w:wordWrap/>
        <w:overflowPunct/>
        <w:topLinePunct w:val="0"/>
        <w:autoSpaceDE/>
        <w:autoSpaceDN/>
        <w:bidi w:val="0"/>
        <w:adjustRightInd/>
        <w:snapToGrid/>
        <w:ind w:left="0"/>
        <w:textAlignment w:val="auto"/>
      </w:pPr>
      <w:r>
        <w:rPr>
          <w:rFonts w:hint="eastAsia"/>
        </w:rPr>
        <w:t>用户自定义组织机构</w:t>
      </w:r>
    </w:p>
    <w:p w14:paraId="41802ABE">
      <w:pPr>
        <w:keepNext w:val="0"/>
        <w:keepLines w:val="0"/>
        <w:pageBreakBefore w:val="0"/>
        <w:widowControl w:val="0"/>
        <w:numPr>
          <w:ilvl w:val="0"/>
          <w:numId w:val="9"/>
        </w:numPr>
        <w:kinsoku/>
        <w:wordWrap/>
        <w:overflowPunct/>
        <w:topLinePunct w:val="0"/>
        <w:autoSpaceDE/>
        <w:autoSpaceDN/>
        <w:bidi w:val="0"/>
        <w:adjustRightInd/>
        <w:snapToGrid/>
        <w:ind w:left="0"/>
        <w:textAlignment w:val="auto"/>
      </w:pPr>
      <w:r>
        <w:rPr>
          <w:rFonts w:hint="eastAsia"/>
        </w:rPr>
        <w:t>选择该组织机构包含的人员</w:t>
      </w:r>
    </w:p>
    <w:p w14:paraId="57C8B8A3">
      <w:pPr>
        <w:pStyle w:val="6"/>
        <w:bidi w:val="0"/>
      </w:pPr>
      <w:bookmarkStart w:id="409" w:name="_Toc126839156"/>
      <w:bookmarkStart w:id="410" w:name="_Toc192512849"/>
      <w:r>
        <w:rPr>
          <w:rFonts w:hint="eastAsia"/>
        </w:rPr>
        <w:t>用户管理</w:t>
      </w:r>
      <w:bookmarkEnd w:id="409"/>
      <w:bookmarkEnd w:id="410"/>
    </w:p>
    <w:p w14:paraId="55DE220D">
      <w:pPr>
        <w:bidi w:val="0"/>
      </w:pPr>
      <w:r>
        <w:rPr>
          <w:rFonts w:hint="eastAsia"/>
        </w:rPr>
        <w:t>用户可以自由编辑用户所属的组织机构以及用户所拥有的角色。并且包含导入、导出用户信息功能。</w:t>
      </w:r>
    </w:p>
    <w:p w14:paraId="10E664E6">
      <w:pPr>
        <w:bidi w:val="0"/>
      </w:pPr>
      <w:r>
        <w:rPr>
          <w:rFonts w:hint="eastAsia"/>
        </w:rPr>
        <w:t>用户管理具有如下功能：</w:t>
      </w:r>
    </w:p>
    <w:p w14:paraId="3E3D8087">
      <w:pPr>
        <w:keepNext w:val="0"/>
        <w:keepLines w:val="0"/>
        <w:pageBreakBefore w:val="0"/>
        <w:widowControl w:val="0"/>
        <w:numPr>
          <w:ilvl w:val="0"/>
          <w:numId w:val="9"/>
        </w:numPr>
        <w:kinsoku/>
        <w:wordWrap/>
        <w:overflowPunct/>
        <w:topLinePunct w:val="0"/>
        <w:autoSpaceDE/>
        <w:autoSpaceDN/>
        <w:bidi w:val="0"/>
        <w:adjustRightInd/>
        <w:snapToGrid/>
        <w:ind w:left="0"/>
        <w:textAlignment w:val="auto"/>
      </w:pPr>
      <w:r>
        <w:rPr>
          <w:rFonts w:hint="eastAsia"/>
        </w:rPr>
        <w:t>用户自定义用户信息</w:t>
      </w:r>
    </w:p>
    <w:p w14:paraId="21460472">
      <w:pPr>
        <w:keepNext w:val="0"/>
        <w:keepLines w:val="0"/>
        <w:pageBreakBefore w:val="0"/>
        <w:widowControl w:val="0"/>
        <w:numPr>
          <w:ilvl w:val="0"/>
          <w:numId w:val="9"/>
        </w:numPr>
        <w:kinsoku/>
        <w:wordWrap/>
        <w:overflowPunct/>
        <w:topLinePunct w:val="0"/>
        <w:autoSpaceDE/>
        <w:autoSpaceDN/>
        <w:bidi w:val="0"/>
        <w:adjustRightInd/>
        <w:snapToGrid/>
        <w:ind w:left="0"/>
        <w:textAlignment w:val="auto"/>
      </w:pPr>
      <w:r>
        <w:rPr>
          <w:rFonts w:hint="eastAsia"/>
        </w:rPr>
        <w:t>选择所属组织机构</w:t>
      </w:r>
    </w:p>
    <w:p w14:paraId="4ECAF975">
      <w:pPr>
        <w:keepNext w:val="0"/>
        <w:keepLines w:val="0"/>
        <w:pageBreakBefore w:val="0"/>
        <w:widowControl w:val="0"/>
        <w:numPr>
          <w:ilvl w:val="0"/>
          <w:numId w:val="9"/>
        </w:numPr>
        <w:kinsoku/>
        <w:wordWrap/>
        <w:overflowPunct/>
        <w:topLinePunct w:val="0"/>
        <w:autoSpaceDE/>
        <w:autoSpaceDN/>
        <w:bidi w:val="0"/>
        <w:adjustRightInd/>
        <w:snapToGrid/>
        <w:ind w:left="0"/>
        <w:textAlignment w:val="auto"/>
      </w:pPr>
      <w:r>
        <w:rPr>
          <w:rFonts w:hint="eastAsia"/>
        </w:rPr>
        <w:t>选择用户角色</w:t>
      </w:r>
    </w:p>
    <w:p w14:paraId="76EC4FE4">
      <w:pPr>
        <w:pStyle w:val="6"/>
        <w:bidi w:val="0"/>
      </w:pPr>
      <w:bookmarkStart w:id="411" w:name="_Toc192512850"/>
      <w:bookmarkStart w:id="412" w:name="_Toc126839157"/>
      <w:r>
        <w:rPr>
          <w:rFonts w:hint="eastAsia"/>
        </w:rPr>
        <w:t>角色管理</w:t>
      </w:r>
      <w:bookmarkEnd w:id="411"/>
      <w:bookmarkEnd w:id="412"/>
    </w:p>
    <w:p w14:paraId="7FB89879">
      <w:pPr>
        <w:bidi w:val="0"/>
      </w:pPr>
      <w:r>
        <w:rPr>
          <w:rFonts w:hint="eastAsia"/>
        </w:rPr>
        <w:t>用户角色可以包括：供应中心护士长、打包员、消毒员、仓库管理员、物品质量监测员、发货员、送货员、回收员、病房护士长和护士、手术室护士长、医疗感染管理专员和 成本核算/稽核员。可通过系统自定义角色。用户权限管理功能的底层集成了权限管理平台，功能丰富，覆盖面广，提供了功能级和数据级的权限控制。</w:t>
      </w:r>
    </w:p>
    <w:p w14:paraId="7D30E91A">
      <w:pPr>
        <w:bidi w:val="0"/>
      </w:pPr>
      <w:r>
        <w:rPr>
          <w:rFonts w:hint="eastAsia"/>
        </w:rPr>
        <w:t>权限管理具有如下功能：</w:t>
      </w:r>
    </w:p>
    <w:p w14:paraId="7EB0059C">
      <w:pPr>
        <w:bidi w:val="0"/>
      </w:pPr>
      <w:r>
        <w:rPr>
          <w:rFonts w:hint="eastAsia"/>
        </w:rPr>
        <w:t>（1）角色管理</w:t>
      </w:r>
    </w:p>
    <w:p w14:paraId="711DB216">
      <w:pPr>
        <w:keepNext w:val="0"/>
        <w:keepLines w:val="0"/>
        <w:pageBreakBefore w:val="0"/>
        <w:widowControl w:val="0"/>
        <w:numPr>
          <w:ilvl w:val="0"/>
          <w:numId w:val="9"/>
        </w:numPr>
        <w:kinsoku/>
        <w:wordWrap/>
        <w:overflowPunct/>
        <w:topLinePunct w:val="0"/>
        <w:autoSpaceDE/>
        <w:autoSpaceDN/>
        <w:bidi w:val="0"/>
        <w:adjustRightInd/>
        <w:snapToGrid/>
        <w:ind w:left="0"/>
        <w:textAlignment w:val="auto"/>
      </w:pPr>
      <w:r>
        <w:rPr>
          <w:rFonts w:hint="eastAsia"/>
        </w:rPr>
        <w:t>角色继承</w:t>
      </w:r>
    </w:p>
    <w:p w14:paraId="0073859B">
      <w:pPr>
        <w:keepNext w:val="0"/>
        <w:keepLines w:val="0"/>
        <w:pageBreakBefore w:val="0"/>
        <w:widowControl w:val="0"/>
        <w:numPr>
          <w:ilvl w:val="0"/>
          <w:numId w:val="9"/>
        </w:numPr>
        <w:kinsoku/>
        <w:wordWrap/>
        <w:overflowPunct/>
        <w:topLinePunct w:val="0"/>
        <w:autoSpaceDE/>
        <w:autoSpaceDN/>
        <w:bidi w:val="0"/>
        <w:adjustRightInd/>
        <w:snapToGrid/>
        <w:ind w:left="0"/>
        <w:textAlignment w:val="auto"/>
      </w:pPr>
      <w:r>
        <w:rPr>
          <w:rFonts w:hint="eastAsia"/>
        </w:rPr>
        <w:t>用户自定义角色</w:t>
      </w:r>
    </w:p>
    <w:p w14:paraId="2943728E">
      <w:pPr>
        <w:keepNext w:val="0"/>
        <w:keepLines w:val="0"/>
        <w:pageBreakBefore w:val="0"/>
        <w:widowControl w:val="0"/>
        <w:numPr>
          <w:ilvl w:val="0"/>
          <w:numId w:val="9"/>
        </w:numPr>
        <w:kinsoku/>
        <w:wordWrap/>
        <w:overflowPunct/>
        <w:topLinePunct w:val="0"/>
        <w:autoSpaceDE/>
        <w:autoSpaceDN/>
        <w:bidi w:val="0"/>
        <w:adjustRightInd/>
        <w:snapToGrid/>
        <w:ind w:left="0"/>
        <w:textAlignment w:val="auto"/>
      </w:pPr>
      <w:r>
        <w:rPr>
          <w:rFonts w:hint="eastAsia"/>
        </w:rPr>
        <w:t>自定义角色拥有的权限</w:t>
      </w:r>
    </w:p>
    <w:p w14:paraId="7D980901">
      <w:pPr>
        <w:bidi w:val="0"/>
      </w:pPr>
      <w:r>
        <w:rPr>
          <w:rFonts w:hint="eastAsia"/>
        </w:rPr>
        <w:t>（2）权限控制的主要功能</w:t>
      </w:r>
    </w:p>
    <w:p w14:paraId="4283BD6F">
      <w:pPr>
        <w:keepNext w:val="0"/>
        <w:keepLines w:val="0"/>
        <w:pageBreakBefore w:val="0"/>
        <w:widowControl w:val="0"/>
        <w:numPr>
          <w:ilvl w:val="0"/>
          <w:numId w:val="9"/>
        </w:numPr>
        <w:kinsoku/>
        <w:wordWrap/>
        <w:overflowPunct/>
        <w:topLinePunct w:val="0"/>
        <w:autoSpaceDE/>
        <w:autoSpaceDN/>
        <w:bidi w:val="0"/>
        <w:adjustRightInd/>
        <w:snapToGrid/>
        <w:ind w:left="0"/>
        <w:textAlignment w:val="auto"/>
      </w:pPr>
      <w:r>
        <w:rPr>
          <w:rFonts w:hint="eastAsia"/>
        </w:rPr>
        <w:t>支持多种不同类型对象的权限控制</w:t>
      </w:r>
    </w:p>
    <w:p w14:paraId="45005A3D">
      <w:pPr>
        <w:keepNext w:val="0"/>
        <w:keepLines w:val="0"/>
        <w:pageBreakBefore w:val="0"/>
        <w:widowControl w:val="0"/>
        <w:numPr>
          <w:ilvl w:val="0"/>
          <w:numId w:val="9"/>
        </w:numPr>
        <w:kinsoku/>
        <w:wordWrap/>
        <w:overflowPunct/>
        <w:topLinePunct w:val="0"/>
        <w:autoSpaceDE/>
        <w:autoSpaceDN/>
        <w:bidi w:val="0"/>
        <w:adjustRightInd/>
        <w:snapToGrid/>
        <w:ind w:left="0"/>
        <w:textAlignment w:val="auto"/>
      </w:pPr>
      <w:r>
        <w:rPr>
          <w:rFonts w:hint="eastAsia"/>
        </w:rPr>
        <w:t>支持基于ACL的对象访问权限</w:t>
      </w:r>
    </w:p>
    <w:p w14:paraId="154143F5">
      <w:pPr>
        <w:keepNext w:val="0"/>
        <w:keepLines w:val="0"/>
        <w:pageBreakBefore w:val="0"/>
        <w:widowControl w:val="0"/>
        <w:numPr>
          <w:ilvl w:val="0"/>
          <w:numId w:val="9"/>
        </w:numPr>
        <w:kinsoku/>
        <w:wordWrap/>
        <w:overflowPunct/>
        <w:topLinePunct w:val="0"/>
        <w:autoSpaceDE/>
        <w:autoSpaceDN/>
        <w:bidi w:val="0"/>
        <w:adjustRightInd/>
        <w:snapToGrid/>
        <w:ind w:left="0"/>
        <w:textAlignment w:val="auto"/>
      </w:pPr>
      <w:r>
        <w:rPr>
          <w:rFonts w:hint="eastAsia"/>
        </w:rPr>
        <w:t>支持针对模块和菜单的权限控制</w:t>
      </w:r>
    </w:p>
    <w:p w14:paraId="19285E7F">
      <w:pPr>
        <w:keepNext w:val="0"/>
        <w:keepLines w:val="0"/>
        <w:pageBreakBefore w:val="0"/>
        <w:widowControl w:val="0"/>
        <w:numPr>
          <w:ilvl w:val="0"/>
          <w:numId w:val="9"/>
        </w:numPr>
        <w:kinsoku/>
        <w:wordWrap/>
        <w:overflowPunct/>
        <w:topLinePunct w:val="0"/>
        <w:autoSpaceDE/>
        <w:autoSpaceDN/>
        <w:bidi w:val="0"/>
        <w:adjustRightInd/>
        <w:snapToGrid/>
        <w:ind w:left="0"/>
        <w:textAlignment w:val="auto"/>
      </w:pPr>
      <w:r>
        <w:rPr>
          <w:rFonts w:hint="eastAsia"/>
        </w:rPr>
        <w:t>支持针对表单域的权限控制</w:t>
      </w:r>
    </w:p>
    <w:p w14:paraId="42EAA149">
      <w:pPr>
        <w:keepNext w:val="0"/>
        <w:keepLines w:val="0"/>
        <w:pageBreakBefore w:val="0"/>
        <w:widowControl w:val="0"/>
        <w:numPr>
          <w:ilvl w:val="0"/>
          <w:numId w:val="9"/>
        </w:numPr>
        <w:kinsoku/>
        <w:wordWrap/>
        <w:overflowPunct/>
        <w:topLinePunct w:val="0"/>
        <w:autoSpaceDE/>
        <w:autoSpaceDN/>
        <w:bidi w:val="0"/>
        <w:adjustRightInd/>
        <w:snapToGrid/>
        <w:ind w:left="0"/>
        <w:textAlignment w:val="auto"/>
      </w:pPr>
      <w:r>
        <w:rPr>
          <w:rFonts w:hint="eastAsia"/>
        </w:rPr>
        <w:t>支持针对工作流实例的权限控制</w:t>
      </w:r>
    </w:p>
    <w:p w14:paraId="1ABBD6DD">
      <w:pPr>
        <w:bidi w:val="0"/>
      </w:pPr>
      <w:r>
        <w:rPr>
          <w:rFonts w:hint="eastAsia"/>
        </w:rPr>
        <w:t>（3）权限控制的方式</w:t>
      </w:r>
    </w:p>
    <w:p w14:paraId="23A6EDA1">
      <w:pPr>
        <w:keepNext w:val="0"/>
        <w:keepLines w:val="0"/>
        <w:pageBreakBefore w:val="0"/>
        <w:widowControl w:val="0"/>
        <w:numPr>
          <w:ilvl w:val="0"/>
          <w:numId w:val="9"/>
        </w:numPr>
        <w:kinsoku/>
        <w:wordWrap/>
        <w:overflowPunct/>
        <w:topLinePunct w:val="0"/>
        <w:autoSpaceDE/>
        <w:autoSpaceDN/>
        <w:bidi w:val="0"/>
        <w:adjustRightInd/>
        <w:snapToGrid/>
        <w:ind w:left="0"/>
        <w:textAlignment w:val="auto"/>
      </w:pPr>
      <w:r>
        <w:rPr>
          <w:rFonts w:hint="eastAsia"/>
        </w:rPr>
        <w:t>支持通过用户控制权限</w:t>
      </w:r>
    </w:p>
    <w:p w14:paraId="3E673D06">
      <w:pPr>
        <w:keepNext w:val="0"/>
        <w:keepLines w:val="0"/>
        <w:pageBreakBefore w:val="0"/>
        <w:widowControl w:val="0"/>
        <w:numPr>
          <w:ilvl w:val="0"/>
          <w:numId w:val="9"/>
        </w:numPr>
        <w:kinsoku/>
        <w:wordWrap/>
        <w:overflowPunct/>
        <w:topLinePunct w:val="0"/>
        <w:autoSpaceDE/>
        <w:autoSpaceDN/>
        <w:bidi w:val="0"/>
        <w:adjustRightInd/>
        <w:snapToGrid/>
        <w:ind w:left="0"/>
        <w:textAlignment w:val="auto"/>
      </w:pPr>
      <w:r>
        <w:rPr>
          <w:rFonts w:hint="eastAsia"/>
        </w:rPr>
        <w:t>支持通过角色控制权限</w:t>
      </w:r>
    </w:p>
    <w:p w14:paraId="271B65D2">
      <w:pPr>
        <w:keepNext w:val="0"/>
        <w:keepLines w:val="0"/>
        <w:pageBreakBefore w:val="0"/>
        <w:widowControl w:val="0"/>
        <w:numPr>
          <w:ilvl w:val="0"/>
          <w:numId w:val="9"/>
        </w:numPr>
        <w:kinsoku/>
        <w:wordWrap/>
        <w:overflowPunct/>
        <w:topLinePunct w:val="0"/>
        <w:autoSpaceDE/>
        <w:autoSpaceDN/>
        <w:bidi w:val="0"/>
        <w:adjustRightInd/>
        <w:snapToGrid/>
        <w:ind w:left="0"/>
        <w:textAlignment w:val="auto"/>
      </w:pPr>
      <w:r>
        <w:rPr>
          <w:rFonts w:hint="eastAsia"/>
        </w:rPr>
        <w:t>支持通过组织单位控制权限</w:t>
      </w:r>
    </w:p>
    <w:p w14:paraId="72961E7B">
      <w:pPr>
        <w:keepNext w:val="0"/>
        <w:keepLines w:val="0"/>
        <w:pageBreakBefore w:val="0"/>
        <w:widowControl w:val="0"/>
        <w:numPr>
          <w:ilvl w:val="0"/>
          <w:numId w:val="9"/>
        </w:numPr>
        <w:kinsoku/>
        <w:wordWrap/>
        <w:overflowPunct/>
        <w:topLinePunct w:val="0"/>
        <w:autoSpaceDE/>
        <w:autoSpaceDN/>
        <w:bidi w:val="0"/>
        <w:adjustRightInd/>
        <w:snapToGrid/>
        <w:ind w:left="0"/>
        <w:textAlignment w:val="auto"/>
      </w:pPr>
      <w:r>
        <w:rPr>
          <w:rFonts w:hint="eastAsia"/>
        </w:rPr>
        <w:t>支持用户、角色、组织单位混合控制</w:t>
      </w:r>
    </w:p>
    <w:p w14:paraId="0C417738">
      <w:pPr>
        <w:pStyle w:val="23"/>
      </w:pPr>
    </w:p>
    <w:p w14:paraId="0C7D8360">
      <w:pPr>
        <w:pStyle w:val="5"/>
        <w:bidi w:val="0"/>
      </w:pPr>
      <w:bookmarkStart w:id="413" w:name="_Toc192512851"/>
      <w:bookmarkStart w:id="414" w:name="_Toc126839163"/>
      <w:r>
        <w:rPr>
          <w:rFonts w:hint="eastAsia"/>
        </w:rPr>
        <w:t>系统告警管理</w:t>
      </w:r>
      <w:bookmarkEnd w:id="413"/>
      <w:bookmarkEnd w:id="414"/>
    </w:p>
    <w:p w14:paraId="46FD7636">
      <w:pPr>
        <w:bidi w:val="0"/>
        <w:rPr>
          <w:lang w:val="en-US" w:eastAsia="zh-CN"/>
        </w:rPr>
      </w:pPr>
      <w:bookmarkStart w:id="415" w:name="_Toc192512852"/>
      <w:bookmarkStart w:id="416" w:name="_Toc509834073"/>
      <w:bookmarkStart w:id="417" w:name="_Toc126839165"/>
      <w:bookmarkStart w:id="418" w:name="_Toc527818449"/>
      <w:r>
        <w:rPr>
          <w:rFonts w:hint="eastAsia"/>
          <w:lang w:val="en-US" w:eastAsia="zh-CN"/>
        </w:rPr>
        <w:t>主要包括的是器械包告警功能</w:t>
      </w:r>
      <w:bookmarkEnd w:id="415"/>
      <w:bookmarkEnd w:id="416"/>
      <w:bookmarkEnd w:id="417"/>
      <w:bookmarkEnd w:id="418"/>
      <w:r>
        <w:rPr>
          <w:rFonts w:hint="eastAsia"/>
          <w:lang w:val="en-US" w:eastAsia="zh-CN"/>
        </w:rPr>
        <w:t>。</w:t>
      </w:r>
    </w:p>
    <w:p w14:paraId="6158F5B9">
      <w:pPr>
        <w:bidi w:val="0"/>
      </w:pPr>
      <w:r>
        <w:t>在后台监控打开系统告警，选择器械包告警。根据告警的类型"已过期的器械包物品"或"即将过期的器械包物品"、“开始时间”和“结束时间”和“器械包类型”筛选处于告警的器械包。</w:t>
      </w:r>
    </w:p>
    <w:p w14:paraId="650C7107">
      <w:pPr>
        <w:bidi w:val="0"/>
      </w:pPr>
      <w:r>
        <w:t>对于处于告警期的器械包可以选择的处理方法：部分废弃，全部废弃，或者批量回收生成器械包。</w:t>
      </w:r>
    </w:p>
    <w:p w14:paraId="7D2D3F47">
      <w:pPr>
        <w:bidi w:val="0"/>
      </w:pPr>
      <w:r>
        <w:t>也可以勾选打印选择的包或导出选择的器械包（不勾选的导出，默认全部导出）</w:t>
      </w:r>
    </w:p>
    <w:p w14:paraId="202DBEF7">
      <w:pPr>
        <w:pStyle w:val="23"/>
      </w:pPr>
    </w:p>
    <w:p w14:paraId="5B7D6C61">
      <w:pPr>
        <w:pStyle w:val="5"/>
        <w:bidi w:val="0"/>
      </w:pPr>
      <w:bookmarkStart w:id="419" w:name="_Toc168424492"/>
      <w:bookmarkStart w:id="420" w:name="_Toc192512861"/>
      <w:r>
        <w:rPr>
          <w:rFonts w:hint="eastAsia"/>
        </w:rPr>
        <w:t>加急管理</w:t>
      </w:r>
      <w:bookmarkEnd w:id="419"/>
      <w:bookmarkEnd w:id="420"/>
    </w:p>
    <w:p w14:paraId="133FDF08">
      <w:pPr>
        <w:pStyle w:val="6"/>
        <w:bidi w:val="0"/>
      </w:pPr>
      <w:bookmarkStart w:id="421" w:name="_Toc192512862"/>
      <w:bookmarkStart w:id="422" w:name="_Toc168424493"/>
      <w:r>
        <w:rPr>
          <w:rFonts w:hint="eastAsia"/>
        </w:rPr>
        <w:t>申请加急功能</w:t>
      </w:r>
      <w:bookmarkEnd w:id="421"/>
      <w:bookmarkEnd w:id="422"/>
    </w:p>
    <w:p w14:paraId="1DEB2DC5">
      <w:pPr>
        <w:bidi w:val="0"/>
      </w:pPr>
      <w:r>
        <w:rPr>
          <w:rFonts w:hint="eastAsia"/>
        </w:rPr>
        <w:t>系统支持需要紧急使用的器械，申请时可进行加急，并可选择加急级别。加急级别可以自定义。支持对申领的物品进行部分加急。</w:t>
      </w:r>
    </w:p>
    <w:p w14:paraId="6C26934A">
      <w:pPr>
        <w:pStyle w:val="6"/>
        <w:bidi w:val="0"/>
      </w:pPr>
      <w:bookmarkStart w:id="423" w:name="_Toc192512863"/>
      <w:bookmarkStart w:id="424" w:name="_Toc168424498"/>
      <w:r>
        <w:rPr>
          <w:rFonts w:hint="eastAsia"/>
        </w:rPr>
        <w:t>使用记录中对器械进行加急</w:t>
      </w:r>
      <w:bookmarkEnd w:id="423"/>
      <w:bookmarkEnd w:id="424"/>
    </w:p>
    <w:p w14:paraId="0CCDDCE4">
      <w:pPr>
        <w:bidi w:val="0"/>
        <w:rPr>
          <w:rFonts w:hint="eastAsia"/>
        </w:rPr>
      </w:pPr>
      <w:r>
        <w:rPr>
          <w:rFonts w:hint="eastAsia"/>
        </w:rPr>
        <w:t>系统支持在登记使用记录时，针对急用器械进行加急登记。根据系统自定义的加急等级，可选择对应的加急等级。使用记录的加急都是根据扫描的器械包条码进行单个包加急。在手术未完成时，可以将加急器械包拆分一张回收单，提前发送到消毒供应中心，方便快速处理。</w:t>
      </w:r>
    </w:p>
    <w:p w14:paraId="2830A8F4">
      <w:pPr>
        <w:pStyle w:val="23"/>
      </w:pPr>
    </w:p>
    <w:p w14:paraId="2806DCB5">
      <w:pPr>
        <w:pStyle w:val="5"/>
        <w:bidi w:val="0"/>
      </w:pPr>
      <w:bookmarkStart w:id="425" w:name="_Toc192512864"/>
      <w:bookmarkStart w:id="426" w:name="_Toc126839167"/>
      <w:r>
        <w:rPr>
          <w:rFonts w:hint="eastAsia"/>
        </w:rPr>
        <w:t>移动终端（PDA）功能模块</w:t>
      </w:r>
      <w:bookmarkEnd w:id="425"/>
      <w:bookmarkEnd w:id="426"/>
    </w:p>
    <w:p w14:paraId="09E12676">
      <w:pPr>
        <w:pStyle w:val="6"/>
        <w:numPr>
          <w:ilvl w:val="0"/>
          <w:numId w:val="10"/>
        </w:numPr>
        <w:bidi w:val="0"/>
        <w:ind w:leftChars="0"/>
        <w:rPr>
          <w:rFonts w:hint="eastAsia"/>
        </w:rPr>
      </w:pPr>
      <w:r>
        <w:rPr>
          <w:rFonts w:hint="eastAsia"/>
        </w:rPr>
        <w:t>PDA支持中文真人语音提示，对用户的操作进行语音提示。</w:t>
      </w:r>
    </w:p>
    <w:p w14:paraId="195EEFA8">
      <w:pPr>
        <w:bidi w:val="0"/>
        <w:rPr>
          <w:rFonts w:hint="eastAsia"/>
        </w:rPr>
      </w:pPr>
      <w:r>
        <w:rPr>
          <w:rFonts w:hint="eastAsia"/>
        </w:rPr>
        <w:t>PDA对如下情况进行语音提示：</w:t>
      </w:r>
    </w:p>
    <w:p w14:paraId="507B33B2">
      <w:pPr>
        <w:keepNext w:val="0"/>
        <w:keepLines w:val="0"/>
        <w:pageBreakBefore w:val="0"/>
        <w:widowControl w:val="0"/>
        <w:numPr>
          <w:ilvl w:val="0"/>
          <w:numId w:val="11"/>
        </w:numPr>
        <w:kinsoku/>
        <w:wordWrap/>
        <w:overflowPunct/>
        <w:topLinePunct w:val="0"/>
        <w:autoSpaceDE/>
        <w:autoSpaceDN/>
        <w:bidi w:val="0"/>
        <w:adjustRightInd/>
        <w:snapToGrid/>
        <w:ind w:left="0"/>
        <w:textAlignment w:val="auto"/>
      </w:pPr>
      <w:r>
        <w:rPr>
          <w:rFonts w:hint="eastAsia"/>
        </w:rPr>
        <w:t>用户登录</w:t>
      </w:r>
    </w:p>
    <w:p w14:paraId="03DFE606">
      <w:pPr>
        <w:keepNext w:val="0"/>
        <w:keepLines w:val="0"/>
        <w:pageBreakBefore w:val="0"/>
        <w:widowControl w:val="0"/>
        <w:numPr>
          <w:ilvl w:val="0"/>
          <w:numId w:val="11"/>
        </w:numPr>
        <w:kinsoku/>
        <w:wordWrap/>
        <w:overflowPunct/>
        <w:topLinePunct w:val="0"/>
        <w:autoSpaceDE/>
        <w:autoSpaceDN/>
        <w:bidi w:val="0"/>
        <w:adjustRightInd/>
        <w:snapToGrid/>
        <w:ind w:left="0"/>
        <w:textAlignment w:val="auto"/>
      </w:pPr>
      <w:r>
        <w:rPr>
          <w:rFonts w:hint="eastAsia"/>
        </w:rPr>
        <w:t>扫描清洗机、灭菌器时语音确认</w:t>
      </w:r>
    </w:p>
    <w:p w14:paraId="323E1AB8">
      <w:pPr>
        <w:keepNext w:val="0"/>
        <w:keepLines w:val="0"/>
        <w:pageBreakBefore w:val="0"/>
        <w:widowControl w:val="0"/>
        <w:numPr>
          <w:ilvl w:val="0"/>
          <w:numId w:val="11"/>
        </w:numPr>
        <w:kinsoku/>
        <w:wordWrap/>
        <w:overflowPunct/>
        <w:topLinePunct w:val="0"/>
        <w:autoSpaceDE/>
        <w:autoSpaceDN/>
        <w:bidi w:val="0"/>
        <w:adjustRightInd/>
        <w:snapToGrid/>
        <w:ind w:left="0"/>
        <w:textAlignment w:val="auto"/>
      </w:pPr>
      <w:r>
        <w:rPr>
          <w:rFonts w:hint="eastAsia"/>
        </w:rPr>
        <w:t>扫描篮筐、器械包时的语音提示</w:t>
      </w:r>
    </w:p>
    <w:p w14:paraId="75BB78CB">
      <w:pPr>
        <w:keepNext w:val="0"/>
        <w:keepLines w:val="0"/>
        <w:pageBreakBefore w:val="0"/>
        <w:widowControl w:val="0"/>
        <w:numPr>
          <w:ilvl w:val="0"/>
          <w:numId w:val="11"/>
        </w:numPr>
        <w:kinsoku/>
        <w:wordWrap/>
        <w:overflowPunct/>
        <w:topLinePunct w:val="0"/>
        <w:autoSpaceDE/>
        <w:autoSpaceDN/>
        <w:bidi w:val="0"/>
        <w:adjustRightInd/>
        <w:snapToGrid/>
        <w:ind w:left="0"/>
        <w:textAlignment w:val="auto"/>
      </w:pPr>
      <w:r>
        <w:rPr>
          <w:rFonts w:hint="eastAsia"/>
        </w:rPr>
        <w:t>误操作时的提醒</w:t>
      </w:r>
    </w:p>
    <w:p w14:paraId="3072F1A9">
      <w:pPr>
        <w:keepNext w:val="0"/>
        <w:keepLines w:val="0"/>
        <w:pageBreakBefore w:val="0"/>
        <w:widowControl w:val="0"/>
        <w:numPr>
          <w:ilvl w:val="0"/>
          <w:numId w:val="11"/>
        </w:numPr>
        <w:kinsoku/>
        <w:wordWrap/>
        <w:overflowPunct/>
        <w:topLinePunct w:val="0"/>
        <w:autoSpaceDE/>
        <w:autoSpaceDN/>
        <w:bidi w:val="0"/>
        <w:adjustRightInd/>
        <w:snapToGrid/>
        <w:ind w:left="0"/>
        <w:textAlignment w:val="auto"/>
      </w:pPr>
      <w:r>
        <w:rPr>
          <w:rFonts w:hint="eastAsia"/>
        </w:rPr>
        <w:t>发货时错误时的语音提示</w:t>
      </w:r>
    </w:p>
    <w:p w14:paraId="703E503F">
      <w:pPr>
        <w:pStyle w:val="6"/>
        <w:numPr>
          <w:ilvl w:val="4"/>
          <w:numId w:val="0"/>
        </w:numPr>
        <w:bidi w:val="0"/>
        <w:ind w:leftChars="0"/>
      </w:pPr>
      <w:bookmarkStart w:id="427" w:name="_Toc192512867"/>
      <w:bookmarkStart w:id="428" w:name="_Toc126839172"/>
      <w:r>
        <w:rPr>
          <w:rFonts w:hint="eastAsia"/>
          <w:lang w:eastAsia="zh-CN"/>
        </w:rPr>
        <w:t>（</w:t>
      </w:r>
      <w:r>
        <w:rPr>
          <w:rFonts w:hint="eastAsia"/>
          <w:lang w:val="en-US" w:eastAsia="zh-CN"/>
        </w:rPr>
        <w:t>2</w:t>
      </w:r>
      <w:r>
        <w:rPr>
          <w:rFonts w:hint="eastAsia"/>
          <w:lang w:eastAsia="zh-CN"/>
        </w:rPr>
        <w:t>）</w:t>
      </w:r>
      <w:r>
        <w:rPr>
          <w:rFonts w:hint="eastAsia"/>
        </w:rPr>
        <w:t>使用记录功能</w:t>
      </w:r>
      <w:bookmarkEnd w:id="427"/>
      <w:bookmarkEnd w:id="428"/>
    </w:p>
    <w:p w14:paraId="56006E08">
      <w:pPr>
        <w:bidi w:val="0"/>
        <w:rPr>
          <w:rFonts w:hint="eastAsia"/>
        </w:rPr>
      </w:pPr>
      <w:r>
        <w:rPr>
          <w:rFonts w:hint="eastAsia"/>
        </w:rPr>
        <w:t>手术室等重点手术部门给病人做手术时，通过输入手术病人手术单号或手术病人住院号（手术病人唯一识别号）和手术器械包条码关联，手术后手术器械清点审核，提供手术病人使用器械包一览表。并支持将使用记录转化成回收申请单。</w:t>
      </w:r>
    </w:p>
    <w:p w14:paraId="7732F21E">
      <w:pPr>
        <w:pStyle w:val="23"/>
      </w:pPr>
    </w:p>
    <w:bookmarkEnd w:id="367"/>
    <w:bookmarkEnd w:id="368"/>
    <w:bookmarkEnd w:id="369"/>
    <w:bookmarkEnd w:id="370"/>
    <w:bookmarkEnd w:id="371"/>
    <w:bookmarkEnd w:id="372"/>
    <w:bookmarkEnd w:id="373"/>
    <w:p w14:paraId="184E0B16">
      <w:pPr>
        <w:pStyle w:val="4"/>
        <w:bidi w:val="0"/>
        <w:outlineLvl w:val="2"/>
      </w:pPr>
      <w:bookmarkStart w:id="429" w:name="_Toc456"/>
      <w:r>
        <w:rPr>
          <w:rFonts w:hint="eastAsia"/>
        </w:rPr>
        <w:t>信息系统接口管理</w:t>
      </w:r>
      <w:bookmarkEnd w:id="429"/>
    </w:p>
    <w:p w14:paraId="2AB93715">
      <w:pPr>
        <w:pStyle w:val="5"/>
        <w:bidi w:val="0"/>
      </w:pPr>
      <w:bookmarkStart w:id="430" w:name="_Toc192512874"/>
      <w:r>
        <w:rPr>
          <w:rFonts w:hint="eastAsia"/>
        </w:rPr>
        <w:t>患者信息接口</w:t>
      </w:r>
      <w:bookmarkEnd w:id="430"/>
    </w:p>
    <w:p w14:paraId="78759AEA">
      <w:pPr>
        <w:bidi w:val="0"/>
      </w:pPr>
      <w:r>
        <w:rPr>
          <w:rFonts w:hint="eastAsia"/>
        </w:rPr>
        <w:t>与医院</w:t>
      </w:r>
      <w:r>
        <w:t>HIS</w:t>
      </w:r>
      <w:r>
        <w:rPr>
          <w:rFonts w:hint="eastAsia"/>
        </w:rPr>
        <w:t>系统或者集成平台对接，获取或者接收患者信息，包括门诊和住院患者信息。根据患者的门诊号或者住院号，或者手术患者腕带的二维码，获取或接收患者的门诊或者手术信息。支持数据库视图、</w:t>
      </w:r>
      <w:r>
        <w:t>Web Services</w:t>
      </w:r>
      <w:r>
        <w:rPr>
          <w:rFonts w:hint="eastAsia"/>
        </w:rPr>
        <w:t>、</w:t>
      </w:r>
      <w:r>
        <w:t>MQ</w:t>
      </w:r>
      <w:r>
        <w:rPr>
          <w:rFonts w:hint="eastAsia"/>
        </w:rPr>
        <w:t>等多种对接方式。</w:t>
      </w:r>
    </w:p>
    <w:p w14:paraId="287F4943">
      <w:pPr>
        <w:ind w:firstLine="480" w:firstLineChars="200"/>
      </w:pPr>
      <w:r>
        <w:rPr>
          <w:rFonts w:hint="eastAsia"/>
        </w:rPr>
        <w:t>支持同时接入多家医院患者信息接口。根据当前用户所在医院，系统自动判断调用的患者信息接口。</w:t>
      </w:r>
    </w:p>
    <w:p w14:paraId="3B328A53">
      <w:pPr>
        <w:pStyle w:val="5"/>
        <w:bidi w:val="0"/>
      </w:pPr>
      <w:bookmarkStart w:id="431" w:name="_Toc192512875"/>
      <w:r>
        <w:rPr>
          <w:rFonts w:hint="eastAsia"/>
        </w:rPr>
        <w:t>组织机构接口</w:t>
      </w:r>
      <w:bookmarkEnd w:id="431"/>
    </w:p>
    <w:p w14:paraId="20E6189B">
      <w:pPr>
        <w:bidi w:val="0"/>
      </w:pPr>
      <w:r>
        <w:rPr>
          <w:rFonts w:hint="eastAsia"/>
        </w:rPr>
        <w:t>与医院HIS系统或者集成平台对接，获取或者接收医院的科室和人员信息，包括信息的新增和更新。支持数据库视图、Web Services、MQ等多种对接方式</w:t>
      </w:r>
    </w:p>
    <w:p w14:paraId="54D84B12">
      <w:pPr>
        <w:pStyle w:val="5"/>
        <w:bidi w:val="0"/>
      </w:pPr>
      <w:bookmarkStart w:id="432" w:name="_Toc192512876"/>
      <w:r>
        <w:rPr>
          <w:rFonts w:hint="eastAsia"/>
        </w:rPr>
        <w:t>使用记录接口</w:t>
      </w:r>
      <w:bookmarkEnd w:id="432"/>
    </w:p>
    <w:p w14:paraId="6412EE80">
      <w:pPr>
        <w:bidi w:val="0"/>
      </w:pPr>
      <w:r>
        <w:rPr>
          <w:rFonts w:hint="eastAsia"/>
        </w:rPr>
        <w:t>提供给手麻系统，可在手麻系统录入使用记录后，通过Web Services协议回传给消毒供应系统。支持根据器械包的包外标签条码，获取包名称、状态、灭菌日期、失效日期、器械明细清单等器械包的基本信息</w:t>
      </w:r>
    </w:p>
    <w:p w14:paraId="78402A41">
      <w:pPr>
        <w:ind w:firstLine="480" w:firstLineChars="200"/>
        <w:rPr>
          <w:rFonts w:hint="eastAsia"/>
        </w:rPr>
      </w:pPr>
      <w:r>
        <w:rPr>
          <w:rFonts w:hint="eastAsia"/>
        </w:rPr>
        <w:t>支持同时接入多家医院使用记录接口。</w:t>
      </w:r>
    </w:p>
    <w:p w14:paraId="009D87A6">
      <w:pPr>
        <w:pStyle w:val="4"/>
        <w:bidi w:val="0"/>
        <w:rPr>
          <w:rFonts w:hint="eastAsia"/>
        </w:rPr>
      </w:pPr>
      <w:bookmarkStart w:id="433" w:name="_Toc13383"/>
      <w:r>
        <w:rPr>
          <w:rFonts w:hint="eastAsia"/>
          <w:lang w:val="en-US" w:eastAsia="zh-CN"/>
        </w:rPr>
        <w:t>硬件配置</w:t>
      </w:r>
      <w:bookmarkEnd w:id="433"/>
    </w:p>
    <w:p w14:paraId="5DDD3060">
      <w:pPr>
        <w:ind w:left="0" w:leftChars="0" w:firstLine="0" w:firstLineChars="0"/>
        <w:rPr>
          <w:rFonts w:hint="eastAsia"/>
          <w:lang w:val="en-US" w:eastAsia="zh-CN"/>
        </w:rPr>
      </w:pPr>
      <w:r>
        <w:rPr>
          <w:rFonts w:hint="eastAsia"/>
          <w:lang w:val="en-US" w:eastAsia="zh-CN"/>
        </w:rPr>
        <w:t xml:space="preserve">    </w:t>
      </w:r>
    </w:p>
    <w:tbl>
      <w:tblPr>
        <w:tblStyle w:val="24"/>
        <w:tblW w:w="4996"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1640"/>
        <w:gridCol w:w="1398"/>
        <w:gridCol w:w="4449"/>
        <w:gridCol w:w="513"/>
        <w:gridCol w:w="515"/>
      </w:tblGrid>
      <w:tr w14:paraId="3248F5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00" w:hRule="atLeast"/>
        </w:trPr>
        <w:tc>
          <w:tcPr>
            <w:tcW w:w="962" w:type="pct"/>
            <w:shd w:val="clear" w:color="auto" w:fill="auto"/>
            <w:vAlign w:val="center"/>
          </w:tcPr>
          <w:p w14:paraId="05CF36C8">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序号</w:t>
            </w:r>
          </w:p>
        </w:tc>
        <w:tc>
          <w:tcPr>
            <w:tcW w:w="821" w:type="pct"/>
            <w:shd w:val="clear" w:color="auto" w:fill="auto"/>
            <w:vAlign w:val="center"/>
          </w:tcPr>
          <w:p w14:paraId="0D586A75">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设备名称</w:t>
            </w:r>
          </w:p>
        </w:tc>
        <w:tc>
          <w:tcPr>
            <w:tcW w:w="2612" w:type="pct"/>
            <w:shd w:val="clear" w:color="auto" w:fill="auto"/>
            <w:vAlign w:val="center"/>
          </w:tcPr>
          <w:p w14:paraId="3A0B87A2">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设备参数</w:t>
            </w:r>
          </w:p>
        </w:tc>
        <w:tc>
          <w:tcPr>
            <w:tcW w:w="301" w:type="pct"/>
            <w:shd w:val="clear" w:color="auto" w:fill="auto"/>
            <w:vAlign w:val="center"/>
          </w:tcPr>
          <w:p w14:paraId="7258FD5C">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数量</w:t>
            </w:r>
          </w:p>
        </w:tc>
        <w:tc>
          <w:tcPr>
            <w:tcW w:w="302" w:type="pct"/>
            <w:shd w:val="clear" w:color="auto" w:fill="auto"/>
            <w:vAlign w:val="center"/>
          </w:tcPr>
          <w:p w14:paraId="233F9C34">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单位</w:t>
            </w:r>
          </w:p>
        </w:tc>
      </w:tr>
      <w:tr w14:paraId="18170C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00" w:hRule="atLeast"/>
        </w:trPr>
        <w:tc>
          <w:tcPr>
            <w:tcW w:w="962" w:type="pct"/>
            <w:shd w:val="clear" w:color="auto" w:fill="auto"/>
            <w:noWrap/>
            <w:vAlign w:val="center"/>
          </w:tcPr>
          <w:p w14:paraId="2A626B0E">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一、污物回收区</w:t>
            </w:r>
          </w:p>
        </w:tc>
        <w:tc>
          <w:tcPr>
            <w:tcW w:w="821" w:type="pct"/>
            <w:shd w:val="clear" w:color="auto" w:fill="auto"/>
            <w:noWrap/>
            <w:vAlign w:val="center"/>
          </w:tcPr>
          <w:p w14:paraId="2757BD47">
            <w:pPr>
              <w:keepNext w:val="0"/>
              <w:keepLines w:val="0"/>
              <w:pageBreakBefore w:val="0"/>
              <w:widowControl/>
              <w:kinsoku/>
              <w:wordWrap/>
              <w:overflowPunct/>
              <w:topLinePunct w:val="0"/>
              <w:autoSpaceDE/>
              <w:autoSpaceDN/>
              <w:bidi w:val="0"/>
              <w:adjustRightInd/>
              <w:snapToGrid/>
              <w:spacing w:line="360" w:lineRule="auto"/>
              <w:ind w:firstLine="0" w:firstLineChars="0"/>
              <w:rPr>
                <w:rFonts w:hint="eastAsia" w:ascii="宋体" w:hAnsi="宋体" w:eastAsia="宋体" w:cs="宋体"/>
                <w:i w:val="0"/>
                <w:iCs w:val="0"/>
                <w:color w:val="000000"/>
                <w:sz w:val="22"/>
                <w:szCs w:val="22"/>
                <w:u w:val="none"/>
              </w:rPr>
            </w:pPr>
          </w:p>
        </w:tc>
        <w:tc>
          <w:tcPr>
            <w:tcW w:w="2612" w:type="pct"/>
            <w:shd w:val="clear" w:color="auto" w:fill="auto"/>
            <w:noWrap/>
            <w:vAlign w:val="center"/>
          </w:tcPr>
          <w:p w14:paraId="1C8DF737">
            <w:pPr>
              <w:keepNext w:val="0"/>
              <w:keepLines w:val="0"/>
              <w:pageBreakBefore w:val="0"/>
              <w:widowControl/>
              <w:kinsoku/>
              <w:wordWrap/>
              <w:overflowPunct/>
              <w:topLinePunct w:val="0"/>
              <w:autoSpaceDE/>
              <w:autoSpaceDN/>
              <w:bidi w:val="0"/>
              <w:adjustRightInd/>
              <w:snapToGrid/>
              <w:spacing w:line="360" w:lineRule="auto"/>
              <w:ind w:firstLine="0" w:firstLineChars="0"/>
              <w:rPr>
                <w:rFonts w:hint="eastAsia" w:ascii="宋体" w:hAnsi="宋体" w:eastAsia="宋体" w:cs="宋体"/>
                <w:i w:val="0"/>
                <w:iCs w:val="0"/>
                <w:color w:val="000000"/>
                <w:sz w:val="22"/>
                <w:szCs w:val="22"/>
                <w:u w:val="none"/>
              </w:rPr>
            </w:pPr>
          </w:p>
        </w:tc>
        <w:tc>
          <w:tcPr>
            <w:tcW w:w="301" w:type="pct"/>
            <w:shd w:val="clear" w:color="auto" w:fill="auto"/>
            <w:noWrap/>
            <w:vAlign w:val="center"/>
          </w:tcPr>
          <w:p w14:paraId="4C7300B1">
            <w:pPr>
              <w:keepNext w:val="0"/>
              <w:keepLines w:val="0"/>
              <w:pageBreakBefore w:val="0"/>
              <w:widowControl/>
              <w:kinsoku/>
              <w:wordWrap/>
              <w:overflowPunct/>
              <w:topLinePunct w:val="0"/>
              <w:autoSpaceDE/>
              <w:autoSpaceDN/>
              <w:bidi w:val="0"/>
              <w:adjustRightInd/>
              <w:snapToGrid/>
              <w:spacing w:line="360" w:lineRule="auto"/>
              <w:ind w:firstLine="0" w:firstLineChars="0"/>
              <w:rPr>
                <w:rFonts w:hint="eastAsia" w:ascii="宋体" w:hAnsi="宋体" w:eastAsia="宋体" w:cs="宋体"/>
                <w:i w:val="0"/>
                <w:iCs w:val="0"/>
                <w:color w:val="000000"/>
                <w:sz w:val="22"/>
                <w:szCs w:val="22"/>
                <w:u w:val="none"/>
              </w:rPr>
            </w:pPr>
          </w:p>
        </w:tc>
        <w:tc>
          <w:tcPr>
            <w:tcW w:w="302" w:type="pct"/>
            <w:shd w:val="clear" w:color="auto" w:fill="auto"/>
            <w:noWrap/>
            <w:vAlign w:val="center"/>
          </w:tcPr>
          <w:p w14:paraId="142D2291">
            <w:pPr>
              <w:keepNext w:val="0"/>
              <w:keepLines w:val="0"/>
              <w:pageBreakBefore w:val="0"/>
              <w:widowControl/>
              <w:kinsoku/>
              <w:wordWrap/>
              <w:overflowPunct/>
              <w:topLinePunct w:val="0"/>
              <w:autoSpaceDE/>
              <w:autoSpaceDN/>
              <w:bidi w:val="0"/>
              <w:adjustRightInd/>
              <w:snapToGrid/>
              <w:spacing w:line="360" w:lineRule="auto"/>
              <w:ind w:firstLine="0" w:firstLineChars="0"/>
              <w:rPr>
                <w:rFonts w:hint="eastAsia" w:ascii="宋体" w:hAnsi="宋体" w:eastAsia="宋体" w:cs="宋体"/>
                <w:i w:val="0"/>
                <w:iCs w:val="0"/>
                <w:color w:val="000000"/>
                <w:sz w:val="22"/>
                <w:szCs w:val="22"/>
                <w:u w:val="none"/>
              </w:rPr>
            </w:pPr>
          </w:p>
        </w:tc>
      </w:tr>
      <w:tr w14:paraId="2E7D5A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00" w:hRule="atLeast"/>
        </w:trPr>
        <w:tc>
          <w:tcPr>
            <w:tcW w:w="962" w:type="pct"/>
            <w:shd w:val="clear" w:color="auto" w:fill="auto"/>
            <w:vAlign w:val="center"/>
          </w:tcPr>
          <w:p w14:paraId="78A1B8C8">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821" w:type="pct"/>
            <w:shd w:val="clear" w:color="auto" w:fill="auto"/>
            <w:vAlign w:val="center"/>
          </w:tcPr>
          <w:p w14:paraId="7BCC8539">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触摸屏一体机</w:t>
            </w:r>
          </w:p>
        </w:tc>
        <w:tc>
          <w:tcPr>
            <w:tcW w:w="2612" w:type="pct"/>
            <w:shd w:val="clear" w:color="auto" w:fill="auto"/>
            <w:vAlign w:val="center"/>
          </w:tcPr>
          <w:p w14:paraId="1C595C03">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处理器: 核心数≧4; 频率 ≧2g</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操作系统: 麒麟或统信等国产操作系统</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 xml:space="preserve">屏幕: 触摸≧21寸 </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内存: ≧8G</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硬盘: ≧256GB</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网卡: 无线网卡</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质保: 三年</w:t>
            </w:r>
          </w:p>
        </w:tc>
        <w:tc>
          <w:tcPr>
            <w:tcW w:w="301" w:type="pct"/>
            <w:shd w:val="clear" w:color="auto" w:fill="auto"/>
            <w:vAlign w:val="center"/>
          </w:tcPr>
          <w:p w14:paraId="3991A1EF">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302" w:type="pct"/>
            <w:shd w:val="clear" w:color="auto" w:fill="auto"/>
            <w:vAlign w:val="center"/>
          </w:tcPr>
          <w:p w14:paraId="207C5B4E">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台</w:t>
            </w:r>
          </w:p>
        </w:tc>
      </w:tr>
      <w:tr w14:paraId="6CD51D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962" w:type="pct"/>
            <w:shd w:val="clear" w:color="auto" w:fill="auto"/>
            <w:vAlign w:val="center"/>
          </w:tcPr>
          <w:p w14:paraId="33CB8E5B">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821" w:type="pct"/>
            <w:shd w:val="clear" w:color="auto" w:fill="auto"/>
            <w:vAlign w:val="center"/>
          </w:tcPr>
          <w:p w14:paraId="5C957DC4">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条码扫描枪</w:t>
            </w:r>
          </w:p>
        </w:tc>
        <w:tc>
          <w:tcPr>
            <w:tcW w:w="2612" w:type="pct"/>
            <w:shd w:val="clear" w:color="auto" w:fill="auto"/>
            <w:vAlign w:val="center"/>
          </w:tcPr>
          <w:p w14:paraId="3B2CDC6E">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扫描方式：无线，支持二维码扫描；运动容差：≤20英寸/秒，扫描速率：≥270次/秒，可识别印刷对比度：≥20%，仰角：65度，倾角：65度，防护等级：≥IP41，解码能力：识读标准的一维和GS1DataBarTM字符，支持RS232、USB、HIB键盘接口，电池≥1800mAh。1年保修</w:t>
            </w:r>
          </w:p>
        </w:tc>
        <w:tc>
          <w:tcPr>
            <w:tcW w:w="301" w:type="pct"/>
            <w:shd w:val="clear" w:color="auto" w:fill="auto"/>
            <w:vAlign w:val="center"/>
          </w:tcPr>
          <w:p w14:paraId="18743C92">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302" w:type="pct"/>
            <w:shd w:val="clear" w:color="auto" w:fill="auto"/>
            <w:vAlign w:val="center"/>
          </w:tcPr>
          <w:p w14:paraId="53D4D9FB">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r>
      <w:tr w14:paraId="2E4698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962" w:type="pct"/>
            <w:shd w:val="clear" w:color="auto" w:fill="auto"/>
            <w:noWrap/>
            <w:vAlign w:val="center"/>
          </w:tcPr>
          <w:p w14:paraId="56884E0B">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二、配包间</w:t>
            </w:r>
          </w:p>
        </w:tc>
        <w:tc>
          <w:tcPr>
            <w:tcW w:w="821" w:type="pct"/>
            <w:shd w:val="clear" w:color="auto" w:fill="auto"/>
            <w:noWrap/>
            <w:vAlign w:val="center"/>
          </w:tcPr>
          <w:p w14:paraId="0198C910">
            <w:pPr>
              <w:keepNext w:val="0"/>
              <w:keepLines w:val="0"/>
              <w:pageBreakBefore w:val="0"/>
              <w:widowControl/>
              <w:kinsoku/>
              <w:wordWrap/>
              <w:overflowPunct/>
              <w:topLinePunct w:val="0"/>
              <w:autoSpaceDE/>
              <w:autoSpaceDN/>
              <w:bidi w:val="0"/>
              <w:adjustRightInd/>
              <w:snapToGrid/>
              <w:spacing w:line="360" w:lineRule="auto"/>
              <w:ind w:firstLine="0" w:firstLineChars="0"/>
              <w:rPr>
                <w:rFonts w:hint="eastAsia" w:ascii="宋体" w:hAnsi="宋体" w:eastAsia="宋体" w:cs="宋体"/>
                <w:i w:val="0"/>
                <w:iCs w:val="0"/>
                <w:color w:val="000000"/>
                <w:sz w:val="22"/>
                <w:szCs w:val="22"/>
                <w:u w:val="none"/>
              </w:rPr>
            </w:pPr>
          </w:p>
        </w:tc>
        <w:tc>
          <w:tcPr>
            <w:tcW w:w="2612" w:type="pct"/>
            <w:shd w:val="clear" w:color="auto" w:fill="auto"/>
            <w:noWrap/>
            <w:vAlign w:val="center"/>
          </w:tcPr>
          <w:p w14:paraId="14927EC7">
            <w:pPr>
              <w:keepNext w:val="0"/>
              <w:keepLines w:val="0"/>
              <w:pageBreakBefore w:val="0"/>
              <w:widowControl/>
              <w:kinsoku/>
              <w:wordWrap/>
              <w:overflowPunct/>
              <w:topLinePunct w:val="0"/>
              <w:autoSpaceDE/>
              <w:autoSpaceDN/>
              <w:bidi w:val="0"/>
              <w:adjustRightInd/>
              <w:snapToGrid/>
              <w:spacing w:line="360" w:lineRule="auto"/>
              <w:ind w:firstLine="0" w:firstLineChars="0"/>
              <w:rPr>
                <w:rFonts w:hint="eastAsia" w:ascii="宋体" w:hAnsi="宋体" w:eastAsia="宋体" w:cs="宋体"/>
                <w:i w:val="0"/>
                <w:iCs w:val="0"/>
                <w:color w:val="000000"/>
                <w:sz w:val="22"/>
                <w:szCs w:val="22"/>
                <w:u w:val="none"/>
              </w:rPr>
            </w:pPr>
          </w:p>
        </w:tc>
        <w:tc>
          <w:tcPr>
            <w:tcW w:w="301" w:type="pct"/>
            <w:shd w:val="clear" w:color="auto" w:fill="auto"/>
            <w:noWrap/>
            <w:vAlign w:val="center"/>
          </w:tcPr>
          <w:p w14:paraId="5AF5077C">
            <w:pPr>
              <w:keepNext w:val="0"/>
              <w:keepLines w:val="0"/>
              <w:pageBreakBefore w:val="0"/>
              <w:widowControl/>
              <w:kinsoku/>
              <w:wordWrap/>
              <w:overflowPunct/>
              <w:topLinePunct w:val="0"/>
              <w:autoSpaceDE/>
              <w:autoSpaceDN/>
              <w:bidi w:val="0"/>
              <w:adjustRightInd/>
              <w:snapToGrid/>
              <w:spacing w:line="360" w:lineRule="auto"/>
              <w:ind w:firstLine="0" w:firstLineChars="0"/>
              <w:rPr>
                <w:rFonts w:hint="eastAsia" w:ascii="宋体" w:hAnsi="宋体" w:eastAsia="宋体" w:cs="宋体"/>
                <w:i w:val="0"/>
                <w:iCs w:val="0"/>
                <w:color w:val="000000"/>
                <w:sz w:val="22"/>
                <w:szCs w:val="22"/>
                <w:u w:val="none"/>
              </w:rPr>
            </w:pPr>
          </w:p>
        </w:tc>
        <w:tc>
          <w:tcPr>
            <w:tcW w:w="302" w:type="pct"/>
            <w:shd w:val="clear" w:color="auto" w:fill="auto"/>
            <w:noWrap/>
            <w:vAlign w:val="center"/>
          </w:tcPr>
          <w:p w14:paraId="240A16C9">
            <w:pPr>
              <w:keepNext w:val="0"/>
              <w:keepLines w:val="0"/>
              <w:pageBreakBefore w:val="0"/>
              <w:widowControl/>
              <w:kinsoku/>
              <w:wordWrap/>
              <w:overflowPunct/>
              <w:topLinePunct w:val="0"/>
              <w:autoSpaceDE/>
              <w:autoSpaceDN/>
              <w:bidi w:val="0"/>
              <w:adjustRightInd/>
              <w:snapToGrid/>
              <w:spacing w:line="360" w:lineRule="auto"/>
              <w:ind w:firstLine="0" w:firstLineChars="0"/>
              <w:rPr>
                <w:rFonts w:hint="eastAsia" w:ascii="宋体" w:hAnsi="宋体" w:eastAsia="宋体" w:cs="宋体"/>
                <w:i w:val="0"/>
                <w:iCs w:val="0"/>
                <w:color w:val="000000"/>
                <w:sz w:val="22"/>
                <w:szCs w:val="22"/>
                <w:u w:val="none"/>
              </w:rPr>
            </w:pPr>
          </w:p>
        </w:tc>
      </w:tr>
      <w:tr w14:paraId="57DE8D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00" w:hRule="atLeast"/>
        </w:trPr>
        <w:tc>
          <w:tcPr>
            <w:tcW w:w="962" w:type="pct"/>
            <w:shd w:val="clear" w:color="auto" w:fill="auto"/>
            <w:vAlign w:val="center"/>
          </w:tcPr>
          <w:p w14:paraId="20DBFD97">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821" w:type="pct"/>
            <w:shd w:val="clear" w:color="auto" w:fill="auto"/>
            <w:vAlign w:val="center"/>
          </w:tcPr>
          <w:p w14:paraId="2F7E32D6">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触摸屏一体机</w:t>
            </w:r>
          </w:p>
        </w:tc>
        <w:tc>
          <w:tcPr>
            <w:tcW w:w="2612" w:type="pct"/>
            <w:shd w:val="clear" w:color="auto" w:fill="auto"/>
            <w:vAlign w:val="center"/>
          </w:tcPr>
          <w:p w14:paraId="51A57253">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处理器: 核心数≧4; 频率 ≧2g</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操作系统: 麒麟或统信等国产操作系统</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 xml:space="preserve">屏幕: 触摸≧21寸 </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内存: ≧8G</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硬盘: ≧256GB</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网卡: 无线网卡</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质保: 三年</w:t>
            </w:r>
          </w:p>
        </w:tc>
        <w:tc>
          <w:tcPr>
            <w:tcW w:w="301" w:type="pct"/>
            <w:shd w:val="clear" w:color="auto" w:fill="auto"/>
            <w:vAlign w:val="center"/>
          </w:tcPr>
          <w:p w14:paraId="0CE55D0B">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302" w:type="pct"/>
            <w:shd w:val="clear" w:color="auto" w:fill="auto"/>
            <w:vAlign w:val="center"/>
          </w:tcPr>
          <w:p w14:paraId="58700E97">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台</w:t>
            </w:r>
          </w:p>
        </w:tc>
      </w:tr>
      <w:tr w14:paraId="42A5B7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962" w:type="pct"/>
            <w:shd w:val="clear" w:color="auto" w:fill="auto"/>
            <w:vAlign w:val="center"/>
          </w:tcPr>
          <w:p w14:paraId="1D91A8B8">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821" w:type="pct"/>
            <w:shd w:val="clear" w:color="auto" w:fill="auto"/>
            <w:vAlign w:val="center"/>
          </w:tcPr>
          <w:p w14:paraId="390953CB">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条码扫描枪</w:t>
            </w:r>
          </w:p>
        </w:tc>
        <w:tc>
          <w:tcPr>
            <w:tcW w:w="2612" w:type="pct"/>
            <w:shd w:val="clear" w:color="auto" w:fill="auto"/>
            <w:vAlign w:val="center"/>
          </w:tcPr>
          <w:p w14:paraId="0C497791">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扫描方式：无线，支持二维码扫描；运动容差：≤20英寸/秒，扫描速率：≥270次/秒，可识别印刷对比度：≥20%，仰角：65度，倾角：65度，防护等级：≥IP41，解码能力：识读标准的一维和GS1DataBarTM字符，支持RS232、USB、HIB键盘接口，电池≥1800mAh。1年保修</w:t>
            </w:r>
          </w:p>
        </w:tc>
        <w:tc>
          <w:tcPr>
            <w:tcW w:w="301" w:type="pct"/>
            <w:shd w:val="clear" w:color="auto" w:fill="auto"/>
            <w:vAlign w:val="center"/>
          </w:tcPr>
          <w:p w14:paraId="24114B78">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302" w:type="pct"/>
            <w:shd w:val="clear" w:color="auto" w:fill="auto"/>
            <w:vAlign w:val="center"/>
          </w:tcPr>
          <w:p w14:paraId="5246A214">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r>
      <w:tr w14:paraId="05764A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00" w:hRule="atLeast"/>
        </w:trPr>
        <w:tc>
          <w:tcPr>
            <w:tcW w:w="962" w:type="pct"/>
            <w:shd w:val="clear" w:color="auto" w:fill="auto"/>
            <w:vAlign w:val="center"/>
          </w:tcPr>
          <w:p w14:paraId="4090FD69">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821" w:type="pct"/>
            <w:shd w:val="clear" w:color="auto" w:fill="auto"/>
            <w:vAlign w:val="center"/>
          </w:tcPr>
          <w:p w14:paraId="169B3B92">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条码标签打印机</w:t>
            </w:r>
          </w:p>
        </w:tc>
        <w:tc>
          <w:tcPr>
            <w:tcW w:w="2612" w:type="pct"/>
            <w:shd w:val="clear" w:color="auto" w:fill="auto"/>
            <w:vAlign w:val="center"/>
          </w:tcPr>
          <w:p w14:paraId="03194F27">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300米碳带容量，热敏或热转印打印方式，32位RISC处理器，分辨率203dpi（8点/毫米），内存(标配)：8MB SDRAM；8MB闪存，打印宽度最大108毫米，打印长度39 英寸（991毫米），打印速度150毫米/秒，最大标签和底纸宽度118毫米，最小标签和底纸宽度25毫米，最大标签和底纸长度991毫米，最大介质卷直径127毫米，介质厚度0.06毫米到0.18毫米，1年保修</w:t>
            </w:r>
          </w:p>
        </w:tc>
        <w:tc>
          <w:tcPr>
            <w:tcW w:w="301" w:type="pct"/>
            <w:shd w:val="clear" w:color="auto" w:fill="auto"/>
            <w:vAlign w:val="center"/>
          </w:tcPr>
          <w:p w14:paraId="2F544D61">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302" w:type="pct"/>
            <w:shd w:val="clear" w:color="auto" w:fill="auto"/>
            <w:vAlign w:val="center"/>
          </w:tcPr>
          <w:p w14:paraId="0541F3C1">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台</w:t>
            </w:r>
          </w:p>
        </w:tc>
      </w:tr>
      <w:tr w14:paraId="427C5A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00" w:hRule="atLeast"/>
        </w:trPr>
        <w:tc>
          <w:tcPr>
            <w:tcW w:w="962" w:type="pct"/>
            <w:shd w:val="clear" w:color="auto" w:fill="auto"/>
            <w:noWrap/>
            <w:vAlign w:val="center"/>
          </w:tcPr>
          <w:p w14:paraId="4C076378">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三、灭菌区</w:t>
            </w:r>
          </w:p>
        </w:tc>
        <w:tc>
          <w:tcPr>
            <w:tcW w:w="821" w:type="pct"/>
            <w:shd w:val="clear" w:color="auto" w:fill="auto"/>
            <w:noWrap/>
            <w:vAlign w:val="center"/>
          </w:tcPr>
          <w:p w14:paraId="62497104">
            <w:pPr>
              <w:keepNext w:val="0"/>
              <w:keepLines w:val="0"/>
              <w:pageBreakBefore w:val="0"/>
              <w:widowControl/>
              <w:kinsoku/>
              <w:wordWrap/>
              <w:overflowPunct/>
              <w:topLinePunct w:val="0"/>
              <w:autoSpaceDE/>
              <w:autoSpaceDN/>
              <w:bidi w:val="0"/>
              <w:adjustRightInd/>
              <w:snapToGrid/>
              <w:spacing w:line="360" w:lineRule="auto"/>
              <w:ind w:firstLine="0" w:firstLineChars="0"/>
              <w:rPr>
                <w:rFonts w:hint="eastAsia" w:ascii="宋体" w:hAnsi="宋体" w:eastAsia="宋体" w:cs="宋体"/>
                <w:i w:val="0"/>
                <w:iCs w:val="0"/>
                <w:color w:val="000000"/>
                <w:sz w:val="22"/>
                <w:szCs w:val="22"/>
                <w:u w:val="none"/>
              </w:rPr>
            </w:pPr>
          </w:p>
        </w:tc>
        <w:tc>
          <w:tcPr>
            <w:tcW w:w="2612" w:type="pct"/>
            <w:shd w:val="clear" w:color="auto" w:fill="auto"/>
            <w:noWrap/>
            <w:vAlign w:val="center"/>
          </w:tcPr>
          <w:p w14:paraId="1FCE27B1">
            <w:pPr>
              <w:keepNext w:val="0"/>
              <w:keepLines w:val="0"/>
              <w:pageBreakBefore w:val="0"/>
              <w:widowControl/>
              <w:kinsoku/>
              <w:wordWrap/>
              <w:overflowPunct/>
              <w:topLinePunct w:val="0"/>
              <w:autoSpaceDE/>
              <w:autoSpaceDN/>
              <w:bidi w:val="0"/>
              <w:adjustRightInd/>
              <w:snapToGrid/>
              <w:spacing w:line="360" w:lineRule="auto"/>
              <w:ind w:firstLine="0" w:firstLineChars="0"/>
              <w:rPr>
                <w:rFonts w:hint="eastAsia" w:ascii="宋体" w:hAnsi="宋体" w:eastAsia="宋体" w:cs="宋体"/>
                <w:i w:val="0"/>
                <w:iCs w:val="0"/>
                <w:color w:val="000000"/>
                <w:sz w:val="22"/>
                <w:szCs w:val="22"/>
                <w:u w:val="none"/>
              </w:rPr>
            </w:pPr>
          </w:p>
        </w:tc>
        <w:tc>
          <w:tcPr>
            <w:tcW w:w="301" w:type="pct"/>
            <w:shd w:val="clear" w:color="auto" w:fill="auto"/>
            <w:noWrap/>
            <w:vAlign w:val="center"/>
          </w:tcPr>
          <w:p w14:paraId="4F90324E">
            <w:pPr>
              <w:keepNext w:val="0"/>
              <w:keepLines w:val="0"/>
              <w:pageBreakBefore w:val="0"/>
              <w:widowControl/>
              <w:kinsoku/>
              <w:wordWrap/>
              <w:overflowPunct/>
              <w:topLinePunct w:val="0"/>
              <w:autoSpaceDE/>
              <w:autoSpaceDN/>
              <w:bidi w:val="0"/>
              <w:adjustRightInd/>
              <w:snapToGrid/>
              <w:spacing w:line="360" w:lineRule="auto"/>
              <w:ind w:firstLine="0" w:firstLineChars="0"/>
              <w:rPr>
                <w:rFonts w:hint="eastAsia" w:ascii="宋体" w:hAnsi="宋体" w:eastAsia="宋体" w:cs="宋体"/>
                <w:i w:val="0"/>
                <w:iCs w:val="0"/>
                <w:color w:val="000000"/>
                <w:sz w:val="22"/>
                <w:szCs w:val="22"/>
                <w:u w:val="none"/>
              </w:rPr>
            </w:pPr>
          </w:p>
        </w:tc>
        <w:tc>
          <w:tcPr>
            <w:tcW w:w="302" w:type="pct"/>
            <w:shd w:val="clear" w:color="auto" w:fill="auto"/>
            <w:noWrap/>
            <w:vAlign w:val="center"/>
          </w:tcPr>
          <w:p w14:paraId="3493B413">
            <w:pPr>
              <w:keepNext w:val="0"/>
              <w:keepLines w:val="0"/>
              <w:pageBreakBefore w:val="0"/>
              <w:widowControl/>
              <w:kinsoku/>
              <w:wordWrap/>
              <w:overflowPunct/>
              <w:topLinePunct w:val="0"/>
              <w:autoSpaceDE/>
              <w:autoSpaceDN/>
              <w:bidi w:val="0"/>
              <w:adjustRightInd/>
              <w:snapToGrid/>
              <w:spacing w:line="360" w:lineRule="auto"/>
              <w:ind w:firstLine="0" w:firstLineChars="0"/>
              <w:rPr>
                <w:rFonts w:hint="eastAsia" w:ascii="宋体" w:hAnsi="宋体" w:eastAsia="宋体" w:cs="宋体"/>
                <w:i w:val="0"/>
                <w:iCs w:val="0"/>
                <w:color w:val="000000"/>
                <w:sz w:val="22"/>
                <w:szCs w:val="22"/>
                <w:u w:val="none"/>
              </w:rPr>
            </w:pPr>
          </w:p>
        </w:tc>
      </w:tr>
      <w:tr w14:paraId="1A1D61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00" w:hRule="atLeast"/>
        </w:trPr>
        <w:tc>
          <w:tcPr>
            <w:tcW w:w="962" w:type="pct"/>
            <w:shd w:val="clear" w:color="auto" w:fill="auto"/>
            <w:vAlign w:val="center"/>
          </w:tcPr>
          <w:p w14:paraId="791879B1">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821" w:type="pct"/>
            <w:shd w:val="clear" w:color="auto" w:fill="auto"/>
            <w:vAlign w:val="center"/>
          </w:tcPr>
          <w:p w14:paraId="57A12875">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触摸屏一体机</w:t>
            </w:r>
          </w:p>
        </w:tc>
        <w:tc>
          <w:tcPr>
            <w:tcW w:w="2612" w:type="pct"/>
            <w:shd w:val="clear" w:color="auto" w:fill="auto"/>
            <w:vAlign w:val="center"/>
          </w:tcPr>
          <w:p w14:paraId="0B954043">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处理器: 核心数≧4; 频率 ≧2g</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操作系统: 麒麟或统信等国产操作系统</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 xml:space="preserve">屏幕: 触摸≧21寸 </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内存: ≧8G</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硬盘: ≧256GB</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网卡: 无线网卡</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质保: 三年</w:t>
            </w:r>
          </w:p>
        </w:tc>
        <w:tc>
          <w:tcPr>
            <w:tcW w:w="301" w:type="pct"/>
            <w:shd w:val="clear" w:color="auto" w:fill="auto"/>
            <w:vAlign w:val="center"/>
          </w:tcPr>
          <w:p w14:paraId="7A01A96D">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302" w:type="pct"/>
            <w:shd w:val="clear" w:color="auto" w:fill="auto"/>
            <w:vAlign w:val="center"/>
          </w:tcPr>
          <w:p w14:paraId="5F345139">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台</w:t>
            </w:r>
          </w:p>
        </w:tc>
      </w:tr>
      <w:tr w14:paraId="49D161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00" w:hRule="atLeast"/>
        </w:trPr>
        <w:tc>
          <w:tcPr>
            <w:tcW w:w="962" w:type="pct"/>
            <w:shd w:val="clear" w:color="auto" w:fill="auto"/>
            <w:vAlign w:val="center"/>
          </w:tcPr>
          <w:p w14:paraId="4A6A17A5">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821" w:type="pct"/>
            <w:shd w:val="clear" w:color="auto" w:fill="auto"/>
            <w:vAlign w:val="center"/>
          </w:tcPr>
          <w:p w14:paraId="075C4F1A">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条码扫描枪</w:t>
            </w:r>
          </w:p>
        </w:tc>
        <w:tc>
          <w:tcPr>
            <w:tcW w:w="2612" w:type="pct"/>
            <w:shd w:val="clear" w:color="auto" w:fill="auto"/>
            <w:vAlign w:val="center"/>
          </w:tcPr>
          <w:p w14:paraId="108FCA2B">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扫描方式：无线，支持二维码扫描；运动容差：≤20英寸/秒，扫描速率：≥270次/秒，可识别印刷对比度：≥20%，仰角：65度，倾角：65度，防护等级：≥IP41，解码能力：识读标准的一维和GS1DataBarTM字符，支持RS232、USB、HIB键盘接口，电池≥1800mAh。1年保修</w:t>
            </w:r>
          </w:p>
        </w:tc>
        <w:tc>
          <w:tcPr>
            <w:tcW w:w="301" w:type="pct"/>
            <w:shd w:val="clear" w:color="auto" w:fill="auto"/>
            <w:vAlign w:val="center"/>
          </w:tcPr>
          <w:p w14:paraId="0F51908B">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302" w:type="pct"/>
            <w:shd w:val="clear" w:color="auto" w:fill="auto"/>
            <w:vAlign w:val="center"/>
          </w:tcPr>
          <w:p w14:paraId="77946F77">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r>
      <w:tr w14:paraId="3A931E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00" w:hRule="atLeast"/>
        </w:trPr>
        <w:tc>
          <w:tcPr>
            <w:tcW w:w="962" w:type="pct"/>
            <w:shd w:val="clear" w:color="auto" w:fill="auto"/>
            <w:vAlign w:val="center"/>
          </w:tcPr>
          <w:p w14:paraId="3B11BCDA">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821" w:type="pct"/>
            <w:shd w:val="clear" w:color="auto" w:fill="auto"/>
            <w:vAlign w:val="center"/>
          </w:tcPr>
          <w:p w14:paraId="0B4E6968">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条码标签打印机</w:t>
            </w:r>
          </w:p>
        </w:tc>
        <w:tc>
          <w:tcPr>
            <w:tcW w:w="2612" w:type="pct"/>
            <w:shd w:val="clear" w:color="auto" w:fill="auto"/>
            <w:vAlign w:val="center"/>
          </w:tcPr>
          <w:p w14:paraId="362FDB0C">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300米碳带容量，热敏或热转印打印方式，32位RISC处理器，分辨率203dpi（8点/毫米），内存(标配)：8MB SDRAM；8MB闪存，打印宽度最大108毫米，打印长度39 英寸（991毫米），打印速度150毫米/秒，最大标签和底纸宽度118毫米，最小标签和底纸宽度25毫米，最大标签和底纸长度991毫米，最大介质卷直径127毫米，介质厚度0.06毫米到0.18毫米，1年保修</w:t>
            </w:r>
          </w:p>
        </w:tc>
        <w:tc>
          <w:tcPr>
            <w:tcW w:w="301" w:type="pct"/>
            <w:shd w:val="clear" w:color="auto" w:fill="auto"/>
            <w:vAlign w:val="center"/>
          </w:tcPr>
          <w:p w14:paraId="515CBCEB">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302" w:type="pct"/>
            <w:shd w:val="clear" w:color="auto" w:fill="auto"/>
            <w:vAlign w:val="center"/>
          </w:tcPr>
          <w:p w14:paraId="24E9943E">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台</w:t>
            </w:r>
          </w:p>
        </w:tc>
      </w:tr>
      <w:tr w14:paraId="183513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00" w:hRule="atLeast"/>
        </w:trPr>
        <w:tc>
          <w:tcPr>
            <w:tcW w:w="962" w:type="pct"/>
            <w:shd w:val="clear" w:color="auto" w:fill="auto"/>
            <w:vAlign w:val="center"/>
          </w:tcPr>
          <w:p w14:paraId="009CBE65">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821" w:type="pct"/>
            <w:shd w:val="clear" w:color="auto" w:fill="auto"/>
            <w:vAlign w:val="center"/>
          </w:tcPr>
          <w:p w14:paraId="4718E860">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无线手持终端（PDA）</w:t>
            </w:r>
          </w:p>
        </w:tc>
        <w:tc>
          <w:tcPr>
            <w:tcW w:w="2612" w:type="pct"/>
            <w:shd w:val="clear" w:color="auto" w:fill="auto"/>
            <w:vAlign w:val="center"/>
          </w:tcPr>
          <w:p w14:paraId="2B03D094">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操作系统：Android11</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 xml:space="preserve">处理器：高通八核 2.0 GHz </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内存 ：4GB 64GB兼容6GB+64GB/8G+128G</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存储扩展：Micro SD Card，最大支持128GB</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SIM接口：Nano SIM卡*2（双卡双待，支持5G）</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显示屏幕：6英寸显示屏，电容式触摸，支持手套模式。</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可拆卸5000mAh锂离子充电电池（含备份电）</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前置摄像头:800万（定焦拍照功能）</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后置摄像头：1600万（相位对焦拍照功能）支持闪光灯/补光</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一年保修</w:t>
            </w:r>
          </w:p>
        </w:tc>
        <w:tc>
          <w:tcPr>
            <w:tcW w:w="301" w:type="pct"/>
            <w:shd w:val="clear" w:color="auto" w:fill="auto"/>
            <w:vAlign w:val="center"/>
          </w:tcPr>
          <w:p w14:paraId="631EF03F">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302" w:type="pct"/>
            <w:shd w:val="clear" w:color="auto" w:fill="auto"/>
            <w:vAlign w:val="center"/>
          </w:tcPr>
          <w:p w14:paraId="42F9EC5D">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台</w:t>
            </w:r>
          </w:p>
        </w:tc>
      </w:tr>
      <w:tr w14:paraId="11F0C3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962" w:type="pct"/>
            <w:shd w:val="clear" w:color="auto" w:fill="auto"/>
            <w:noWrap/>
            <w:vAlign w:val="center"/>
          </w:tcPr>
          <w:p w14:paraId="4B541D9A">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四、无菌区</w:t>
            </w:r>
          </w:p>
        </w:tc>
        <w:tc>
          <w:tcPr>
            <w:tcW w:w="821" w:type="pct"/>
            <w:shd w:val="clear" w:color="auto" w:fill="auto"/>
            <w:noWrap/>
            <w:vAlign w:val="center"/>
          </w:tcPr>
          <w:p w14:paraId="3259BAAE">
            <w:pPr>
              <w:keepNext w:val="0"/>
              <w:keepLines w:val="0"/>
              <w:pageBreakBefore w:val="0"/>
              <w:widowControl/>
              <w:kinsoku/>
              <w:wordWrap/>
              <w:overflowPunct/>
              <w:topLinePunct w:val="0"/>
              <w:autoSpaceDE/>
              <w:autoSpaceDN/>
              <w:bidi w:val="0"/>
              <w:adjustRightInd/>
              <w:snapToGrid/>
              <w:spacing w:line="360" w:lineRule="auto"/>
              <w:ind w:firstLine="0" w:firstLineChars="0"/>
              <w:rPr>
                <w:rFonts w:hint="eastAsia" w:ascii="宋体" w:hAnsi="宋体" w:eastAsia="宋体" w:cs="宋体"/>
                <w:i w:val="0"/>
                <w:iCs w:val="0"/>
                <w:color w:val="000000"/>
                <w:sz w:val="22"/>
                <w:szCs w:val="22"/>
                <w:u w:val="none"/>
              </w:rPr>
            </w:pPr>
          </w:p>
        </w:tc>
        <w:tc>
          <w:tcPr>
            <w:tcW w:w="2612" w:type="pct"/>
            <w:shd w:val="clear" w:color="auto" w:fill="auto"/>
            <w:noWrap/>
            <w:vAlign w:val="center"/>
          </w:tcPr>
          <w:p w14:paraId="04A9A350">
            <w:pPr>
              <w:keepNext w:val="0"/>
              <w:keepLines w:val="0"/>
              <w:pageBreakBefore w:val="0"/>
              <w:widowControl/>
              <w:kinsoku/>
              <w:wordWrap/>
              <w:overflowPunct/>
              <w:topLinePunct w:val="0"/>
              <w:autoSpaceDE/>
              <w:autoSpaceDN/>
              <w:bidi w:val="0"/>
              <w:adjustRightInd/>
              <w:snapToGrid/>
              <w:spacing w:line="360" w:lineRule="auto"/>
              <w:ind w:firstLine="0" w:firstLineChars="0"/>
              <w:rPr>
                <w:rFonts w:hint="eastAsia" w:ascii="宋体" w:hAnsi="宋体" w:eastAsia="宋体" w:cs="宋体"/>
                <w:i w:val="0"/>
                <w:iCs w:val="0"/>
                <w:color w:val="000000"/>
                <w:sz w:val="22"/>
                <w:szCs w:val="22"/>
                <w:u w:val="none"/>
              </w:rPr>
            </w:pPr>
          </w:p>
        </w:tc>
        <w:tc>
          <w:tcPr>
            <w:tcW w:w="301" w:type="pct"/>
            <w:shd w:val="clear" w:color="auto" w:fill="auto"/>
            <w:noWrap/>
            <w:vAlign w:val="center"/>
          </w:tcPr>
          <w:p w14:paraId="06658439">
            <w:pPr>
              <w:keepNext w:val="0"/>
              <w:keepLines w:val="0"/>
              <w:pageBreakBefore w:val="0"/>
              <w:widowControl/>
              <w:kinsoku/>
              <w:wordWrap/>
              <w:overflowPunct/>
              <w:topLinePunct w:val="0"/>
              <w:autoSpaceDE/>
              <w:autoSpaceDN/>
              <w:bidi w:val="0"/>
              <w:adjustRightInd/>
              <w:snapToGrid/>
              <w:spacing w:line="360" w:lineRule="auto"/>
              <w:ind w:firstLine="0" w:firstLineChars="0"/>
              <w:rPr>
                <w:rFonts w:hint="eastAsia" w:ascii="宋体" w:hAnsi="宋体" w:eastAsia="宋体" w:cs="宋体"/>
                <w:i w:val="0"/>
                <w:iCs w:val="0"/>
                <w:color w:val="000000"/>
                <w:sz w:val="22"/>
                <w:szCs w:val="22"/>
                <w:u w:val="none"/>
              </w:rPr>
            </w:pPr>
          </w:p>
        </w:tc>
        <w:tc>
          <w:tcPr>
            <w:tcW w:w="302" w:type="pct"/>
            <w:shd w:val="clear" w:color="auto" w:fill="auto"/>
            <w:noWrap/>
            <w:vAlign w:val="center"/>
          </w:tcPr>
          <w:p w14:paraId="4F88FF67">
            <w:pPr>
              <w:keepNext w:val="0"/>
              <w:keepLines w:val="0"/>
              <w:pageBreakBefore w:val="0"/>
              <w:widowControl/>
              <w:kinsoku/>
              <w:wordWrap/>
              <w:overflowPunct/>
              <w:topLinePunct w:val="0"/>
              <w:autoSpaceDE/>
              <w:autoSpaceDN/>
              <w:bidi w:val="0"/>
              <w:adjustRightInd/>
              <w:snapToGrid/>
              <w:spacing w:line="360" w:lineRule="auto"/>
              <w:ind w:firstLine="0" w:firstLineChars="0"/>
              <w:rPr>
                <w:rFonts w:hint="eastAsia" w:ascii="宋体" w:hAnsi="宋体" w:eastAsia="宋体" w:cs="宋体"/>
                <w:i w:val="0"/>
                <w:iCs w:val="0"/>
                <w:color w:val="000000"/>
                <w:sz w:val="22"/>
                <w:szCs w:val="22"/>
                <w:u w:val="none"/>
              </w:rPr>
            </w:pPr>
          </w:p>
        </w:tc>
      </w:tr>
      <w:tr w14:paraId="60FB5C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00" w:hRule="atLeast"/>
        </w:trPr>
        <w:tc>
          <w:tcPr>
            <w:tcW w:w="962" w:type="pct"/>
            <w:shd w:val="clear" w:color="auto" w:fill="auto"/>
            <w:vAlign w:val="center"/>
          </w:tcPr>
          <w:p w14:paraId="7A65E21A">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821" w:type="pct"/>
            <w:shd w:val="clear" w:color="auto" w:fill="auto"/>
            <w:vAlign w:val="center"/>
          </w:tcPr>
          <w:p w14:paraId="64BBDD99">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触摸屏一体机</w:t>
            </w:r>
          </w:p>
        </w:tc>
        <w:tc>
          <w:tcPr>
            <w:tcW w:w="2612" w:type="pct"/>
            <w:shd w:val="clear" w:color="auto" w:fill="auto"/>
            <w:vAlign w:val="center"/>
          </w:tcPr>
          <w:p w14:paraId="6FCAC91C">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处理器: 核心数≧4; 频率 ≧2g</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操作系统: 麒麟或统信等国产操作系统</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 xml:space="preserve">屏幕: 触摸≧21寸 </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内存: ≧8G</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硬盘: ≧256GB</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网卡: 无线网卡</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质保: 三年</w:t>
            </w:r>
          </w:p>
        </w:tc>
        <w:tc>
          <w:tcPr>
            <w:tcW w:w="301" w:type="pct"/>
            <w:shd w:val="clear" w:color="auto" w:fill="auto"/>
            <w:vAlign w:val="center"/>
          </w:tcPr>
          <w:p w14:paraId="28C6CD3A">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302" w:type="pct"/>
            <w:shd w:val="clear" w:color="auto" w:fill="auto"/>
            <w:vAlign w:val="center"/>
          </w:tcPr>
          <w:p w14:paraId="3E712A13">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台</w:t>
            </w:r>
          </w:p>
        </w:tc>
      </w:tr>
      <w:tr w14:paraId="0CC803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00" w:hRule="atLeast"/>
        </w:trPr>
        <w:tc>
          <w:tcPr>
            <w:tcW w:w="962" w:type="pct"/>
            <w:shd w:val="clear" w:color="auto" w:fill="auto"/>
            <w:vAlign w:val="center"/>
          </w:tcPr>
          <w:p w14:paraId="542090A1">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821" w:type="pct"/>
            <w:shd w:val="clear" w:color="auto" w:fill="auto"/>
            <w:vAlign w:val="center"/>
          </w:tcPr>
          <w:p w14:paraId="05F58A90">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条码扫描枪</w:t>
            </w:r>
          </w:p>
        </w:tc>
        <w:tc>
          <w:tcPr>
            <w:tcW w:w="2612" w:type="pct"/>
            <w:shd w:val="clear" w:color="auto" w:fill="auto"/>
            <w:vAlign w:val="center"/>
          </w:tcPr>
          <w:p w14:paraId="287CFB94">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扫描方式：无线，支持二维码扫描；运动容差：≤20英寸/秒，扫描速率：≥270次/秒，可识别印刷对比度：≥20%，仰角：65度，倾角：65度，防护等级：≥IP41，解码能力：识读标准的一维和GS1DataBarTM字符，支持RS232、USB、HIB键盘接口，电池≥1800mAh。1年保修</w:t>
            </w:r>
          </w:p>
        </w:tc>
        <w:tc>
          <w:tcPr>
            <w:tcW w:w="301" w:type="pct"/>
            <w:shd w:val="clear" w:color="auto" w:fill="auto"/>
            <w:vAlign w:val="center"/>
          </w:tcPr>
          <w:p w14:paraId="62F79997">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302" w:type="pct"/>
            <w:shd w:val="clear" w:color="auto" w:fill="auto"/>
            <w:vAlign w:val="center"/>
          </w:tcPr>
          <w:p w14:paraId="3A27DD8C">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r>
      <w:tr w14:paraId="3FD1E0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962" w:type="pct"/>
            <w:shd w:val="clear" w:color="auto" w:fill="auto"/>
            <w:vAlign w:val="center"/>
          </w:tcPr>
          <w:p w14:paraId="4F8FD574">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821" w:type="pct"/>
            <w:shd w:val="clear" w:color="auto" w:fill="auto"/>
            <w:vAlign w:val="center"/>
          </w:tcPr>
          <w:p w14:paraId="0E04A420">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无线手持终端（PDA）</w:t>
            </w:r>
          </w:p>
        </w:tc>
        <w:tc>
          <w:tcPr>
            <w:tcW w:w="2612" w:type="pct"/>
            <w:shd w:val="clear" w:color="auto" w:fill="auto"/>
            <w:vAlign w:val="center"/>
          </w:tcPr>
          <w:p w14:paraId="0E6E9303">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操作系统：Android11</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 xml:space="preserve">处理器：高通八核 2.0 GHz </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内存 ：4GB 64GB兼容6GB+64GB/8G+128G</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存储扩展：Micro SD Card，最大支持128GB</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SIM接口：Nano SIM卡*2（双卡双待，支持5G）</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显示屏幕：6英寸显示屏，电容式触摸，支持手套模式。</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可拆卸5000mAh锂离子充电电池（含备份电）</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前置摄像头:800万（定焦拍照功能）</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后置摄像头：1600万（相位对焦拍照功能）支持闪光灯/补光</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一年保修</w:t>
            </w:r>
          </w:p>
        </w:tc>
        <w:tc>
          <w:tcPr>
            <w:tcW w:w="301" w:type="pct"/>
            <w:shd w:val="clear" w:color="auto" w:fill="auto"/>
            <w:vAlign w:val="center"/>
          </w:tcPr>
          <w:p w14:paraId="7944840B">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302" w:type="pct"/>
            <w:shd w:val="clear" w:color="auto" w:fill="auto"/>
            <w:vAlign w:val="center"/>
          </w:tcPr>
          <w:p w14:paraId="7F3EDAD4">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台</w:t>
            </w:r>
          </w:p>
        </w:tc>
      </w:tr>
      <w:tr w14:paraId="39EAB1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00" w:hRule="atLeast"/>
        </w:trPr>
        <w:tc>
          <w:tcPr>
            <w:tcW w:w="962" w:type="pct"/>
            <w:shd w:val="clear" w:color="auto" w:fill="auto"/>
            <w:noWrap/>
            <w:vAlign w:val="center"/>
          </w:tcPr>
          <w:p w14:paraId="283B2B2C">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五、辅助耗材</w:t>
            </w:r>
          </w:p>
        </w:tc>
        <w:tc>
          <w:tcPr>
            <w:tcW w:w="821" w:type="pct"/>
            <w:shd w:val="clear" w:color="auto" w:fill="auto"/>
            <w:noWrap/>
            <w:vAlign w:val="center"/>
          </w:tcPr>
          <w:p w14:paraId="4CCB89D9">
            <w:pPr>
              <w:keepNext w:val="0"/>
              <w:keepLines w:val="0"/>
              <w:pageBreakBefore w:val="0"/>
              <w:widowControl/>
              <w:kinsoku/>
              <w:wordWrap/>
              <w:overflowPunct/>
              <w:topLinePunct w:val="0"/>
              <w:autoSpaceDE/>
              <w:autoSpaceDN/>
              <w:bidi w:val="0"/>
              <w:adjustRightInd/>
              <w:snapToGrid/>
              <w:spacing w:line="360" w:lineRule="auto"/>
              <w:ind w:firstLine="0" w:firstLineChars="0"/>
              <w:rPr>
                <w:rFonts w:hint="eastAsia" w:ascii="宋体" w:hAnsi="宋体" w:eastAsia="宋体" w:cs="宋体"/>
                <w:i w:val="0"/>
                <w:iCs w:val="0"/>
                <w:color w:val="000000"/>
                <w:sz w:val="22"/>
                <w:szCs w:val="22"/>
                <w:u w:val="none"/>
              </w:rPr>
            </w:pPr>
          </w:p>
        </w:tc>
        <w:tc>
          <w:tcPr>
            <w:tcW w:w="2612" w:type="pct"/>
            <w:shd w:val="clear" w:color="auto" w:fill="auto"/>
            <w:noWrap/>
            <w:vAlign w:val="center"/>
          </w:tcPr>
          <w:p w14:paraId="6430F780">
            <w:pPr>
              <w:keepNext w:val="0"/>
              <w:keepLines w:val="0"/>
              <w:pageBreakBefore w:val="0"/>
              <w:widowControl/>
              <w:kinsoku/>
              <w:wordWrap/>
              <w:overflowPunct/>
              <w:topLinePunct w:val="0"/>
              <w:autoSpaceDE/>
              <w:autoSpaceDN/>
              <w:bidi w:val="0"/>
              <w:adjustRightInd/>
              <w:snapToGrid/>
              <w:spacing w:line="360" w:lineRule="auto"/>
              <w:ind w:firstLine="0" w:firstLineChars="0"/>
              <w:rPr>
                <w:rFonts w:hint="eastAsia" w:ascii="宋体" w:hAnsi="宋体" w:eastAsia="宋体" w:cs="宋体"/>
                <w:i w:val="0"/>
                <w:iCs w:val="0"/>
                <w:color w:val="000000"/>
                <w:sz w:val="22"/>
                <w:szCs w:val="22"/>
                <w:u w:val="none"/>
              </w:rPr>
            </w:pPr>
          </w:p>
        </w:tc>
        <w:tc>
          <w:tcPr>
            <w:tcW w:w="301" w:type="pct"/>
            <w:shd w:val="clear" w:color="auto" w:fill="auto"/>
            <w:noWrap/>
            <w:vAlign w:val="center"/>
          </w:tcPr>
          <w:p w14:paraId="0E8879C2">
            <w:pPr>
              <w:keepNext w:val="0"/>
              <w:keepLines w:val="0"/>
              <w:pageBreakBefore w:val="0"/>
              <w:widowControl/>
              <w:kinsoku/>
              <w:wordWrap/>
              <w:overflowPunct/>
              <w:topLinePunct w:val="0"/>
              <w:autoSpaceDE/>
              <w:autoSpaceDN/>
              <w:bidi w:val="0"/>
              <w:adjustRightInd/>
              <w:snapToGrid/>
              <w:spacing w:line="360" w:lineRule="auto"/>
              <w:ind w:firstLine="0" w:firstLineChars="0"/>
              <w:rPr>
                <w:rFonts w:hint="eastAsia" w:ascii="宋体" w:hAnsi="宋体" w:eastAsia="宋体" w:cs="宋体"/>
                <w:i w:val="0"/>
                <w:iCs w:val="0"/>
                <w:color w:val="000000"/>
                <w:sz w:val="22"/>
                <w:szCs w:val="22"/>
                <w:u w:val="none"/>
              </w:rPr>
            </w:pPr>
          </w:p>
        </w:tc>
        <w:tc>
          <w:tcPr>
            <w:tcW w:w="302" w:type="pct"/>
            <w:shd w:val="clear" w:color="auto" w:fill="auto"/>
            <w:noWrap/>
            <w:vAlign w:val="center"/>
          </w:tcPr>
          <w:p w14:paraId="1309D110">
            <w:pPr>
              <w:keepNext w:val="0"/>
              <w:keepLines w:val="0"/>
              <w:pageBreakBefore w:val="0"/>
              <w:widowControl/>
              <w:kinsoku/>
              <w:wordWrap/>
              <w:overflowPunct/>
              <w:topLinePunct w:val="0"/>
              <w:autoSpaceDE/>
              <w:autoSpaceDN/>
              <w:bidi w:val="0"/>
              <w:adjustRightInd/>
              <w:snapToGrid/>
              <w:spacing w:line="360" w:lineRule="auto"/>
              <w:ind w:firstLine="0" w:firstLineChars="0"/>
              <w:rPr>
                <w:rFonts w:hint="eastAsia" w:ascii="宋体" w:hAnsi="宋体" w:eastAsia="宋体" w:cs="宋体"/>
                <w:i w:val="0"/>
                <w:iCs w:val="0"/>
                <w:color w:val="000000"/>
                <w:sz w:val="22"/>
                <w:szCs w:val="22"/>
                <w:u w:val="none"/>
              </w:rPr>
            </w:pPr>
          </w:p>
        </w:tc>
      </w:tr>
      <w:tr w14:paraId="3ED0D2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00" w:hRule="atLeast"/>
        </w:trPr>
        <w:tc>
          <w:tcPr>
            <w:tcW w:w="962" w:type="pct"/>
            <w:shd w:val="clear" w:color="auto" w:fill="auto"/>
            <w:vAlign w:val="center"/>
          </w:tcPr>
          <w:p w14:paraId="40012890">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821" w:type="pct"/>
            <w:shd w:val="clear" w:color="auto" w:fill="auto"/>
            <w:vAlign w:val="center"/>
          </w:tcPr>
          <w:p w14:paraId="5E47153E">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设备标识牌</w:t>
            </w:r>
          </w:p>
        </w:tc>
        <w:tc>
          <w:tcPr>
            <w:tcW w:w="2612" w:type="pct"/>
            <w:shd w:val="clear" w:color="auto" w:fill="auto"/>
            <w:vAlign w:val="center"/>
          </w:tcPr>
          <w:p w14:paraId="076592CE">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定制，带条码标识，用于扫描确认设备及工作程序身份。PVC材质</w:t>
            </w:r>
          </w:p>
        </w:tc>
        <w:tc>
          <w:tcPr>
            <w:tcW w:w="301" w:type="pct"/>
            <w:shd w:val="clear" w:color="auto" w:fill="auto"/>
            <w:noWrap/>
            <w:vAlign w:val="center"/>
          </w:tcPr>
          <w:p w14:paraId="330C9FC0">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302" w:type="pct"/>
            <w:shd w:val="clear" w:color="auto" w:fill="auto"/>
            <w:noWrap/>
            <w:vAlign w:val="center"/>
          </w:tcPr>
          <w:p w14:paraId="1F199132">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r>
      <w:tr w14:paraId="45E9E7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00" w:hRule="atLeast"/>
        </w:trPr>
        <w:tc>
          <w:tcPr>
            <w:tcW w:w="962" w:type="pct"/>
            <w:shd w:val="clear" w:color="auto" w:fill="auto"/>
            <w:noWrap/>
            <w:vAlign w:val="center"/>
          </w:tcPr>
          <w:p w14:paraId="62628E3F">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821" w:type="pct"/>
            <w:shd w:val="clear" w:color="auto" w:fill="auto"/>
            <w:vAlign w:val="center"/>
          </w:tcPr>
          <w:p w14:paraId="2D27D788">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洗水布套装</w:t>
            </w:r>
          </w:p>
        </w:tc>
        <w:tc>
          <w:tcPr>
            <w:tcW w:w="2612" w:type="pct"/>
            <w:shd w:val="clear" w:color="auto" w:fill="auto"/>
            <w:vAlign w:val="center"/>
          </w:tcPr>
          <w:p w14:paraId="55EA5848">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定制</w:t>
            </w:r>
          </w:p>
        </w:tc>
        <w:tc>
          <w:tcPr>
            <w:tcW w:w="301" w:type="pct"/>
            <w:shd w:val="clear" w:color="auto" w:fill="auto"/>
            <w:noWrap/>
            <w:vAlign w:val="center"/>
          </w:tcPr>
          <w:p w14:paraId="13C5D0D5">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302" w:type="pct"/>
            <w:shd w:val="clear" w:color="auto" w:fill="auto"/>
            <w:noWrap/>
            <w:vAlign w:val="center"/>
          </w:tcPr>
          <w:p w14:paraId="3B47D18A">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套</w:t>
            </w:r>
          </w:p>
        </w:tc>
      </w:tr>
      <w:tr w14:paraId="45A947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00" w:hRule="atLeast"/>
        </w:trPr>
        <w:tc>
          <w:tcPr>
            <w:tcW w:w="962" w:type="pct"/>
            <w:shd w:val="clear" w:color="auto" w:fill="auto"/>
            <w:noWrap/>
            <w:vAlign w:val="center"/>
          </w:tcPr>
          <w:p w14:paraId="0BF96303">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821" w:type="pct"/>
            <w:shd w:val="clear" w:color="auto" w:fill="auto"/>
            <w:vAlign w:val="center"/>
          </w:tcPr>
          <w:p w14:paraId="02266D9F">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高清摄像头</w:t>
            </w:r>
          </w:p>
        </w:tc>
        <w:tc>
          <w:tcPr>
            <w:tcW w:w="2612" w:type="pct"/>
            <w:shd w:val="clear" w:color="auto" w:fill="auto"/>
            <w:vAlign w:val="center"/>
          </w:tcPr>
          <w:p w14:paraId="47970D70">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高清USB摄像头，支持自动对焦，带悬臂支架，分辨率≥1080P。</w:t>
            </w:r>
          </w:p>
        </w:tc>
        <w:tc>
          <w:tcPr>
            <w:tcW w:w="301" w:type="pct"/>
            <w:shd w:val="clear" w:color="auto" w:fill="auto"/>
            <w:noWrap/>
            <w:vAlign w:val="center"/>
          </w:tcPr>
          <w:p w14:paraId="746EB24D">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302" w:type="pct"/>
            <w:shd w:val="clear" w:color="auto" w:fill="auto"/>
            <w:noWrap/>
            <w:vAlign w:val="center"/>
          </w:tcPr>
          <w:p w14:paraId="6648DA13">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r>
      <w:tr w14:paraId="70E3D1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00" w:hRule="atLeast"/>
        </w:trPr>
        <w:tc>
          <w:tcPr>
            <w:tcW w:w="962" w:type="pct"/>
            <w:shd w:val="clear" w:color="auto" w:fill="auto"/>
            <w:noWrap/>
            <w:vAlign w:val="center"/>
          </w:tcPr>
          <w:p w14:paraId="06D520D1">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821" w:type="pct"/>
            <w:shd w:val="clear" w:color="auto" w:fill="auto"/>
            <w:vAlign w:val="center"/>
          </w:tcPr>
          <w:p w14:paraId="058A606C">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摄像头支架</w:t>
            </w:r>
          </w:p>
        </w:tc>
        <w:tc>
          <w:tcPr>
            <w:tcW w:w="2612" w:type="pct"/>
            <w:shd w:val="clear" w:color="auto" w:fill="auto"/>
            <w:vAlign w:val="center"/>
          </w:tcPr>
          <w:p w14:paraId="77DC171E">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夹桌可伸缩支架</w:t>
            </w:r>
          </w:p>
        </w:tc>
        <w:tc>
          <w:tcPr>
            <w:tcW w:w="301" w:type="pct"/>
            <w:shd w:val="clear" w:color="auto" w:fill="auto"/>
            <w:noWrap/>
            <w:vAlign w:val="center"/>
          </w:tcPr>
          <w:p w14:paraId="1A7EADDA">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302" w:type="pct"/>
            <w:shd w:val="clear" w:color="auto" w:fill="auto"/>
            <w:noWrap/>
            <w:vAlign w:val="center"/>
          </w:tcPr>
          <w:p w14:paraId="7D4E506A">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r>
      <w:tr w14:paraId="579C05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00" w:hRule="atLeast"/>
        </w:trPr>
        <w:tc>
          <w:tcPr>
            <w:tcW w:w="962" w:type="pct"/>
            <w:shd w:val="clear" w:color="auto" w:fill="auto"/>
            <w:noWrap/>
            <w:vAlign w:val="center"/>
          </w:tcPr>
          <w:p w14:paraId="54BFEC77">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六、服务器</w:t>
            </w:r>
          </w:p>
        </w:tc>
        <w:tc>
          <w:tcPr>
            <w:tcW w:w="821" w:type="pct"/>
            <w:shd w:val="clear" w:color="auto" w:fill="auto"/>
            <w:noWrap/>
            <w:vAlign w:val="center"/>
          </w:tcPr>
          <w:p w14:paraId="08C7F769">
            <w:pPr>
              <w:keepNext w:val="0"/>
              <w:keepLines w:val="0"/>
              <w:pageBreakBefore w:val="0"/>
              <w:widowControl/>
              <w:kinsoku/>
              <w:wordWrap/>
              <w:overflowPunct/>
              <w:topLinePunct w:val="0"/>
              <w:autoSpaceDE/>
              <w:autoSpaceDN/>
              <w:bidi w:val="0"/>
              <w:adjustRightInd/>
              <w:snapToGrid/>
              <w:spacing w:line="360" w:lineRule="auto"/>
              <w:ind w:firstLine="0" w:firstLineChars="0"/>
              <w:rPr>
                <w:rFonts w:hint="eastAsia" w:ascii="宋体" w:hAnsi="宋体" w:eastAsia="宋体" w:cs="宋体"/>
                <w:i w:val="0"/>
                <w:iCs w:val="0"/>
                <w:color w:val="000000"/>
                <w:sz w:val="22"/>
                <w:szCs w:val="22"/>
                <w:u w:val="none"/>
              </w:rPr>
            </w:pPr>
          </w:p>
        </w:tc>
        <w:tc>
          <w:tcPr>
            <w:tcW w:w="2612" w:type="pct"/>
            <w:shd w:val="clear" w:color="auto" w:fill="auto"/>
            <w:noWrap/>
            <w:vAlign w:val="center"/>
          </w:tcPr>
          <w:p w14:paraId="6713107B">
            <w:pPr>
              <w:keepNext w:val="0"/>
              <w:keepLines w:val="0"/>
              <w:pageBreakBefore w:val="0"/>
              <w:widowControl/>
              <w:kinsoku/>
              <w:wordWrap/>
              <w:overflowPunct/>
              <w:topLinePunct w:val="0"/>
              <w:autoSpaceDE/>
              <w:autoSpaceDN/>
              <w:bidi w:val="0"/>
              <w:adjustRightInd/>
              <w:snapToGrid/>
              <w:spacing w:line="360" w:lineRule="auto"/>
              <w:ind w:firstLine="0" w:firstLineChars="0"/>
              <w:rPr>
                <w:rFonts w:hint="eastAsia" w:ascii="宋体" w:hAnsi="宋体" w:eastAsia="宋体" w:cs="宋体"/>
                <w:i w:val="0"/>
                <w:iCs w:val="0"/>
                <w:color w:val="000000"/>
                <w:sz w:val="22"/>
                <w:szCs w:val="22"/>
                <w:u w:val="none"/>
              </w:rPr>
            </w:pPr>
          </w:p>
        </w:tc>
        <w:tc>
          <w:tcPr>
            <w:tcW w:w="301" w:type="pct"/>
            <w:shd w:val="clear" w:color="auto" w:fill="auto"/>
            <w:noWrap/>
            <w:vAlign w:val="center"/>
          </w:tcPr>
          <w:p w14:paraId="24E620BB">
            <w:pPr>
              <w:keepNext w:val="0"/>
              <w:keepLines w:val="0"/>
              <w:pageBreakBefore w:val="0"/>
              <w:widowControl/>
              <w:kinsoku/>
              <w:wordWrap/>
              <w:overflowPunct/>
              <w:topLinePunct w:val="0"/>
              <w:autoSpaceDE/>
              <w:autoSpaceDN/>
              <w:bidi w:val="0"/>
              <w:adjustRightInd/>
              <w:snapToGrid/>
              <w:spacing w:line="360" w:lineRule="auto"/>
              <w:ind w:firstLine="0" w:firstLineChars="0"/>
              <w:rPr>
                <w:rFonts w:hint="eastAsia" w:ascii="宋体" w:hAnsi="宋体" w:eastAsia="宋体" w:cs="宋体"/>
                <w:i w:val="0"/>
                <w:iCs w:val="0"/>
                <w:color w:val="000000"/>
                <w:sz w:val="22"/>
                <w:szCs w:val="22"/>
                <w:u w:val="none"/>
              </w:rPr>
            </w:pPr>
          </w:p>
        </w:tc>
        <w:tc>
          <w:tcPr>
            <w:tcW w:w="302" w:type="pct"/>
            <w:shd w:val="clear" w:color="auto" w:fill="auto"/>
            <w:noWrap/>
            <w:vAlign w:val="center"/>
          </w:tcPr>
          <w:p w14:paraId="17FDECFA">
            <w:pPr>
              <w:keepNext w:val="0"/>
              <w:keepLines w:val="0"/>
              <w:pageBreakBefore w:val="0"/>
              <w:widowControl/>
              <w:kinsoku/>
              <w:wordWrap/>
              <w:overflowPunct/>
              <w:topLinePunct w:val="0"/>
              <w:autoSpaceDE/>
              <w:autoSpaceDN/>
              <w:bidi w:val="0"/>
              <w:adjustRightInd/>
              <w:snapToGrid/>
              <w:spacing w:line="360" w:lineRule="auto"/>
              <w:ind w:firstLine="0" w:firstLineChars="0"/>
              <w:rPr>
                <w:rFonts w:hint="eastAsia" w:ascii="宋体" w:hAnsi="宋体" w:eastAsia="宋体" w:cs="宋体"/>
                <w:i w:val="0"/>
                <w:iCs w:val="0"/>
                <w:color w:val="000000"/>
                <w:sz w:val="22"/>
                <w:szCs w:val="22"/>
                <w:u w:val="none"/>
              </w:rPr>
            </w:pPr>
          </w:p>
        </w:tc>
      </w:tr>
      <w:tr w14:paraId="73AB68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0" w:hRule="atLeast"/>
        </w:trPr>
        <w:tc>
          <w:tcPr>
            <w:tcW w:w="962" w:type="pct"/>
            <w:shd w:val="clear" w:color="auto" w:fill="auto"/>
            <w:noWrap/>
            <w:vAlign w:val="center"/>
          </w:tcPr>
          <w:p w14:paraId="70ECAD2B">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821" w:type="pct"/>
            <w:shd w:val="clear" w:color="auto" w:fill="auto"/>
            <w:noWrap/>
            <w:vAlign w:val="center"/>
          </w:tcPr>
          <w:p w14:paraId="31E97DF7">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数据库服务器</w:t>
            </w:r>
          </w:p>
        </w:tc>
        <w:tc>
          <w:tcPr>
            <w:tcW w:w="2612" w:type="pct"/>
            <w:shd w:val="clear" w:color="auto" w:fill="auto"/>
            <w:vAlign w:val="center"/>
          </w:tcPr>
          <w:p w14:paraId="56630277">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CPU：≥16核心</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 xml:space="preserve">内存：≥64G  </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硬盘：≥4T</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数据库：国产数据库</w:t>
            </w:r>
          </w:p>
        </w:tc>
        <w:tc>
          <w:tcPr>
            <w:tcW w:w="301" w:type="pct"/>
            <w:shd w:val="clear" w:color="auto" w:fill="auto"/>
            <w:noWrap/>
            <w:vAlign w:val="center"/>
          </w:tcPr>
          <w:p w14:paraId="3E33F06F">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 </w:t>
            </w:r>
          </w:p>
        </w:tc>
        <w:tc>
          <w:tcPr>
            <w:tcW w:w="302" w:type="pct"/>
            <w:shd w:val="clear" w:color="auto" w:fill="auto"/>
            <w:noWrap/>
            <w:vAlign w:val="center"/>
          </w:tcPr>
          <w:p w14:paraId="4FA52A6E">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台</w:t>
            </w:r>
          </w:p>
        </w:tc>
      </w:tr>
      <w:tr w14:paraId="5C2BB9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0" w:hRule="atLeast"/>
        </w:trPr>
        <w:tc>
          <w:tcPr>
            <w:tcW w:w="962" w:type="pct"/>
            <w:shd w:val="clear" w:color="auto" w:fill="auto"/>
            <w:noWrap/>
            <w:vAlign w:val="center"/>
          </w:tcPr>
          <w:p w14:paraId="7DC592C1">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821" w:type="pct"/>
            <w:shd w:val="clear" w:color="auto" w:fill="auto"/>
            <w:noWrap/>
            <w:vAlign w:val="center"/>
          </w:tcPr>
          <w:p w14:paraId="32B0E912">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应用服务器</w:t>
            </w:r>
          </w:p>
        </w:tc>
        <w:tc>
          <w:tcPr>
            <w:tcW w:w="2612" w:type="pct"/>
            <w:shd w:val="clear" w:color="auto" w:fill="auto"/>
            <w:vAlign w:val="center"/>
          </w:tcPr>
          <w:p w14:paraId="249D7C91">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CPU：≥16核心</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 xml:space="preserve">内存：≥64G  </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硬盘：≥2T</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操作系统：国产操作系统</w:t>
            </w:r>
          </w:p>
        </w:tc>
        <w:tc>
          <w:tcPr>
            <w:tcW w:w="301" w:type="pct"/>
            <w:shd w:val="clear" w:color="auto" w:fill="auto"/>
            <w:noWrap/>
            <w:vAlign w:val="center"/>
          </w:tcPr>
          <w:p w14:paraId="533A44A5">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 </w:t>
            </w:r>
          </w:p>
        </w:tc>
        <w:tc>
          <w:tcPr>
            <w:tcW w:w="302" w:type="pct"/>
            <w:shd w:val="clear" w:color="auto" w:fill="auto"/>
            <w:noWrap/>
            <w:vAlign w:val="center"/>
          </w:tcPr>
          <w:p w14:paraId="00D02806">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台</w:t>
            </w:r>
          </w:p>
        </w:tc>
      </w:tr>
      <w:bookmarkEnd w:id="6"/>
    </w:tbl>
    <w:p w14:paraId="3A60EF9C">
      <w:pPr>
        <w:ind w:left="0" w:leftChars="0" w:firstLine="0" w:firstLineChars="0"/>
        <w:rPr>
          <w:rFonts w:hint="eastAsia" w:eastAsia="仿宋_GB2312"/>
          <w:lang w:val="en-US" w:eastAsia="zh-CN"/>
        </w:rPr>
      </w:pPr>
      <w:bookmarkStart w:id="434" w:name="_GoBack"/>
      <w:bookmarkEnd w:id="434"/>
    </w:p>
    <w:sectPr>
      <w:footerReference r:id="rId6" w:type="default"/>
      <w:pgSz w:w="11906" w:h="16838"/>
      <w:pgMar w:top="1440" w:right="1800" w:bottom="1440" w:left="1800" w:header="851" w:footer="992" w:gutter="0"/>
      <w:pgNumType w:fmt="decimal"/>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480"/>
      </w:pPr>
      <w:r>
        <w:separator/>
      </w:r>
    </w:p>
  </w:endnote>
  <w:endnote w:type="continuationSeparator" w:id="1">
    <w:p>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8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embedRegular r:id="rId1" w:fontKey="{997CB039-355C-4F2A-9704-DCD3C9E3E762}"/>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2" w:fontKey="{176C6060-0E52-4809-BE69-4AA6B3E5722B}"/>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embedRegular r:id="rId3" w:fontKey="{8476ACEE-93DD-4DB5-8591-DDD6E0333272}"/>
  </w:font>
  <w:font w:name="Calibri Light">
    <w:panose1 w:val="020F0302020204030204"/>
    <w:charset w:val="00"/>
    <w:family w:val="swiss"/>
    <w:pitch w:val="default"/>
    <w:sig w:usb0="E0002A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理德细圆简">
    <w:altName w:val="宋体"/>
    <w:panose1 w:val="00000000000000000000"/>
    <w:charset w:val="86"/>
    <w:family w:val="modern"/>
    <w:pitch w:val="default"/>
    <w:sig w:usb0="00000000" w:usb1="00000000" w:usb2="00000010" w:usb3="00000000" w:csb0="00040000" w:csb1="00000000"/>
  </w:font>
  <w:font w:name="等线">
    <w:panose1 w:val="02010600030101010101"/>
    <w:charset w:val="86"/>
    <w:family w:val="auto"/>
    <w:pitch w:val="default"/>
    <w:sig w:usb0="A00002BF" w:usb1="38CF7CFA" w:usb2="00000016" w:usb3="00000000" w:csb0="0004000F" w:csb1="00000000"/>
  </w:font>
  <w:font w:name="方正小标宋简体">
    <w:panose1 w:val="02000000000000000000"/>
    <w:charset w:val="86"/>
    <w:family w:val="auto"/>
    <w:pitch w:val="default"/>
    <w:sig w:usb0="00000001" w:usb1="08000000" w:usb2="00000000" w:usb3="00000000" w:csb0="00040000" w:csb1="00000000"/>
    <w:embedRegular r:id="rId4" w:fontKey="{35680B25-0CE3-47CE-B0F8-EAC89EEBF94B}"/>
  </w:font>
  <w:font w:name="仿宋">
    <w:panose1 w:val="02010609060101010101"/>
    <w:charset w:val="86"/>
    <w:family w:val="modern"/>
    <w:pitch w:val="default"/>
    <w:sig w:usb0="800002BF" w:usb1="38CF7CFA" w:usb2="00000016" w:usb3="00000000" w:csb0="00040001" w:csb1="00000000"/>
    <w:embedRegular r:id="rId5" w:fontKey="{0DB96C8E-9C4B-495C-B241-C5FDC571BFAC}"/>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B82BA75">
    <w:pPr>
      <w:pStyle w:val="18"/>
      <w:ind w:firstLine="360"/>
      <w:jc w:val="center"/>
    </w:pPr>
  </w:p>
  <w:p w14:paraId="22B6D15A">
    <w:pPr>
      <w:pStyle w:val="16"/>
      <w:ind w:left="0" w:leftChars="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74BFE4D">
    <w:pPr>
      <w:pStyle w:val="18"/>
      <w:ind w:firstLine="360"/>
      <w:jc w:val="center"/>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3" name="文本框 1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2713B7A1">
                          <w:pPr>
                            <w:pStyle w:val="18"/>
                            <w:ind w:firstLine="360"/>
                            <w:jc w:val="center"/>
                            <w:rPr>
                              <w:rFonts w:hint="eastAsia" w:ascii="宋体" w:hAnsi="宋体" w:eastAsia="宋体" w:cs="宋体"/>
                            </w:rPr>
                          </w:pPr>
                          <w:r>
                            <w:rPr>
                              <w:rFonts w:hint="eastAsia" w:ascii="宋体" w:hAnsi="宋体" w:eastAsia="宋体" w:cs="宋体"/>
                            </w:rPr>
                            <w:fldChar w:fldCharType="begin"/>
                          </w:r>
                          <w:r>
                            <w:rPr>
                              <w:rFonts w:hint="eastAsia" w:ascii="宋体" w:hAnsi="宋体" w:eastAsia="宋体" w:cs="宋体"/>
                            </w:rPr>
                            <w:instrText xml:space="preserve">PAGE   \* MERGEFORMAT</w:instrText>
                          </w:r>
                          <w:r>
                            <w:rPr>
                              <w:rFonts w:hint="eastAsia" w:ascii="宋体" w:hAnsi="宋体" w:eastAsia="宋体" w:cs="宋体"/>
                            </w:rPr>
                            <w:fldChar w:fldCharType="separate"/>
                          </w:r>
                          <w:r>
                            <w:rPr>
                              <w:rFonts w:hint="eastAsia" w:ascii="宋体" w:hAnsi="宋体" w:eastAsia="宋体" w:cs="宋体"/>
                              <w:lang w:val="zh-CN"/>
                            </w:rPr>
                            <w:t>2</w:t>
                          </w:r>
                          <w:r>
                            <w:rPr>
                              <w:rFonts w:hint="eastAsia" w:ascii="宋体" w:hAnsi="宋体" w:eastAsia="宋体" w:cs="宋体"/>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AG2SbqyQEAAJsDAAAOAAAAAAAAAAEAIAAAAB4BAABkcnMvZTJvRG9j&#10;LnhtbFBLBQYAAAAABgAGAFkBAABZBQAAAAA=&#10;">
              <v:fill on="f" focussize="0,0"/>
              <v:stroke on="f"/>
              <v:imagedata o:title=""/>
              <o:lock v:ext="edit" aspectratio="f"/>
              <v:textbox inset="0mm,0mm,0mm,0mm" style="mso-fit-shape-to-text:t;">
                <w:txbxContent>
                  <w:p w14:paraId="2713B7A1">
                    <w:pPr>
                      <w:pStyle w:val="18"/>
                      <w:ind w:firstLine="360"/>
                      <w:jc w:val="center"/>
                      <w:rPr>
                        <w:rFonts w:hint="eastAsia" w:ascii="宋体" w:hAnsi="宋体" w:eastAsia="宋体" w:cs="宋体"/>
                      </w:rPr>
                    </w:pPr>
                    <w:r>
                      <w:rPr>
                        <w:rFonts w:hint="eastAsia" w:ascii="宋体" w:hAnsi="宋体" w:eastAsia="宋体" w:cs="宋体"/>
                      </w:rPr>
                      <w:fldChar w:fldCharType="begin"/>
                    </w:r>
                    <w:r>
                      <w:rPr>
                        <w:rFonts w:hint="eastAsia" w:ascii="宋体" w:hAnsi="宋体" w:eastAsia="宋体" w:cs="宋体"/>
                      </w:rPr>
                      <w:instrText xml:space="preserve">PAGE   \* MERGEFORMAT</w:instrText>
                    </w:r>
                    <w:r>
                      <w:rPr>
                        <w:rFonts w:hint="eastAsia" w:ascii="宋体" w:hAnsi="宋体" w:eastAsia="宋体" w:cs="宋体"/>
                      </w:rPr>
                      <w:fldChar w:fldCharType="separate"/>
                    </w:r>
                    <w:r>
                      <w:rPr>
                        <w:rFonts w:hint="eastAsia" w:ascii="宋体" w:hAnsi="宋体" w:eastAsia="宋体" w:cs="宋体"/>
                        <w:lang w:val="zh-CN"/>
                      </w:rPr>
                      <w:t>2</w:t>
                    </w:r>
                    <w:r>
                      <w:rPr>
                        <w:rFonts w:hint="eastAsia" w:ascii="宋体" w:hAnsi="宋体" w:eastAsia="宋体" w:cs="宋体"/>
                      </w:rPr>
                      <w:fldChar w:fldCharType="end"/>
                    </w:r>
                  </w:p>
                </w:txbxContent>
              </v:textbox>
            </v:shape>
          </w:pict>
        </mc:Fallback>
      </mc:AlternateContent>
    </w:r>
  </w:p>
  <w:p w14:paraId="396D79FC">
    <w:pPr>
      <w:pStyle w:val="16"/>
      <w:ind w:left="0" w:leftChars="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480"/>
      </w:pPr>
      <w:r>
        <w:separator/>
      </w:r>
    </w:p>
  </w:footnote>
  <w:footnote w:type="continuationSeparator" w:id="1">
    <w:p>
      <w:pPr>
        <w:spacing w:line="240" w:lineRule="auto"/>
        <w:ind w:firstLine="48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38D69AA"/>
    <w:multiLevelType w:val="singleLevel"/>
    <w:tmpl w:val="838D69AA"/>
    <w:lvl w:ilvl="0" w:tentative="0">
      <w:start w:val="1"/>
      <w:numFmt w:val="chineseCounting"/>
      <w:suff w:val="nothing"/>
      <w:lvlText w:val="%1、"/>
      <w:lvlJc w:val="left"/>
      <w:pPr>
        <w:ind w:left="0" w:firstLine="420"/>
      </w:pPr>
      <w:rPr>
        <w:rFonts w:hint="eastAsia"/>
      </w:rPr>
    </w:lvl>
  </w:abstractNum>
  <w:abstractNum w:abstractNumId="1">
    <w:nsid w:val="BCBD5799"/>
    <w:multiLevelType w:val="multilevel"/>
    <w:tmpl w:val="BCBD5799"/>
    <w:lvl w:ilvl="0" w:tentative="0">
      <w:start w:val="1"/>
      <w:numFmt w:val="chineseCounting"/>
      <w:pStyle w:val="2"/>
      <w:suff w:val="space"/>
      <w:lvlText w:val="第%1章 "/>
      <w:lvlJc w:val="left"/>
      <w:pPr>
        <w:tabs>
          <w:tab w:val="left" w:pos="0"/>
        </w:tabs>
        <w:ind w:left="0" w:firstLine="0"/>
      </w:pPr>
      <w:rPr>
        <w:rFonts w:hint="eastAsia" w:ascii="宋体" w:hAnsi="宋体" w:eastAsia="黑体" w:cs="宋体"/>
        <w:b w:val="0"/>
        <w:i w:val="0"/>
        <w:sz w:val="32"/>
        <w:szCs w:val="36"/>
      </w:rPr>
    </w:lvl>
    <w:lvl w:ilvl="1" w:tentative="0">
      <w:start w:val="1"/>
      <w:numFmt w:val="decimal"/>
      <w:pStyle w:val="3"/>
      <w:isLgl/>
      <w:lvlText w:val="%1.%2 "/>
      <w:lvlJc w:val="left"/>
      <w:pPr>
        <w:tabs>
          <w:tab w:val="left" w:pos="0"/>
        </w:tabs>
        <w:ind w:left="0" w:leftChars="0" w:firstLine="0" w:firstLineChars="0"/>
      </w:pPr>
      <w:rPr>
        <w:rFonts w:hint="eastAsia" w:ascii="黑体" w:hAnsi="黑体" w:eastAsia="黑体" w:cs="宋体"/>
        <w:b w:val="0"/>
        <w:bCs w:val="0"/>
        <w:i w:val="0"/>
        <w:iCs w:val="0"/>
        <w:caps w:val="0"/>
        <w:smallCaps w:val="0"/>
        <w:vanish w:val="0"/>
        <w:spacing w:val="0"/>
        <w:position w:val="0"/>
        <w:sz w:val="24"/>
        <w:u w:val="none"/>
        <w:vertAlign w:val="baseline"/>
      </w:rPr>
    </w:lvl>
    <w:lvl w:ilvl="2" w:tentative="0">
      <w:start w:val="1"/>
      <w:numFmt w:val="decimal"/>
      <w:pStyle w:val="4"/>
      <w:isLgl/>
      <w:suff w:val="space"/>
      <w:lvlText w:val="%1.%2.%3 "/>
      <w:lvlJc w:val="left"/>
      <w:pPr>
        <w:tabs>
          <w:tab w:val="left" w:pos="0"/>
        </w:tabs>
        <w:ind w:left="0" w:leftChars="0" w:firstLine="0" w:firstLineChars="0"/>
      </w:pPr>
      <w:rPr>
        <w:rFonts w:hint="eastAsia" w:ascii="黑体" w:hAnsi="黑体" w:eastAsia="黑体" w:cs="黑体"/>
        <w:b w:val="0"/>
        <w:bCs w:val="0"/>
        <w:i w:val="0"/>
        <w:iCs w:val="0"/>
        <w:caps w:val="0"/>
        <w:smallCaps w:val="0"/>
        <w:vanish w:val="0"/>
        <w:spacing w:val="0"/>
        <w:position w:val="0"/>
        <w:sz w:val="24"/>
        <w:szCs w:val="24"/>
        <w:u w:val="none"/>
        <w:vertAlign w:val="baseline"/>
        <w:lang w:eastAsia="zh-CN"/>
      </w:rPr>
    </w:lvl>
    <w:lvl w:ilvl="3" w:tentative="0">
      <w:start w:val="1"/>
      <w:numFmt w:val="decimal"/>
      <w:pStyle w:val="5"/>
      <w:isLgl/>
      <w:suff w:val="space"/>
      <w:lvlText w:val="%1.%2.%3.%4 "/>
      <w:lvlJc w:val="left"/>
      <w:pPr>
        <w:tabs>
          <w:tab w:val="left" w:pos="0"/>
        </w:tabs>
        <w:ind w:left="0" w:leftChars="0" w:firstLine="0" w:firstLineChars="0"/>
      </w:pPr>
      <w:rPr>
        <w:rFonts w:hint="eastAsia" w:ascii="黑体" w:hAnsi="黑体" w:eastAsia="黑体" w:cs="黑体"/>
        <w:b w:val="0"/>
        <w:bCs w:val="0"/>
        <w:i w:val="0"/>
        <w:iCs w:val="0"/>
        <w:caps w:val="0"/>
        <w:smallCaps w:val="0"/>
        <w:vanish w:val="0"/>
        <w:color w:val="auto"/>
        <w:spacing w:val="0"/>
        <w:position w:val="0"/>
        <w:sz w:val="24"/>
        <w:szCs w:val="24"/>
        <w:u w:val="none"/>
        <w:vertAlign w:val="baseline"/>
      </w:rPr>
    </w:lvl>
    <w:lvl w:ilvl="4" w:tentative="0">
      <w:start w:val="1"/>
      <w:numFmt w:val="decimal"/>
      <w:pStyle w:val="6"/>
      <w:isLgl/>
      <w:lvlText w:val="%1.%2.%3.%4.%5 "/>
      <w:lvlJc w:val="left"/>
      <w:pPr>
        <w:tabs>
          <w:tab w:val="left" w:pos="0"/>
        </w:tabs>
        <w:ind w:left="-480" w:firstLine="0"/>
      </w:pPr>
      <w:rPr>
        <w:rFonts w:hint="eastAsia" w:ascii="宋体" w:hAnsi="宋体" w:eastAsia="宋体" w:cs="宋体"/>
        <w:b w:val="0"/>
        <w:i w:val="0"/>
        <w:color w:val="auto"/>
        <w:sz w:val="24"/>
      </w:rPr>
    </w:lvl>
    <w:lvl w:ilvl="5" w:tentative="0">
      <w:start w:val="1"/>
      <w:numFmt w:val="decimal"/>
      <w:pStyle w:val="7"/>
      <w:isLgl/>
      <w:lvlText w:val="%1.%2.%3.%4.%5.%6"/>
      <w:lvlJc w:val="left"/>
      <w:pPr>
        <w:tabs>
          <w:tab w:val="left" w:pos="0"/>
        </w:tabs>
        <w:ind w:left="0" w:firstLine="0"/>
      </w:pPr>
      <w:rPr>
        <w:rFonts w:hint="eastAsia" w:ascii="宋体" w:hAnsi="宋体" w:eastAsia="宋体" w:cs="宋体"/>
      </w:rPr>
    </w:lvl>
    <w:lvl w:ilvl="6" w:tentative="0">
      <w:start w:val="1"/>
      <w:numFmt w:val="decimal"/>
      <w:pStyle w:val="8"/>
      <w:isLgl/>
      <w:lvlText w:val="%1.%2.%3.%4.%5.%6.%7"/>
      <w:lvlJc w:val="left"/>
      <w:pPr>
        <w:tabs>
          <w:tab w:val="left" w:pos="0"/>
        </w:tabs>
        <w:ind w:left="0" w:firstLine="0"/>
      </w:pPr>
      <w:rPr>
        <w:rFonts w:hint="eastAsia" w:ascii="宋体" w:hAnsi="宋体" w:eastAsia="宋体" w:cs="宋体"/>
        <w:b w:val="0"/>
        <w:i w:val="0"/>
        <w:sz w:val="24"/>
      </w:rPr>
    </w:lvl>
    <w:lvl w:ilvl="7" w:tentative="0">
      <w:start w:val="1"/>
      <w:numFmt w:val="decimal"/>
      <w:pStyle w:val="9"/>
      <w:lvlText w:val="%1.%2.%3.%4.%5.%6.%7.%8"/>
      <w:lvlJc w:val="left"/>
      <w:pPr>
        <w:tabs>
          <w:tab w:val="left" w:pos="420"/>
        </w:tabs>
        <w:ind w:left="0" w:firstLine="0"/>
      </w:pPr>
      <w:rPr>
        <w:rFonts w:hint="eastAsia" w:ascii="宋体" w:hAnsi="宋体" w:eastAsia="宋体" w:cs="宋体"/>
        <w:b w:val="0"/>
        <w:i w:val="0"/>
        <w:sz w:val="21"/>
      </w:rPr>
    </w:lvl>
    <w:lvl w:ilvl="8" w:tentative="0">
      <w:start w:val="1"/>
      <w:numFmt w:val="decimal"/>
      <w:pStyle w:val="10"/>
      <w:isLgl/>
      <w:lvlText w:val="%1.%2.%3.%4.%5.%6.%7.%8.%9"/>
      <w:lvlJc w:val="left"/>
      <w:pPr>
        <w:tabs>
          <w:tab w:val="left" w:pos="0"/>
        </w:tabs>
        <w:ind w:left="0" w:firstLine="0"/>
      </w:pPr>
      <w:rPr>
        <w:rFonts w:hint="eastAsia" w:ascii="宋体" w:hAnsi="宋体" w:eastAsia="宋体" w:cs="宋体"/>
        <w:b w:val="0"/>
        <w:i w:val="0"/>
        <w:sz w:val="21"/>
      </w:rPr>
    </w:lvl>
  </w:abstractNum>
  <w:abstractNum w:abstractNumId="2">
    <w:nsid w:val="BDA17B7E"/>
    <w:multiLevelType w:val="singleLevel"/>
    <w:tmpl w:val="BDA17B7E"/>
    <w:lvl w:ilvl="0" w:tentative="0">
      <w:start w:val="1"/>
      <w:numFmt w:val="bullet"/>
      <w:pStyle w:val="13"/>
      <w:lvlText w:val=""/>
      <w:lvlJc w:val="left"/>
      <w:pPr>
        <w:tabs>
          <w:tab w:val="left" w:pos="360"/>
        </w:tabs>
        <w:ind w:left="360" w:hanging="360"/>
      </w:pPr>
      <w:rPr>
        <w:rFonts w:hint="default" w:ascii="Wingdings" w:hAnsi="Wingdings"/>
      </w:rPr>
    </w:lvl>
  </w:abstractNum>
  <w:abstractNum w:abstractNumId="3">
    <w:nsid w:val="02FE6F32"/>
    <w:multiLevelType w:val="multilevel"/>
    <w:tmpl w:val="02FE6F32"/>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4">
    <w:nsid w:val="11065677"/>
    <w:multiLevelType w:val="multilevel"/>
    <w:tmpl w:val="11065677"/>
    <w:lvl w:ilvl="0" w:tentative="0">
      <w:start w:val="1"/>
      <w:numFmt w:val="bullet"/>
      <w:lvlText w:val=""/>
      <w:lvlJc w:val="left"/>
      <w:pPr>
        <w:ind w:left="945" w:hanging="420"/>
      </w:pPr>
      <w:rPr>
        <w:rFonts w:hint="default" w:ascii="Wingdings" w:hAnsi="Wingdings"/>
      </w:rPr>
    </w:lvl>
    <w:lvl w:ilvl="1" w:tentative="0">
      <w:start w:val="1"/>
      <w:numFmt w:val="bullet"/>
      <w:lvlText w:val=""/>
      <w:lvlJc w:val="left"/>
      <w:pPr>
        <w:ind w:left="1365" w:hanging="420"/>
      </w:pPr>
      <w:rPr>
        <w:rFonts w:hint="default" w:ascii="Wingdings" w:hAnsi="Wingdings"/>
      </w:rPr>
    </w:lvl>
    <w:lvl w:ilvl="2" w:tentative="0">
      <w:start w:val="1"/>
      <w:numFmt w:val="bullet"/>
      <w:lvlText w:val=""/>
      <w:lvlJc w:val="left"/>
      <w:pPr>
        <w:ind w:left="1785" w:hanging="420"/>
      </w:pPr>
      <w:rPr>
        <w:rFonts w:hint="default" w:ascii="Wingdings" w:hAnsi="Wingdings"/>
      </w:rPr>
    </w:lvl>
    <w:lvl w:ilvl="3" w:tentative="0">
      <w:start w:val="1"/>
      <w:numFmt w:val="bullet"/>
      <w:lvlText w:val=""/>
      <w:lvlJc w:val="left"/>
      <w:pPr>
        <w:ind w:left="2205" w:hanging="420"/>
      </w:pPr>
      <w:rPr>
        <w:rFonts w:hint="default" w:ascii="Wingdings" w:hAnsi="Wingdings"/>
      </w:rPr>
    </w:lvl>
    <w:lvl w:ilvl="4" w:tentative="0">
      <w:start w:val="1"/>
      <w:numFmt w:val="bullet"/>
      <w:lvlText w:val=""/>
      <w:lvlJc w:val="left"/>
      <w:pPr>
        <w:ind w:left="2625" w:hanging="420"/>
      </w:pPr>
      <w:rPr>
        <w:rFonts w:hint="default" w:ascii="Wingdings" w:hAnsi="Wingdings"/>
      </w:rPr>
    </w:lvl>
    <w:lvl w:ilvl="5" w:tentative="0">
      <w:start w:val="1"/>
      <w:numFmt w:val="bullet"/>
      <w:lvlText w:val=""/>
      <w:lvlJc w:val="left"/>
      <w:pPr>
        <w:ind w:left="3045" w:hanging="420"/>
      </w:pPr>
      <w:rPr>
        <w:rFonts w:hint="default" w:ascii="Wingdings" w:hAnsi="Wingdings"/>
      </w:rPr>
    </w:lvl>
    <w:lvl w:ilvl="6" w:tentative="0">
      <w:start w:val="1"/>
      <w:numFmt w:val="bullet"/>
      <w:lvlText w:val=""/>
      <w:lvlJc w:val="left"/>
      <w:pPr>
        <w:ind w:left="3465" w:hanging="420"/>
      </w:pPr>
      <w:rPr>
        <w:rFonts w:hint="default" w:ascii="Wingdings" w:hAnsi="Wingdings"/>
      </w:rPr>
    </w:lvl>
    <w:lvl w:ilvl="7" w:tentative="0">
      <w:start w:val="1"/>
      <w:numFmt w:val="bullet"/>
      <w:lvlText w:val=""/>
      <w:lvlJc w:val="left"/>
      <w:pPr>
        <w:ind w:left="3885" w:hanging="420"/>
      </w:pPr>
      <w:rPr>
        <w:rFonts w:hint="default" w:ascii="Wingdings" w:hAnsi="Wingdings"/>
      </w:rPr>
    </w:lvl>
    <w:lvl w:ilvl="8" w:tentative="0">
      <w:start w:val="1"/>
      <w:numFmt w:val="bullet"/>
      <w:lvlText w:val=""/>
      <w:lvlJc w:val="left"/>
      <w:pPr>
        <w:ind w:left="4305" w:hanging="420"/>
      </w:pPr>
      <w:rPr>
        <w:rFonts w:hint="default" w:ascii="Wingdings" w:hAnsi="Wingdings"/>
      </w:rPr>
    </w:lvl>
  </w:abstractNum>
  <w:abstractNum w:abstractNumId="5">
    <w:nsid w:val="33D82ACA"/>
    <w:multiLevelType w:val="multilevel"/>
    <w:tmpl w:val="33D82ACA"/>
    <w:lvl w:ilvl="0" w:tentative="0">
      <w:start w:val="1"/>
      <w:numFmt w:val="bullet"/>
      <w:lvlText w:val=""/>
      <w:lvlJc w:val="left"/>
      <w:pPr>
        <w:ind w:left="840" w:hanging="420"/>
      </w:pPr>
      <w:rPr>
        <w:rFonts w:hint="default" w:ascii="Wingdings" w:hAnsi="Wingdings"/>
      </w:rPr>
    </w:lvl>
    <w:lvl w:ilvl="1" w:tentative="0">
      <w:start w:val="1"/>
      <w:numFmt w:val="bullet"/>
      <w:lvlText w:val=""/>
      <w:lvlJc w:val="left"/>
      <w:pPr>
        <w:ind w:left="1260" w:hanging="420"/>
      </w:pPr>
      <w:rPr>
        <w:rFonts w:hint="default" w:ascii="Wingdings" w:hAnsi="Wingdings"/>
      </w:rPr>
    </w:lvl>
    <w:lvl w:ilvl="2" w:tentative="0">
      <w:start w:val="1"/>
      <w:numFmt w:val="bullet"/>
      <w:lvlText w:val=""/>
      <w:lvlJc w:val="left"/>
      <w:pPr>
        <w:ind w:left="1680" w:hanging="420"/>
      </w:pPr>
      <w:rPr>
        <w:rFonts w:hint="default" w:ascii="Wingdings" w:hAnsi="Wingdings"/>
      </w:rPr>
    </w:lvl>
    <w:lvl w:ilvl="3" w:tentative="0">
      <w:start w:val="1"/>
      <w:numFmt w:val="bullet"/>
      <w:lvlText w:val=""/>
      <w:lvlJc w:val="left"/>
      <w:pPr>
        <w:ind w:left="2100" w:hanging="420"/>
      </w:pPr>
      <w:rPr>
        <w:rFonts w:hint="default" w:ascii="Wingdings" w:hAnsi="Wingdings"/>
      </w:rPr>
    </w:lvl>
    <w:lvl w:ilvl="4" w:tentative="0">
      <w:start w:val="1"/>
      <w:numFmt w:val="bullet"/>
      <w:lvlText w:val=""/>
      <w:lvlJc w:val="left"/>
      <w:pPr>
        <w:ind w:left="2520" w:hanging="420"/>
      </w:pPr>
      <w:rPr>
        <w:rFonts w:hint="default" w:ascii="Wingdings" w:hAnsi="Wingdings"/>
      </w:rPr>
    </w:lvl>
    <w:lvl w:ilvl="5" w:tentative="0">
      <w:start w:val="1"/>
      <w:numFmt w:val="bullet"/>
      <w:lvlText w:val=""/>
      <w:lvlJc w:val="left"/>
      <w:pPr>
        <w:ind w:left="2940" w:hanging="420"/>
      </w:pPr>
      <w:rPr>
        <w:rFonts w:hint="default" w:ascii="Wingdings" w:hAnsi="Wingdings"/>
      </w:rPr>
    </w:lvl>
    <w:lvl w:ilvl="6" w:tentative="0">
      <w:start w:val="1"/>
      <w:numFmt w:val="bullet"/>
      <w:lvlText w:val=""/>
      <w:lvlJc w:val="left"/>
      <w:pPr>
        <w:ind w:left="3360" w:hanging="420"/>
      </w:pPr>
      <w:rPr>
        <w:rFonts w:hint="default" w:ascii="Wingdings" w:hAnsi="Wingdings"/>
      </w:rPr>
    </w:lvl>
    <w:lvl w:ilvl="7" w:tentative="0">
      <w:start w:val="1"/>
      <w:numFmt w:val="bullet"/>
      <w:lvlText w:val=""/>
      <w:lvlJc w:val="left"/>
      <w:pPr>
        <w:ind w:left="3780" w:hanging="420"/>
      </w:pPr>
      <w:rPr>
        <w:rFonts w:hint="default" w:ascii="Wingdings" w:hAnsi="Wingdings"/>
      </w:rPr>
    </w:lvl>
    <w:lvl w:ilvl="8" w:tentative="0">
      <w:start w:val="1"/>
      <w:numFmt w:val="bullet"/>
      <w:lvlText w:val=""/>
      <w:lvlJc w:val="left"/>
      <w:pPr>
        <w:ind w:left="4200" w:hanging="420"/>
      </w:pPr>
      <w:rPr>
        <w:rFonts w:hint="default" w:ascii="Wingdings" w:hAnsi="Wingdings"/>
      </w:rPr>
    </w:lvl>
  </w:abstractNum>
  <w:abstractNum w:abstractNumId="6">
    <w:nsid w:val="42F26E9B"/>
    <w:multiLevelType w:val="multilevel"/>
    <w:tmpl w:val="42F26E9B"/>
    <w:lvl w:ilvl="0" w:tentative="0">
      <w:start w:val="1"/>
      <w:numFmt w:val="decimal"/>
      <w:lvlText w:val="（%1）"/>
      <w:lvlJc w:val="left"/>
      <w:pPr>
        <w:ind w:left="156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7">
    <w:nsid w:val="58F336D2"/>
    <w:multiLevelType w:val="multilevel"/>
    <w:tmpl w:val="58F336D2"/>
    <w:lvl w:ilvl="0" w:tentative="0">
      <w:start w:val="1"/>
      <w:numFmt w:val="bullet"/>
      <w:lvlText w:val=""/>
      <w:lvlJc w:val="left"/>
      <w:pPr>
        <w:ind w:left="840" w:hanging="420"/>
      </w:pPr>
      <w:rPr>
        <w:rFonts w:hint="default" w:ascii="Wingdings" w:hAnsi="Wingdings"/>
      </w:rPr>
    </w:lvl>
    <w:lvl w:ilvl="1" w:tentative="0">
      <w:start w:val="1"/>
      <w:numFmt w:val="bullet"/>
      <w:lvlText w:val=""/>
      <w:lvlJc w:val="left"/>
      <w:pPr>
        <w:ind w:left="1260" w:hanging="420"/>
      </w:pPr>
      <w:rPr>
        <w:rFonts w:hint="default" w:ascii="Wingdings" w:hAnsi="Wingdings"/>
      </w:rPr>
    </w:lvl>
    <w:lvl w:ilvl="2" w:tentative="0">
      <w:start w:val="1"/>
      <w:numFmt w:val="bullet"/>
      <w:lvlText w:val=""/>
      <w:lvlJc w:val="left"/>
      <w:pPr>
        <w:ind w:left="1680" w:hanging="420"/>
      </w:pPr>
      <w:rPr>
        <w:rFonts w:hint="default" w:ascii="Wingdings" w:hAnsi="Wingdings"/>
      </w:rPr>
    </w:lvl>
    <w:lvl w:ilvl="3" w:tentative="0">
      <w:start w:val="1"/>
      <w:numFmt w:val="bullet"/>
      <w:lvlText w:val=""/>
      <w:lvlJc w:val="left"/>
      <w:pPr>
        <w:ind w:left="2100" w:hanging="420"/>
      </w:pPr>
      <w:rPr>
        <w:rFonts w:hint="default" w:ascii="Wingdings" w:hAnsi="Wingdings"/>
      </w:rPr>
    </w:lvl>
    <w:lvl w:ilvl="4" w:tentative="0">
      <w:start w:val="1"/>
      <w:numFmt w:val="bullet"/>
      <w:lvlText w:val=""/>
      <w:lvlJc w:val="left"/>
      <w:pPr>
        <w:ind w:left="2520" w:hanging="420"/>
      </w:pPr>
      <w:rPr>
        <w:rFonts w:hint="default" w:ascii="Wingdings" w:hAnsi="Wingdings"/>
      </w:rPr>
    </w:lvl>
    <w:lvl w:ilvl="5" w:tentative="0">
      <w:start w:val="1"/>
      <w:numFmt w:val="bullet"/>
      <w:lvlText w:val=""/>
      <w:lvlJc w:val="left"/>
      <w:pPr>
        <w:ind w:left="2940" w:hanging="420"/>
      </w:pPr>
      <w:rPr>
        <w:rFonts w:hint="default" w:ascii="Wingdings" w:hAnsi="Wingdings"/>
      </w:rPr>
    </w:lvl>
    <w:lvl w:ilvl="6" w:tentative="0">
      <w:start w:val="1"/>
      <w:numFmt w:val="bullet"/>
      <w:lvlText w:val=""/>
      <w:lvlJc w:val="left"/>
      <w:pPr>
        <w:ind w:left="3360" w:hanging="420"/>
      </w:pPr>
      <w:rPr>
        <w:rFonts w:hint="default" w:ascii="Wingdings" w:hAnsi="Wingdings"/>
      </w:rPr>
    </w:lvl>
    <w:lvl w:ilvl="7" w:tentative="0">
      <w:start w:val="1"/>
      <w:numFmt w:val="bullet"/>
      <w:lvlText w:val=""/>
      <w:lvlJc w:val="left"/>
      <w:pPr>
        <w:ind w:left="3780" w:hanging="420"/>
      </w:pPr>
      <w:rPr>
        <w:rFonts w:hint="default" w:ascii="Wingdings" w:hAnsi="Wingdings"/>
      </w:rPr>
    </w:lvl>
    <w:lvl w:ilvl="8" w:tentative="0">
      <w:start w:val="1"/>
      <w:numFmt w:val="bullet"/>
      <w:lvlText w:val=""/>
      <w:lvlJc w:val="left"/>
      <w:pPr>
        <w:ind w:left="4200" w:hanging="420"/>
      </w:pPr>
      <w:rPr>
        <w:rFonts w:hint="default" w:ascii="Wingdings" w:hAnsi="Wingdings"/>
      </w:rPr>
    </w:lvl>
  </w:abstractNum>
  <w:abstractNum w:abstractNumId="8">
    <w:nsid w:val="6E6D1EEB"/>
    <w:multiLevelType w:val="multilevel"/>
    <w:tmpl w:val="6E6D1EEB"/>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9">
    <w:nsid w:val="7598159E"/>
    <w:multiLevelType w:val="multilevel"/>
    <w:tmpl w:val="7598159E"/>
    <w:lvl w:ilvl="0" w:tentative="0">
      <w:start w:val="1"/>
      <w:numFmt w:val="bullet"/>
      <w:lvlText w:val=""/>
      <w:lvlJc w:val="left"/>
      <w:pPr>
        <w:ind w:left="840" w:hanging="420"/>
      </w:pPr>
      <w:rPr>
        <w:rFonts w:hint="default" w:ascii="Wingdings" w:hAnsi="Wingdings"/>
      </w:rPr>
    </w:lvl>
    <w:lvl w:ilvl="1" w:tentative="0">
      <w:start w:val="1"/>
      <w:numFmt w:val="bullet"/>
      <w:lvlText w:val=""/>
      <w:lvlJc w:val="left"/>
      <w:pPr>
        <w:ind w:left="1260" w:hanging="420"/>
      </w:pPr>
      <w:rPr>
        <w:rFonts w:hint="default" w:ascii="Wingdings" w:hAnsi="Wingdings"/>
      </w:rPr>
    </w:lvl>
    <w:lvl w:ilvl="2" w:tentative="0">
      <w:start w:val="1"/>
      <w:numFmt w:val="bullet"/>
      <w:lvlText w:val=""/>
      <w:lvlJc w:val="left"/>
      <w:pPr>
        <w:ind w:left="1680" w:hanging="420"/>
      </w:pPr>
      <w:rPr>
        <w:rFonts w:hint="default" w:ascii="Wingdings" w:hAnsi="Wingdings"/>
      </w:rPr>
    </w:lvl>
    <w:lvl w:ilvl="3" w:tentative="0">
      <w:start w:val="1"/>
      <w:numFmt w:val="bullet"/>
      <w:lvlText w:val=""/>
      <w:lvlJc w:val="left"/>
      <w:pPr>
        <w:ind w:left="2100" w:hanging="420"/>
      </w:pPr>
      <w:rPr>
        <w:rFonts w:hint="default" w:ascii="Wingdings" w:hAnsi="Wingdings"/>
      </w:rPr>
    </w:lvl>
    <w:lvl w:ilvl="4" w:tentative="0">
      <w:start w:val="1"/>
      <w:numFmt w:val="bullet"/>
      <w:lvlText w:val=""/>
      <w:lvlJc w:val="left"/>
      <w:pPr>
        <w:ind w:left="2520" w:hanging="420"/>
      </w:pPr>
      <w:rPr>
        <w:rFonts w:hint="default" w:ascii="Wingdings" w:hAnsi="Wingdings"/>
      </w:rPr>
    </w:lvl>
    <w:lvl w:ilvl="5" w:tentative="0">
      <w:start w:val="1"/>
      <w:numFmt w:val="bullet"/>
      <w:lvlText w:val=""/>
      <w:lvlJc w:val="left"/>
      <w:pPr>
        <w:ind w:left="2940" w:hanging="420"/>
      </w:pPr>
      <w:rPr>
        <w:rFonts w:hint="default" w:ascii="Wingdings" w:hAnsi="Wingdings"/>
      </w:rPr>
    </w:lvl>
    <w:lvl w:ilvl="6" w:tentative="0">
      <w:start w:val="1"/>
      <w:numFmt w:val="bullet"/>
      <w:lvlText w:val=""/>
      <w:lvlJc w:val="left"/>
      <w:pPr>
        <w:ind w:left="3360" w:hanging="420"/>
      </w:pPr>
      <w:rPr>
        <w:rFonts w:hint="default" w:ascii="Wingdings" w:hAnsi="Wingdings"/>
      </w:rPr>
    </w:lvl>
    <w:lvl w:ilvl="7" w:tentative="0">
      <w:start w:val="1"/>
      <w:numFmt w:val="bullet"/>
      <w:lvlText w:val=""/>
      <w:lvlJc w:val="left"/>
      <w:pPr>
        <w:ind w:left="3780" w:hanging="420"/>
      </w:pPr>
      <w:rPr>
        <w:rFonts w:hint="default" w:ascii="Wingdings" w:hAnsi="Wingdings"/>
      </w:rPr>
    </w:lvl>
    <w:lvl w:ilvl="8" w:tentative="0">
      <w:start w:val="1"/>
      <w:numFmt w:val="bullet"/>
      <w:lvlText w:val=""/>
      <w:lvlJc w:val="left"/>
      <w:pPr>
        <w:ind w:left="4200" w:hanging="420"/>
      </w:pPr>
      <w:rPr>
        <w:rFonts w:hint="default" w:ascii="Wingdings" w:hAnsi="Wingdings"/>
      </w:rPr>
    </w:lvl>
  </w:abstractNum>
  <w:abstractNum w:abstractNumId="10">
    <w:nsid w:val="791FAF8D"/>
    <w:multiLevelType w:val="singleLevel"/>
    <w:tmpl w:val="791FAF8D"/>
    <w:lvl w:ilvl="0" w:tentative="0">
      <w:start w:val="1"/>
      <w:numFmt w:val="decimal"/>
      <w:suff w:val="nothing"/>
      <w:lvlText w:val="（%1）"/>
      <w:lvlJc w:val="left"/>
    </w:lvl>
  </w:abstractNum>
  <w:num w:numId="1">
    <w:abstractNumId w:val="1"/>
  </w:num>
  <w:num w:numId="2">
    <w:abstractNumId w:val="2"/>
  </w:num>
  <w:num w:numId="3">
    <w:abstractNumId w:val="0"/>
  </w:num>
  <w:num w:numId="4">
    <w:abstractNumId w:val="5"/>
  </w:num>
  <w:num w:numId="5">
    <w:abstractNumId w:val="4"/>
  </w:num>
  <w:num w:numId="6">
    <w:abstractNumId w:val="3"/>
  </w:num>
  <w:num w:numId="7">
    <w:abstractNumId w:val="6"/>
  </w:num>
  <w:num w:numId="8">
    <w:abstractNumId w:val="9"/>
  </w:num>
  <w:num w:numId="9">
    <w:abstractNumId w:val="7"/>
  </w:num>
  <w:num w:numId="10">
    <w:abstractNumId w:val="10"/>
  </w:num>
  <w:num w:numId="11">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doNotDisplayPageBoundaries w:val="1"/>
  <w:embedTrueTypeFonts/>
  <w:saveSubsetFonts/>
  <w:bordersDoNotSurroundHeader w:val="0"/>
  <w:bordersDoNotSurroundFooter w:val="0"/>
  <w:documentProtection w:enforcement="0"/>
  <w:defaultTabStop w:val="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M3ODYyNWE3MzQyMjBhYjc3OWY2YzM2MzQyZTZmNDMifQ=="/>
  </w:docVars>
  <w:rsids>
    <w:rsidRoot w:val="00172A27"/>
    <w:rsid w:val="00650998"/>
    <w:rsid w:val="01E501B7"/>
    <w:rsid w:val="02551A35"/>
    <w:rsid w:val="026C3884"/>
    <w:rsid w:val="028109C3"/>
    <w:rsid w:val="02AB18A5"/>
    <w:rsid w:val="02DF3C3B"/>
    <w:rsid w:val="02E14424"/>
    <w:rsid w:val="03426418"/>
    <w:rsid w:val="03A31381"/>
    <w:rsid w:val="03AD352B"/>
    <w:rsid w:val="04BE70BD"/>
    <w:rsid w:val="051F632A"/>
    <w:rsid w:val="05B42F17"/>
    <w:rsid w:val="060379FA"/>
    <w:rsid w:val="06497B03"/>
    <w:rsid w:val="078B7CA7"/>
    <w:rsid w:val="07920402"/>
    <w:rsid w:val="07B405F9"/>
    <w:rsid w:val="08413E6D"/>
    <w:rsid w:val="09306D58"/>
    <w:rsid w:val="09523C57"/>
    <w:rsid w:val="09B74D83"/>
    <w:rsid w:val="0A344626"/>
    <w:rsid w:val="0AED7401"/>
    <w:rsid w:val="0B5F3B07"/>
    <w:rsid w:val="0B7C76CD"/>
    <w:rsid w:val="0B8373EF"/>
    <w:rsid w:val="0BA82C90"/>
    <w:rsid w:val="0BF04796"/>
    <w:rsid w:val="0C460641"/>
    <w:rsid w:val="0C9E2F31"/>
    <w:rsid w:val="0CC954FA"/>
    <w:rsid w:val="0DB64F43"/>
    <w:rsid w:val="0E3103FF"/>
    <w:rsid w:val="0F594B35"/>
    <w:rsid w:val="0F9242C9"/>
    <w:rsid w:val="0FA00892"/>
    <w:rsid w:val="0FD9015F"/>
    <w:rsid w:val="10275305"/>
    <w:rsid w:val="107129E6"/>
    <w:rsid w:val="109B71AD"/>
    <w:rsid w:val="10A70D9E"/>
    <w:rsid w:val="10C5422A"/>
    <w:rsid w:val="1111542C"/>
    <w:rsid w:val="115E01DA"/>
    <w:rsid w:val="122351A2"/>
    <w:rsid w:val="13E145A9"/>
    <w:rsid w:val="147A2925"/>
    <w:rsid w:val="15826D42"/>
    <w:rsid w:val="15D53161"/>
    <w:rsid w:val="16666C4E"/>
    <w:rsid w:val="167A66B7"/>
    <w:rsid w:val="17E36B8A"/>
    <w:rsid w:val="182F36D5"/>
    <w:rsid w:val="190C0342"/>
    <w:rsid w:val="1977452F"/>
    <w:rsid w:val="19961EA2"/>
    <w:rsid w:val="1A686111"/>
    <w:rsid w:val="1AC031E1"/>
    <w:rsid w:val="1AF26BDA"/>
    <w:rsid w:val="1B4B7E14"/>
    <w:rsid w:val="1B937501"/>
    <w:rsid w:val="1C2306AB"/>
    <w:rsid w:val="1C4526C3"/>
    <w:rsid w:val="1D111246"/>
    <w:rsid w:val="1D886D0B"/>
    <w:rsid w:val="1E5A1839"/>
    <w:rsid w:val="1F4850E5"/>
    <w:rsid w:val="1F5B4C30"/>
    <w:rsid w:val="1F5F7CD8"/>
    <w:rsid w:val="1F716F0C"/>
    <w:rsid w:val="206F5F60"/>
    <w:rsid w:val="207D242B"/>
    <w:rsid w:val="208D5634"/>
    <w:rsid w:val="20F6042F"/>
    <w:rsid w:val="21575CA8"/>
    <w:rsid w:val="21A45E77"/>
    <w:rsid w:val="21FE57EE"/>
    <w:rsid w:val="2366364A"/>
    <w:rsid w:val="23AB78FA"/>
    <w:rsid w:val="23CD4A35"/>
    <w:rsid w:val="2430502D"/>
    <w:rsid w:val="24960973"/>
    <w:rsid w:val="249D7540"/>
    <w:rsid w:val="24B1142E"/>
    <w:rsid w:val="24BA339E"/>
    <w:rsid w:val="25530000"/>
    <w:rsid w:val="25C55CBF"/>
    <w:rsid w:val="260F5480"/>
    <w:rsid w:val="26FA2FB7"/>
    <w:rsid w:val="274550D7"/>
    <w:rsid w:val="274E7665"/>
    <w:rsid w:val="27A556E5"/>
    <w:rsid w:val="282B4E63"/>
    <w:rsid w:val="290F02E0"/>
    <w:rsid w:val="2962743F"/>
    <w:rsid w:val="2A3D443F"/>
    <w:rsid w:val="2A7A79DB"/>
    <w:rsid w:val="2AF74A05"/>
    <w:rsid w:val="2B054B6B"/>
    <w:rsid w:val="2B195597"/>
    <w:rsid w:val="2BD74490"/>
    <w:rsid w:val="2CBC42DB"/>
    <w:rsid w:val="2CEF240A"/>
    <w:rsid w:val="2D1B721A"/>
    <w:rsid w:val="2D7147C5"/>
    <w:rsid w:val="2DC93154"/>
    <w:rsid w:val="2E5A3DAC"/>
    <w:rsid w:val="2E9030BA"/>
    <w:rsid w:val="2F490AE4"/>
    <w:rsid w:val="2F89790B"/>
    <w:rsid w:val="302A5F43"/>
    <w:rsid w:val="306D11C1"/>
    <w:rsid w:val="30AF4365"/>
    <w:rsid w:val="30E3452C"/>
    <w:rsid w:val="314F40B7"/>
    <w:rsid w:val="31B87071"/>
    <w:rsid w:val="321F662A"/>
    <w:rsid w:val="322D0930"/>
    <w:rsid w:val="324C0413"/>
    <w:rsid w:val="339A10EE"/>
    <w:rsid w:val="33F25B4F"/>
    <w:rsid w:val="34401C96"/>
    <w:rsid w:val="347D6A46"/>
    <w:rsid w:val="354B08F2"/>
    <w:rsid w:val="35B5284A"/>
    <w:rsid w:val="35C42453"/>
    <w:rsid w:val="360B1E2F"/>
    <w:rsid w:val="364264DB"/>
    <w:rsid w:val="3690132A"/>
    <w:rsid w:val="36981402"/>
    <w:rsid w:val="36F52AC4"/>
    <w:rsid w:val="3783349C"/>
    <w:rsid w:val="386E3E21"/>
    <w:rsid w:val="38983E4E"/>
    <w:rsid w:val="392E4FA5"/>
    <w:rsid w:val="39445D84"/>
    <w:rsid w:val="395B37F6"/>
    <w:rsid w:val="39915795"/>
    <w:rsid w:val="3A4D1AD3"/>
    <w:rsid w:val="3AEC1A23"/>
    <w:rsid w:val="3B196D9D"/>
    <w:rsid w:val="3B4C0F20"/>
    <w:rsid w:val="3B653D90"/>
    <w:rsid w:val="3C2E5310"/>
    <w:rsid w:val="3C9F0607"/>
    <w:rsid w:val="3CC03974"/>
    <w:rsid w:val="3CD37981"/>
    <w:rsid w:val="3DA3234D"/>
    <w:rsid w:val="3DBA2C39"/>
    <w:rsid w:val="3E1E3500"/>
    <w:rsid w:val="3E3C523C"/>
    <w:rsid w:val="3E860BED"/>
    <w:rsid w:val="3F1D32FF"/>
    <w:rsid w:val="3F8D234B"/>
    <w:rsid w:val="413E6BC4"/>
    <w:rsid w:val="41877B50"/>
    <w:rsid w:val="41A857EB"/>
    <w:rsid w:val="42A17DA3"/>
    <w:rsid w:val="42AB6E74"/>
    <w:rsid w:val="4305488A"/>
    <w:rsid w:val="43B35FE0"/>
    <w:rsid w:val="43DD4E0B"/>
    <w:rsid w:val="447A4D50"/>
    <w:rsid w:val="447C2876"/>
    <w:rsid w:val="45034F0F"/>
    <w:rsid w:val="457B2EF2"/>
    <w:rsid w:val="45EB31BD"/>
    <w:rsid w:val="45F13B3D"/>
    <w:rsid w:val="46585F18"/>
    <w:rsid w:val="468D44FA"/>
    <w:rsid w:val="46B3404D"/>
    <w:rsid w:val="46D30747"/>
    <w:rsid w:val="471D674F"/>
    <w:rsid w:val="472114B3"/>
    <w:rsid w:val="47BD226C"/>
    <w:rsid w:val="47C05746"/>
    <w:rsid w:val="47D05206"/>
    <w:rsid w:val="483D40CA"/>
    <w:rsid w:val="49135AEB"/>
    <w:rsid w:val="49865E40"/>
    <w:rsid w:val="4A3C07CD"/>
    <w:rsid w:val="4A58343D"/>
    <w:rsid w:val="4A666278"/>
    <w:rsid w:val="4AEE787E"/>
    <w:rsid w:val="4B296B88"/>
    <w:rsid w:val="4B5D333D"/>
    <w:rsid w:val="4B81219C"/>
    <w:rsid w:val="4B9A1834"/>
    <w:rsid w:val="4B9D12AC"/>
    <w:rsid w:val="4BE75898"/>
    <w:rsid w:val="4C1A4723"/>
    <w:rsid w:val="4C583B3A"/>
    <w:rsid w:val="4C73199D"/>
    <w:rsid w:val="4D05121C"/>
    <w:rsid w:val="4D0F7AE0"/>
    <w:rsid w:val="4D180030"/>
    <w:rsid w:val="4D2515D1"/>
    <w:rsid w:val="4D4B1038"/>
    <w:rsid w:val="4D6A1819"/>
    <w:rsid w:val="4E4837C9"/>
    <w:rsid w:val="4E670DAE"/>
    <w:rsid w:val="4ED35788"/>
    <w:rsid w:val="4F3A7D9E"/>
    <w:rsid w:val="4FC450D1"/>
    <w:rsid w:val="4FF43C08"/>
    <w:rsid w:val="50854325"/>
    <w:rsid w:val="51F53C68"/>
    <w:rsid w:val="51FE6127"/>
    <w:rsid w:val="527C695E"/>
    <w:rsid w:val="53250778"/>
    <w:rsid w:val="535B3F9E"/>
    <w:rsid w:val="53D8739D"/>
    <w:rsid w:val="54B020C8"/>
    <w:rsid w:val="54E553BB"/>
    <w:rsid w:val="54F8080A"/>
    <w:rsid w:val="550146D2"/>
    <w:rsid w:val="557E6DAB"/>
    <w:rsid w:val="559A7000"/>
    <w:rsid w:val="55CF47D0"/>
    <w:rsid w:val="561D19DF"/>
    <w:rsid w:val="568253A6"/>
    <w:rsid w:val="56BA6477"/>
    <w:rsid w:val="56D26326"/>
    <w:rsid w:val="57DB745C"/>
    <w:rsid w:val="57E80FEC"/>
    <w:rsid w:val="58255CC0"/>
    <w:rsid w:val="585E1C89"/>
    <w:rsid w:val="592119C7"/>
    <w:rsid w:val="59672842"/>
    <w:rsid w:val="599E2E37"/>
    <w:rsid w:val="59CD4482"/>
    <w:rsid w:val="59F611D6"/>
    <w:rsid w:val="5B6B21F0"/>
    <w:rsid w:val="5BC86170"/>
    <w:rsid w:val="5C8A1451"/>
    <w:rsid w:val="5CB83DAB"/>
    <w:rsid w:val="5DBA7B13"/>
    <w:rsid w:val="5DEC45F9"/>
    <w:rsid w:val="5E225DE5"/>
    <w:rsid w:val="5E2B752F"/>
    <w:rsid w:val="5E350533"/>
    <w:rsid w:val="5E6843C4"/>
    <w:rsid w:val="5E6C0F73"/>
    <w:rsid w:val="5E9860A7"/>
    <w:rsid w:val="5EEF7B11"/>
    <w:rsid w:val="5F9B77FE"/>
    <w:rsid w:val="5FC55956"/>
    <w:rsid w:val="60625BFC"/>
    <w:rsid w:val="60BB59FA"/>
    <w:rsid w:val="61186557"/>
    <w:rsid w:val="61314591"/>
    <w:rsid w:val="6142679E"/>
    <w:rsid w:val="623F53C6"/>
    <w:rsid w:val="62783014"/>
    <w:rsid w:val="62F45C6D"/>
    <w:rsid w:val="63DC347C"/>
    <w:rsid w:val="64D32506"/>
    <w:rsid w:val="64D8544F"/>
    <w:rsid w:val="652561BA"/>
    <w:rsid w:val="654D3F96"/>
    <w:rsid w:val="661306F4"/>
    <w:rsid w:val="66770C98"/>
    <w:rsid w:val="66DE2568"/>
    <w:rsid w:val="67B010BC"/>
    <w:rsid w:val="68283671"/>
    <w:rsid w:val="69BA1984"/>
    <w:rsid w:val="69F84446"/>
    <w:rsid w:val="6A5B5A4A"/>
    <w:rsid w:val="6A6D6639"/>
    <w:rsid w:val="6A941E18"/>
    <w:rsid w:val="6AC128B3"/>
    <w:rsid w:val="6BE90FFB"/>
    <w:rsid w:val="6BFC7B3D"/>
    <w:rsid w:val="6C7941E1"/>
    <w:rsid w:val="6CBC5656"/>
    <w:rsid w:val="6D4279D2"/>
    <w:rsid w:val="6D480922"/>
    <w:rsid w:val="6D7408C2"/>
    <w:rsid w:val="6DD21DD4"/>
    <w:rsid w:val="6DF15434"/>
    <w:rsid w:val="6E5071BE"/>
    <w:rsid w:val="6EA66658"/>
    <w:rsid w:val="6EB5235D"/>
    <w:rsid w:val="6ED53C62"/>
    <w:rsid w:val="6F912D7B"/>
    <w:rsid w:val="6FC0545D"/>
    <w:rsid w:val="6FEB39B4"/>
    <w:rsid w:val="702B3F0C"/>
    <w:rsid w:val="70844A1B"/>
    <w:rsid w:val="70950698"/>
    <w:rsid w:val="709F1517"/>
    <w:rsid w:val="721940E2"/>
    <w:rsid w:val="72276209"/>
    <w:rsid w:val="72F80B5C"/>
    <w:rsid w:val="73C05A2C"/>
    <w:rsid w:val="73E6120B"/>
    <w:rsid w:val="740F0761"/>
    <w:rsid w:val="74674DBF"/>
    <w:rsid w:val="74A62F57"/>
    <w:rsid w:val="74B17A6A"/>
    <w:rsid w:val="753005DD"/>
    <w:rsid w:val="75556648"/>
    <w:rsid w:val="758B3E18"/>
    <w:rsid w:val="75BF1D13"/>
    <w:rsid w:val="75CF63FA"/>
    <w:rsid w:val="75F72A95"/>
    <w:rsid w:val="760B62A7"/>
    <w:rsid w:val="76164BEC"/>
    <w:rsid w:val="762D1373"/>
    <w:rsid w:val="76C515AB"/>
    <w:rsid w:val="76D214FF"/>
    <w:rsid w:val="76ED2181"/>
    <w:rsid w:val="78ED451A"/>
    <w:rsid w:val="7979723A"/>
    <w:rsid w:val="79A5328D"/>
    <w:rsid w:val="7D020E63"/>
    <w:rsid w:val="7D1A4EA5"/>
    <w:rsid w:val="7D360B0D"/>
    <w:rsid w:val="7D7F3770"/>
    <w:rsid w:val="7D99446D"/>
    <w:rsid w:val="7DC242E0"/>
    <w:rsid w:val="7E7E6F65"/>
    <w:rsid w:val="7F52679D"/>
    <w:rsid w:val="7F7E49E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semiHidden="0" w:name="heading 4"/>
    <w:lsdException w:qFormat="1" w:uiPriority="0" w:semiHidden="0" w:name="heading 5"/>
    <w:lsdException w:qFormat="1" w:uiPriority="0" w:semiHidden="0" w:name="heading 6"/>
    <w:lsdException w:qFormat="1" w:uiPriority="0" w:semiHidden="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qFormat="1" w:unhideWhenUsed="0" w:uiPriority="39"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iPriority="99" w:semiHidden="0" w:name="Normal Indent"/>
    <w:lsdException w:unhideWhenUsed="0" w:uiPriority="0" w:semiHidden="0" w:name="footnote text"/>
    <w:lsdException w:qFormat="1"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qFormat="1"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9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400" w:lineRule="exact"/>
      <w:ind w:firstLine="643" w:firstLineChars="200"/>
      <w:jc w:val="left"/>
    </w:pPr>
    <w:rPr>
      <w:rFonts w:ascii="仿宋_GB2312" w:hAnsi="仿宋_GB2312" w:eastAsia="仿宋_GB2312" w:cstheme="minorBidi"/>
      <w:kern w:val="2"/>
      <w:sz w:val="24"/>
      <w:szCs w:val="22"/>
      <w:lang w:val="en-US" w:eastAsia="zh-CN" w:bidi="ar-SA"/>
    </w:rPr>
  </w:style>
  <w:style w:type="paragraph" w:styleId="2">
    <w:name w:val="heading 1"/>
    <w:basedOn w:val="1"/>
    <w:next w:val="1"/>
    <w:qFormat/>
    <w:uiPriority w:val="0"/>
    <w:pPr>
      <w:keepNext w:val="0"/>
      <w:keepLines w:val="0"/>
      <w:pageBreakBefore/>
      <w:numPr>
        <w:ilvl w:val="0"/>
        <w:numId w:val="1"/>
      </w:numPr>
      <w:spacing w:beforeLines="0" w:beforeAutospacing="0" w:after="360" w:afterLines="0" w:afterAutospacing="0" w:line="240" w:lineRule="auto"/>
      <w:ind w:firstLineChars="0"/>
      <w:jc w:val="center"/>
      <w:outlineLvl w:val="0"/>
    </w:pPr>
    <w:rPr>
      <w:rFonts w:ascii="黑体" w:hAnsi="黑体" w:eastAsia="黑体"/>
      <w:kern w:val="44"/>
      <w:sz w:val="32"/>
    </w:rPr>
  </w:style>
  <w:style w:type="paragraph" w:styleId="3">
    <w:name w:val="heading 2"/>
    <w:basedOn w:val="1"/>
    <w:next w:val="1"/>
    <w:unhideWhenUsed/>
    <w:qFormat/>
    <w:uiPriority w:val="0"/>
    <w:pPr>
      <w:keepNext/>
      <w:keepLines/>
      <w:pageBreakBefore w:val="0"/>
      <w:numPr>
        <w:ilvl w:val="1"/>
        <w:numId w:val="1"/>
      </w:numPr>
      <w:snapToGrid/>
      <w:spacing w:beforeLines="0" w:beforeAutospacing="0" w:afterAutospacing="0" w:line="360" w:lineRule="auto"/>
      <w:jc w:val="left"/>
      <w:outlineLvl w:val="1"/>
    </w:pPr>
    <w:rPr>
      <w:rFonts w:ascii="黑体" w:hAnsi="黑体" w:eastAsia="黑体"/>
    </w:rPr>
  </w:style>
  <w:style w:type="paragraph" w:styleId="4">
    <w:name w:val="heading 3"/>
    <w:basedOn w:val="3"/>
    <w:next w:val="1"/>
    <w:link w:val="37"/>
    <w:unhideWhenUsed/>
    <w:qFormat/>
    <w:uiPriority w:val="0"/>
    <w:pPr>
      <w:keepNext/>
      <w:keepLines/>
      <w:numPr>
        <w:ilvl w:val="2"/>
        <w:numId w:val="1"/>
      </w:numPr>
      <w:spacing w:beforeLines="0" w:beforeAutospacing="0" w:afterLines="0" w:afterAutospacing="0" w:line="400" w:lineRule="exact"/>
      <w:ind w:left="0" w:firstLineChars="0"/>
      <w:outlineLvl w:val="2"/>
    </w:pPr>
    <w:rPr>
      <w:rFonts w:ascii="黑体" w:hAnsi="黑体" w:eastAsia="黑体" w:cs="黑体"/>
    </w:rPr>
  </w:style>
  <w:style w:type="paragraph" w:styleId="5">
    <w:name w:val="heading 4"/>
    <w:basedOn w:val="1"/>
    <w:next w:val="1"/>
    <w:unhideWhenUsed/>
    <w:qFormat/>
    <w:uiPriority w:val="0"/>
    <w:pPr>
      <w:keepNext/>
      <w:keepLines/>
      <w:numPr>
        <w:ilvl w:val="3"/>
        <w:numId w:val="1"/>
      </w:numPr>
      <w:spacing w:beforeLines="0" w:beforeAutospacing="0" w:afterLines="0" w:afterAutospacing="0" w:line="400" w:lineRule="exact"/>
      <w:ind w:left="0" w:firstLineChars="0"/>
      <w:outlineLvl w:val="3"/>
    </w:pPr>
    <w:rPr>
      <w:rFonts w:ascii="黑体" w:hAnsi="黑体"/>
    </w:rPr>
  </w:style>
  <w:style w:type="paragraph" w:styleId="6">
    <w:name w:val="heading 5"/>
    <w:basedOn w:val="1"/>
    <w:next w:val="1"/>
    <w:link w:val="33"/>
    <w:unhideWhenUsed/>
    <w:qFormat/>
    <w:uiPriority w:val="0"/>
    <w:pPr>
      <w:numPr>
        <w:ilvl w:val="4"/>
        <w:numId w:val="1"/>
      </w:numPr>
      <w:ind w:left="0" w:firstLineChars="0"/>
      <w:jc w:val="left"/>
      <w:outlineLvl w:val="4"/>
    </w:pPr>
    <w:rPr>
      <w:rFonts w:ascii="黑体" w:hAnsi="黑体" w:eastAsia="宋体" w:cs="Times New Roman"/>
      <w:szCs w:val="24"/>
    </w:rPr>
  </w:style>
  <w:style w:type="paragraph" w:styleId="7">
    <w:name w:val="heading 6"/>
    <w:basedOn w:val="1"/>
    <w:next w:val="1"/>
    <w:link w:val="29"/>
    <w:unhideWhenUsed/>
    <w:qFormat/>
    <w:uiPriority w:val="0"/>
    <w:pPr>
      <w:keepNext/>
      <w:keepLines/>
      <w:numPr>
        <w:ilvl w:val="5"/>
        <w:numId w:val="1"/>
      </w:numPr>
      <w:ind w:firstLineChars="0"/>
      <w:outlineLvl w:val="5"/>
    </w:pPr>
    <w:rPr>
      <w:rFonts w:ascii="Calibri Light" w:hAnsi="Calibri Light" w:eastAsia="宋体" w:cs="宋体"/>
    </w:rPr>
  </w:style>
  <w:style w:type="paragraph" w:styleId="8">
    <w:name w:val="heading 7"/>
    <w:basedOn w:val="1"/>
    <w:next w:val="1"/>
    <w:link w:val="30"/>
    <w:unhideWhenUsed/>
    <w:qFormat/>
    <w:uiPriority w:val="0"/>
    <w:pPr>
      <w:numPr>
        <w:ilvl w:val="6"/>
        <w:numId w:val="1"/>
      </w:numPr>
      <w:ind w:firstLineChars="0"/>
      <w:outlineLvl w:val="6"/>
    </w:pPr>
    <w:rPr>
      <w:rFonts w:ascii="Calibri" w:hAnsi="Calibri" w:eastAsia="宋体"/>
      <w:bCs/>
    </w:rPr>
  </w:style>
  <w:style w:type="paragraph" w:styleId="9">
    <w:name w:val="heading 8"/>
    <w:basedOn w:val="1"/>
    <w:next w:val="1"/>
    <w:link w:val="32"/>
    <w:semiHidden/>
    <w:unhideWhenUsed/>
    <w:qFormat/>
    <w:uiPriority w:val="0"/>
    <w:pPr>
      <w:keepNext/>
      <w:keepLines/>
      <w:numPr>
        <w:ilvl w:val="7"/>
        <w:numId w:val="1"/>
      </w:numPr>
      <w:tabs>
        <w:tab w:val="left" w:pos="0"/>
      </w:tabs>
      <w:spacing w:before="240" w:after="64" w:line="320" w:lineRule="auto"/>
      <w:ind w:firstLineChars="0"/>
      <w:outlineLvl w:val="7"/>
    </w:pPr>
    <w:rPr>
      <w:rFonts w:ascii="Calibri Light" w:hAnsi="Calibri Light" w:eastAsia="宋体" w:cs="宋体"/>
      <w:sz w:val="24"/>
      <w:szCs w:val="24"/>
    </w:rPr>
  </w:style>
  <w:style w:type="paragraph" w:styleId="10">
    <w:name w:val="heading 9"/>
    <w:basedOn w:val="1"/>
    <w:next w:val="1"/>
    <w:link w:val="31"/>
    <w:semiHidden/>
    <w:unhideWhenUsed/>
    <w:qFormat/>
    <w:uiPriority w:val="0"/>
    <w:pPr>
      <w:keepNext/>
      <w:keepLines/>
      <w:numPr>
        <w:ilvl w:val="8"/>
        <w:numId w:val="1"/>
      </w:numPr>
      <w:tabs>
        <w:tab w:val="left" w:pos="1584"/>
      </w:tabs>
      <w:spacing w:before="240" w:after="64" w:line="320" w:lineRule="auto"/>
      <w:ind w:firstLineChars="0"/>
      <w:outlineLvl w:val="8"/>
    </w:pPr>
    <w:rPr>
      <w:rFonts w:ascii="Arial" w:hAnsi="Arial" w:eastAsia="黑体" w:cs="宋体"/>
      <w:sz w:val="24"/>
      <w:szCs w:val="21"/>
    </w:rPr>
  </w:style>
  <w:style w:type="character" w:default="1" w:styleId="26">
    <w:name w:val="Default Paragraph Font"/>
    <w:semiHidden/>
    <w:unhideWhenUsed/>
    <w:qFormat/>
    <w:uiPriority w:val="1"/>
  </w:style>
  <w:style w:type="table" w:default="1" w:styleId="24">
    <w:name w:val="Normal Table"/>
    <w:semiHidden/>
    <w:qFormat/>
    <w:uiPriority w:val="0"/>
    <w:tblPr>
      <w:tblCellMar>
        <w:top w:w="0" w:type="dxa"/>
        <w:left w:w="108" w:type="dxa"/>
        <w:bottom w:w="0" w:type="dxa"/>
        <w:right w:w="108" w:type="dxa"/>
      </w:tblCellMar>
    </w:tblPr>
  </w:style>
  <w:style w:type="paragraph" w:styleId="11">
    <w:name w:val="Normal Indent"/>
    <w:basedOn w:val="1"/>
    <w:unhideWhenUsed/>
    <w:qFormat/>
    <w:uiPriority w:val="99"/>
    <w:pPr>
      <w:ind w:firstLine="420"/>
    </w:pPr>
  </w:style>
  <w:style w:type="paragraph" w:styleId="12">
    <w:name w:val="caption"/>
    <w:basedOn w:val="1"/>
    <w:next w:val="1"/>
    <w:qFormat/>
    <w:uiPriority w:val="0"/>
    <w:pPr>
      <w:ind w:left="420"/>
    </w:pPr>
    <w:rPr>
      <w:rFonts w:ascii="Cambria" w:hAnsi="Cambria" w:eastAsia="黑体"/>
      <w:sz w:val="20"/>
      <w:szCs w:val="20"/>
      <w:lang w:val="zh-CN"/>
    </w:rPr>
  </w:style>
  <w:style w:type="paragraph" w:styleId="13">
    <w:name w:val="List Bullet"/>
    <w:basedOn w:val="1"/>
    <w:qFormat/>
    <w:uiPriority w:val="0"/>
    <w:pPr>
      <w:numPr>
        <w:ilvl w:val="0"/>
        <w:numId w:val="2"/>
      </w:numPr>
    </w:pPr>
  </w:style>
  <w:style w:type="paragraph" w:styleId="14">
    <w:name w:val="annotation text"/>
    <w:basedOn w:val="1"/>
    <w:qFormat/>
    <w:uiPriority w:val="0"/>
    <w:pPr>
      <w:jc w:val="left"/>
    </w:pPr>
  </w:style>
  <w:style w:type="paragraph" w:styleId="15">
    <w:name w:val="Body Text"/>
    <w:basedOn w:val="1"/>
    <w:qFormat/>
    <w:uiPriority w:val="0"/>
    <w:pPr>
      <w:spacing w:after="120"/>
    </w:pPr>
  </w:style>
  <w:style w:type="paragraph" w:styleId="16">
    <w:name w:val="toc 3"/>
    <w:basedOn w:val="1"/>
    <w:next w:val="1"/>
    <w:qFormat/>
    <w:uiPriority w:val="39"/>
    <w:pPr>
      <w:spacing w:line="360" w:lineRule="auto"/>
      <w:ind w:left="840" w:leftChars="400" w:firstLine="0" w:firstLineChars="0"/>
    </w:pPr>
    <w:rPr>
      <w:rFonts w:ascii="宋体" w:hAnsi="宋体" w:eastAsia="宋体" w:cs="宋体"/>
      <w:szCs w:val="24"/>
    </w:rPr>
  </w:style>
  <w:style w:type="paragraph" w:styleId="17">
    <w:name w:val="Plain Text"/>
    <w:basedOn w:val="1"/>
    <w:qFormat/>
    <w:uiPriority w:val="0"/>
    <w:pPr>
      <w:spacing w:line="500" w:lineRule="exact"/>
    </w:pPr>
    <w:rPr>
      <w:rFonts w:ascii="宋体" w:hAnsi="Courier New" w:eastAsia="理德细圆简" w:cs="Times New Roman"/>
      <w:kern w:val="0"/>
      <w:sz w:val="20"/>
      <w:szCs w:val="20"/>
    </w:rPr>
  </w:style>
  <w:style w:type="paragraph" w:styleId="18">
    <w:name w:val="footer"/>
    <w:basedOn w:val="1"/>
    <w:qFormat/>
    <w:uiPriority w:val="99"/>
    <w:pPr>
      <w:tabs>
        <w:tab w:val="center" w:pos="4153"/>
        <w:tab w:val="right" w:pos="8306"/>
      </w:tabs>
      <w:snapToGrid w:val="0"/>
      <w:jc w:val="left"/>
    </w:pPr>
    <w:rPr>
      <w:sz w:val="18"/>
      <w:szCs w:val="18"/>
    </w:rPr>
  </w:style>
  <w:style w:type="paragraph" w:styleId="19">
    <w:name w:val="header"/>
    <w:basedOn w:val="1"/>
    <w:qFormat/>
    <w:uiPriority w:val="99"/>
    <w:pPr>
      <w:tabs>
        <w:tab w:val="center" w:pos="4153"/>
        <w:tab w:val="right" w:pos="8306"/>
      </w:tabs>
      <w:snapToGrid w:val="0"/>
      <w:jc w:val="center"/>
    </w:pPr>
    <w:rPr>
      <w:sz w:val="18"/>
      <w:szCs w:val="18"/>
    </w:rPr>
  </w:style>
  <w:style w:type="paragraph" w:styleId="20">
    <w:name w:val="toc 1"/>
    <w:basedOn w:val="1"/>
    <w:next w:val="1"/>
    <w:qFormat/>
    <w:uiPriority w:val="0"/>
    <w:pPr>
      <w:spacing w:line="360" w:lineRule="auto"/>
      <w:ind w:firstLine="0" w:firstLineChars="0"/>
    </w:pPr>
    <w:rPr>
      <w:rFonts w:ascii="宋体" w:hAnsi="宋体" w:eastAsia="宋体" w:cs="宋体"/>
      <w:szCs w:val="24"/>
    </w:rPr>
  </w:style>
  <w:style w:type="paragraph" w:styleId="21">
    <w:name w:val="toc 2"/>
    <w:basedOn w:val="1"/>
    <w:next w:val="1"/>
    <w:qFormat/>
    <w:uiPriority w:val="0"/>
    <w:pPr>
      <w:spacing w:line="360" w:lineRule="auto"/>
      <w:ind w:left="420" w:leftChars="200" w:firstLine="0" w:firstLineChars="0"/>
    </w:pPr>
    <w:rPr>
      <w:rFonts w:ascii="宋体" w:hAnsi="宋体" w:eastAsia="宋体" w:cs="宋体"/>
      <w:szCs w:val="24"/>
    </w:rPr>
  </w:style>
  <w:style w:type="paragraph" w:styleId="22">
    <w:name w:val="Normal (Web)"/>
    <w:basedOn w:val="1"/>
    <w:qFormat/>
    <w:uiPriority w:val="99"/>
    <w:pPr>
      <w:widowControl/>
      <w:spacing w:before="100" w:beforeAutospacing="1" w:after="100" w:afterAutospacing="1"/>
      <w:jc w:val="left"/>
    </w:pPr>
    <w:rPr>
      <w:rFonts w:ascii="宋体" w:hAnsi="宋体" w:cs="宋体"/>
      <w:kern w:val="0"/>
    </w:rPr>
  </w:style>
  <w:style w:type="paragraph" w:styleId="23">
    <w:name w:val="Body Text First Indent"/>
    <w:basedOn w:val="15"/>
    <w:qFormat/>
    <w:uiPriority w:val="0"/>
    <w:pPr>
      <w:ind w:firstLine="420" w:firstLineChars="100"/>
    </w:pPr>
  </w:style>
  <w:style w:type="table" w:styleId="25">
    <w:name w:val="Table Grid"/>
    <w:basedOn w:val="24"/>
    <w:qFormat/>
    <w:uiPriority w:val="9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7">
    <w:name w:val="Hyperlink"/>
    <w:unhideWhenUsed/>
    <w:qFormat/>
    <w:uiPriority w:val="99"/>
    <w:rPr>
      <w:color w:val="0563C1"/>
      <w:u w:val="single"/>
    </w:rPr>
  </w:style>
  <w:style w:type="paragraph" w:styleId="28">
    <w:name w:val="List Paragraph"/>
    <w:basedOn w:val="1"/>
    <w:qFormat/>
    <w:uiPriority w:val="34"/>
    <w:pPr>
      <w:ind w:firstLine="420"/>
    </w:pPr>
  </w:style>
  <w:style w:type="character" w:customStyle="1" w:styleId="29">
    <w:name w:val="标题 6 字符"/>
    <w:basedOn w:val="26"/>
    <w:link w:val="7"/>
    <w:qFormat/>
    <w:uiPriority w:val="9"/>
    <w:rPr>
      <w:rFonts w:ascii="Calibri Light" w:hAnsi="Calibri Light" w:eastAsia="宋体" w:cs="宋体"/>
      <w:kern w:val="2"/>
      <w:sz w:val="24"/>
      <w:szCs w:val="24"/>
    </w:rPr>
  </w:style>
  <w:style w:type="character" w:customStyle="1" w:styleId="30">
    <w:name w:val="标题 7 字符"/>
    <w:basedOn w:val="26"/>
    <w:link w:val="8"/>
    <w:qFormat/>
    <w:uiPriority w:val="9"/>
    <w:rPr>
      <w:rFonts w:ascii="Calibri" w:hAnsi="Calibri" w:eastAsia="宋体" w:cs="宋体"/>
      <w:bCs/>
      <w:kern w:val="2"/>
      <w:sz w:val="24"/>
      <w:szCs w:val="22"/>
    </w:rPr>
  </w:style>
  <w:style w:type="character" w:customStyle="1" w:styleId="31">
    <w:name w:val="标题 9 字符"/>
    <w:basedOn w:val="26"/>
    <w:link w:val="10"/>
    <w:qFormat/>
    <w:uiPriority w:val="9"/>
    <w:rPr>
      <w:rFonts w:ascii="Arial" w:hAnsi="Arial" w:eastAsia="黑体" w:cs="宋体"/>
      <w:kern w:val="2"/>
      <w:sz w:val="24"/>
      <w:szCs w:val="21"/>
    </w:rPr>
  </w:style>
  <w:style w:type="character" w:customStyle="1" w:styleId="32">
    <w:name w:val="标题 8 字符"/>
    <w:basedOn w:val="26"/>
    <w:link w:val="9"/>
    <w:qFormat/>
    <w:uiPriority w:val="9"/>
    <w:rPr>
      <w:rFonts w:ascii="Calibri Light" w:hAnsi="Calibri Light" w:eastAsia="宋体" w:cs="宋体"/>
      <w:kern w:val="2"/>
      <w:sz w:val="24"/>
      <w:szCs w:val="24"/>
    </w:rPr>
  </w:style>
  <w:style w:type="character" w:customStyle="1" w:styleId="33">
    <w:name w:val="标题 5 字符"/>
    <w:basedOn w:val="26"/>
    <w:link w:val="6"/>
    <w:qFormat/>
    <w:uiPriority w:val="9"/>
    <w:rPr>
      <w:rFonts w:ascii="黑体" w:hAnsi="黑体" w:eastAsia="宋体"/>
      <w:kern w:val="2"/>
      <w:sz w:val="24"/>
      <w:szCs w:val="24"/>
    </w:rPr>
  </w:style>
  <w:style w:type="paragraph" w:customStyle="1" w:styleId="34">
    <w:name w:val="表格"/>
    <w:basedOn w:val="35"/>
    <w:qFormat/>
    <w:uiPriority w:val="0"/>
    <w:pPr>
      <w:spacing w:line="240" w:lineRule="auto"/>
      <w:ind w:firstLine="0" w:firstLineChars="0"/>
      <w:jc w:val="center"/>
    </w:pPr>
    <w:rPr>
      <w:szCs w:val="20"/>
    </w:rPr>
  </w:style>
  <w:style w:type="paragraph" w:customStyle="1" w:styleId="35">
    <w:name w:val="可研正文"/>
    <w:basedOn w:val="1"/>
    <w:qFormat/>
    <w:uiPriority w:val="0"/>
    <w:pPr>
      <w:ind w:firstLine="200"/>
    </w:pPr>
    <w:rPr>
      <w:rFonts w:ascii="Times New Roman" w:hAnsi="Times New Roman" w:eastAsia="宋体"/>
      <w:szCs w:val="21"/>
    </w:rPr>
  </w:style>
  <w:style w:type="paragraph" w:customStyle="1" w:styleId="36">
    <w:name w:val="RZ表格"/>
    <w:qFormat/>
    <w:uiPriority w:val="0"/>
    <w:pPr>
      <w:textAlignment w:val="center"/>
    </w:pPr>
    <w:rPr>
      <w:rFonts w:ascii="Times New Roman" w:hAnsi="Times New Roman" w:eastAsia="宋体" w:cs="宋体"/>
      <w:bCs/>
      <w:sz w:val="22"/>
      <w:szCs w:val="24"/>
      <w:lang w:val="en-US" w:eastAsia="zh-CN" w:bidi="ar-SA"/>
    </w:rPr>
  </w:style>
  <w:style w:type="character" w:customStyle="1" w:styleId="37">
    <w:name w:val="标题 3 Char"/>
    <w:link w:val="4"/>
    <w:qFormat/>
    <w:uiPriority w:val="0"/>
    <w:rPr>
      <w:rFonts w:ascii="黑体" w:hAnsi="黑体" w:eastAsia="黑体" w:cs="黑体"/>
    </w:rPr>
  </w:style>
  <w:style w:type="character" w:customStyle="1" w:styleId="38">
    <w:name w:val="font01"/>
    <w:basedOn w:val="26"/>
    <w:qFormat/>
    <w:uiPriority w:val="0"/>
    <w:rPr>
      <w:rFonts w:hint="eastAsia" w:ascii="宋体" w:hAnsi="宋体" w:eastAsia="宋体" w:cs="宋体"/>
      <w:color w:val="000000"/>
      <w:sz w:val="22"/>
      <w:szCs w:val="22"/>
      <w:u w:val="none"/>
    </w:rPr>
  </w:style>
  <w:style w:type="character" w:customStyle="1" w:styleId="39">
    <w:name w:val="font21"/>
    <w:basedOn w:val="26"/>
    <w:qFormat/>
    <w:uiPriority w:val="0"/>
    <w:rPr>
      <w:rFonts w:ascii="等线" w:hAnsi="等线" w:eastAsia="等线" w:cs="等线"/>
      <w:color w:val="000000"/>
      <w:sz w:val="24"/>
      <w:szCs w:val="24"/>
      <w:u w:val="none"/>
    </w:rPr>
  </w:style>
  <w:style w:type="character" w:customStyle="1" w:styleId="40">
    <w:name w:val="font31"/>
    <w:basedOn w:val="26"/>
    <w:qFormat/>
    <w:uiPriority w:val="0"/>
    <w:rPr>
      <w:rFonts w:hint="eastAsia" w:ascii="宋体" w:hAnsi="宋体" w:eastAsia="宋体" w:cs="宋体"/>
      <w:color w:val="000000"/>
      <w:sz w:val="24"/>
      <w:szCs w:val="24"/>
      <w:u w:val="none"/>
    </w:rPr>
  </w:style>
  <w:style w:type="paragraph" w:customStyle="1" w:styleId="41">
    <w:name w:val="Default"/>
    <w:basedOn w:val="1"/>
    <w:next w:val="1"/>
    <w:autoRedefine/>
    <w:qFormat/>
    <w:uiPriority w:val="0"/>
    <w:pPr>
      <w:widowControl w:val="0"/>
      <w:autoSpaceDE w:val="0"/>
      <w:autoSpaceDN w:val="0"/>
      <w:adjustRightInd w:val="0"/>
      <w:spacing w:line="240" w:lineRule="auto"/>
      <w:ind w:firstLine="0" w:firstLineChars="0"/>
    </w:pPr>
    <w:rPr>
      <w:rFonts w:hAnsi="等线" w:eastAsia="宋体" w:cs="Times New Roman"/>
      <w:color w:val="000000"/>
      <w:sz w:val="24"/>
    </w:rPr>
  </w:style>
  <w:style w:type="paragraph" w:customStyle="1" w:styleId="42">
    <w:name w:val="a正文"/>
    <w:basedOn w:val="1"/>
    <w:qFormat/>
    <w:uiPriority w:val="0"/>
    <w:pPr>
      <w:adjustRightInd w:val="0"/>
      <w:spacing w:line="401" w:lineRule="auto"/>
      <w:ind w:firstLine="200"/>
    </w:pPr>
    <w:rPr>
      <w:rFonts w:ascii="Times New Roman" w:hAnsi="Times New Roman"/>
      <w:bCs/>
      <w:color w:val="000000"/>
      <w:kern w:val="0"/>
      <w:szCs w:val="28"/>
      <w:lang w:val="zh-CN"/>
    </w:rPr>
  </w:style>
  <w:style w:type="paragraph" w:customStyle="1" w:styleId="43">
    <w:name w:val="正文（缩进）"/>
    <w:basedOn w:val="1"/>
    <w:qFormat/>
    <w:uiPriority w:val="0"/>
    <w:pPr>
      <w:spacing w:before="156" w:after="156"/>
    </w:pPr>
  </w:style>
  <w:style w:type="character" w:customStyle="1" w:styleId="44">
    <w:name w:val="font51"/>
    <w:basedOn w:val="26"/>
    <w:qFormat/>
    <w:uiPriority w:val="0"/>
    <w:rPr>
      <w:rFonts w:hint="eastAsia" w:ascii="宋体" w:hAnsi="宋体" w:eastAsia="宋体" w:cs="宋体"/>
      <w:color w:val="000000"/>
      <w:sz w:val="21"/>
      <w:szCs w:val="21"/>
      <w:u w:val="none"/>
    </w:rPr>
  </w:style>
  <w:style w:type="character" w:customStyle="1" w:styleId="45">
    <w:name w:val="font71"/>
    <w:basedOn w:val="26"/>
    <w:qFormat/>
    <w:uiPriority w:val="0"/>
    <w:rPr>
      <w:rFonts w:hint="eastAsia" w:ascii="宋体" w:hAnsi="宋体" w:eastAsia="宋体" w:cs="宋体"/>
      <w:color w:val="000000"/>
      <w:sz w:val="22"/>
      <w:szCs w:val="22"/>
      <w:u w:val="none"/>
    </w:rPr>
  </w:style>
  <w:style w:type="character" w:customStyle="1" w:styleId="46">
    <w:name w:val="font81"/>
    <w:basedOn w:val="26"/>
    <w:qFormat/>
    <w:uiPriority w:val="0"/>
    <w:rPr>
      <w:rFonts w:hint="default" w:ascii="Times New Roman" w:hAnsi="Times New Roman" w:cs="Times New Roman"/>
      <w:color w:val="000000"/>
      <w:sz w:val="22"/>
      <w:szCs w:val="22"/>
      <w:u w:val="none"/>
    </w:rPr>
  </w:style>
  <w:style w:type="paragraph" w:customStyle="1" w:styleId="47">
    <w:name w:val="正文-奇安信"/>
    <w:basedOn w:val="1"/>
    <w:qFormat/>
    <w:uiPriority w:val="0"/>
    <w:pPr>
      <w:ind w:firstLine="420"/>
    </w:pPr>
  </w:style>
  <w:style w:type="paragraph" w:customStyle="1" w:styleId="48">
    <w:name w:val="正文-首行缩进-自定义"/>
    <w:basedOn w:val="1"/>
    <w:qFormat/>
    <w:uiPriority w:val="0"/>
    <w:pPr>
      <w:widowControl/>
      <w:ind w:firstLine="200" w:firstLineChars="200"/>
      <w:jc w:val="left"/>
    </w:pPr>
    <w:rPr>
      <w:rFonts w:ascii="宋体" w:hAnsi="宋体" w:cs="宋体"/>
      <w:kern w:val="0"/>
    </w:rPr>
  </w:style>
  <w:style w:type="paragraph" w:customStyle="1" w:styleId="49">
    <w:name w:val="正文首行缩进（安恒信息）"/>
    <w:basedOn w:val="1"/>
    <w:next w:val="1"/>
    <w:qFormat/>
    <w:uiPriority w:val="0"/>
    <w:pPr>
      <w:widowControl/>
      <w:spacing w:after="50" w:line="300" w:lineRule="auto"/>
      <w:ind w:firstLine="200" w:firstLineChars="200"/>
      <w:jc w:val="left"/>
    </w:pPr>
    <w:rPr>
      <w:rFonts w:ascii="Arial" w:hAnsi="Arial"/>
      <w:szCs w:val="21"/>
    </w:rPr>
  </w:style>
  <w:style w:type="character" w:customStyle="1" w:styleId="50">
    <w:name w:val="font41"/>
    <w:basedOn w:val="26"/>
    <w:qFormat/>
    <w:uiPriority w:val="0"/>
    <w:rPr>
      <w:rFonts w:hint="eastAsia" w:ascii="宋体" w:hAnsi="宋体" w:eastAsia="宋体" w:cs="宋体"/>
      <w:color w:val="000000"/>
      <w:sz w:val="24"/>
      <w:szCs w:val="24"/>
      <w:u w:val="none"/>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27</Pages>
  <Words>1859</Words>
  <Characters>1874</Characters>
  <Lines>0</Lines>
  <Paragraphs>0</Paragraphs>
  <TotalTime>0</TotalTime>
  <ScaleCrop>false</ScaleCrop>
  <LinksUpToDate>false</LinksUpToDate>
  <CharactersWithSpaces>1877</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2024-11-13T07:39:00Z</dcterms:created>
  <dc:creator>力平丶</dc:creator>
  <cp:lastModifiedBy>黄大锤</cp:lastModifiedBy>
  <dcterms:modified xsi:type="dcterms:W3CDTF">2025-09-28T03:35:40Z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A732B1C228F0408AA9607D5306267AE9_13</vt:lpwstr>
  </property>
  <property fmtid="{D5CDD505-2E9C-101B-9397-08002B2CF9AE}" pid="4" name="KSOTemplateDocerSaveRecord">
    <vt:lpwstr>eyJoZGlkIjoiZDlmNzBiZDFmMDgzZTlhYjI0YTU2MmZhM2UzOTI2YWQiLCJ1c2VySWQiOiIzMTI2MTQ2MzEifQ==</vt:lpwstr>
  </property>
</Properties>
</file>