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topLinePunct/>
        <w:spacing w:line="540" w:lineRule="exact"/>
        <w:jc w:val="left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overflowPunct w:val="0"/>
        <w:topLinePunct/>
        <w:adjustRightInd w:val="0"/>
        <w:snapToGrid w:val="0"/>
        <w:spacing w:line="240" w:lineRule="exact"/>
        <w:jc w:val="left"/>
        <w:rPr>
          <w:rFonts w:ascii="Times New Roman" w:hAnsi="Times New Roman" w:eastAsia="黑体" w:cs="Times New Roman"/>
          <w:kern w:val="0"/>
          <w:sz w:val="32"/>
        </w:rPr>
      </w:pPr>
    </w:p>
    <w:p>
      <w:pPr>
        <w:overflowPunct w:val="0"/>
        <w:topLinePunct/>
        <w:adjustRightInd w:val="0"/>
        <w:snapToGrid w:val="0"/>
        <w:spacing w:line="540" w:lineRule="exact"/>
        <w:jc w:val="center"/>
        <w:rPr>
          <w:rFonts w:ascii="Times New Roman" w:hAnsi="Times New Roman" w:eastAsia="方正小标宋简体" w:cs="Times New Roman"/>
          <w:kern w:val="0"/>
          <w:sz w:val="44"/>
          <w:szCs w:val="38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38"/>
        </w:rPr>
        <w:t>固定污染源清理整顿行业和管理类别表</w:t>
      </w:r>
    </w:p>
    <w:p>
      <w:pPr>
        <w:overflowPunct w:val="0"/>
        <w:topLinePunct/>
        <w:adjustRightInd w:val="0"/>
        <w:snapToGrid w:val="0"/>
        <w:spacing w:line="240" w:lineRule="exact"/>
        <w:jc w:val="center"/>
        <w:rPr>
          <w:rFonts w:ascii="Times New Roman" w:hAnsi="Times New Roman" w:eastAsia="方正小标宋_GBK" w:cs="Times New Roman"/>
          <w:kern w:val="0"/>
          <w:sz w:val="38"/>
          <w:szCs w:val="38"/>
        </w:rPr>
      </w:pPr>
    </w:p>
    <w:tbl>
      <w:tblPr>
        <w:tblStyle w:val="8"/>
        <w:tblW w:w="133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67"/>
        <w:gridCol w:w="1733"/>
        <w:gridCol w:w="3586"/>
        <w:gridCol w:w="3502"/>
        <w:gridCol w:w="2134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tblHeader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Cs w:val="21"/>
              </w:rPr>
              <w:t>序号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Cs w:val="21"/>
              </w:rPr>
              <w:t>行业类别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Cs w:val="21"/>
              </w:rPr>
              <w:t>重点管理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黑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Cs w:val="21"/>
              </w:rPr>
              <w:t>简化管理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Cs w:val="21"/>
              </w:rPr>
              <w:t>登记管理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黑体" w:cs="Times New Roman"/>
                <w:bCs/>
                <w:kern w:val="0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bCs/>
                <w:kern w:val="0"/>
                <w:szCs w:val="21"/>
              </w:rPr>
              <w:t>适用技术规范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1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牲畜饲养031，家禽饲养032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设有污水排放口的规模化畜禽养殖场、养殖小区（具体规模化标准按《畜禽规模养殖污染防治条例》执行）（</w:t>
            </w:r>
            <w:r>
              <w:rPr>
                <w:rFonts w:hint="eastAsia" w:ascii="Times New Roman" w:hAnsi="Times New Roman" w:eastAsia="仿宋_GB2312" w:cs="Times New Roman"/>
                <w:b/>
                <w:kern w:val="0"/>
                <w:szCs w:val="21"/>
              </w:rPr>
              <w:t>生猪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养殖除外）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无污水排放口的规模化畜禽养殖场、养殖小区，设有污水排放口的规模以下畜禽养殖场、养殖小区（</w:t>
            </w:r>
            <w:r>
              <w:rPr>
                <w:rFonts w:hint="eastAsia" w:ascii="Times New Roman" w:hAnsi="Times New Roman" w:eastAsia="仿宋_GB2312" w:cs="Times New Roman"/>
                <w:b/>
                <w:kern w:val="0"/>
                <w:szCs w:val="21"/>
              </w:rPr>
              <w:t>生猪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养殖除外）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畜禽养殖行业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2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制糖业134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日加工糖料能力1000吨及以上的原糖、成品糖或者精制糖生产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农副食品加工工业—制糖工业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3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屠宰及肉类加工135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年屠宰生猪10万头及以上的，年屠宰肉牛1万头及以上的，年屠宰肉羊15万头及以上的，年屠宰禽类1000万只及以上的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年屠宰生猪2万头及以上10万头以下的，年屠宰肉牛0.2万头及以上1万头以下的，年屠宰肉羊2.5万头及以上15万头以下的，年屠宰禽类100万只及以上1000万只以下的，年加工肉禽类2万吨及以上的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农副食品加工工业—屠宰及肉类加工工业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4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其他农副食品加工139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年加工能力15万吨玉米或者1.5万吨薯类及以上的淀粉生产或者年产1万吨及以上的淀粉制品生产，有发酵工艺的淀粉制品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除重点管理以外的年加工能力1.5万吨及以上玉米、0.1万吨及以上薯类或豆类、4.5万吨及以上小麦的淀粉生产、年产能0.1万吨及以上的淀粉制品生产（不含有发酵工艺的淀粉制品）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3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农副食品加工工业—淀粉工业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5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方便食品制造143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米、面制品制造1431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  <w:r>
              <w:rPr>
                <w:rFonts w:hint="eastAsia" w:ascii="Times New Roman" w:hAnsi="Times New Roman" w:eastAsia="仿宋_GB2312" w:cs="仿宋_GB2312"/>
                <w:kern w:val="0"/>
                <w:szCs w:val="21"/>
              </w:rPr>
              <w:t>，速冻食品制造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1432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  <w:r>
              <w:rPr>
                <w:rFonts w:hint="eastAsia" w:ascii="Times New Roman" w:hAnsi="Times New Roman" w:eastAsia="仿宋_GB2312" w:cs="仿宋_GB2312"/>
                <w:kern w:val="0"/>
                <w:szCs w:val="21"/>
              </w:rPr>
              <w:t>，方便面制造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1433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  <w:r>
              <w:rPr>
                <w:rFonts w:hint="eastAsia" w:ascii="Times New Roman" w:hAnsi="Times New Roman" w:eastAsia="仿宋_GB2312" w:cs="仿宋_GB2312"/>
                <w:kern w:val="0"/>
                <w:szCs w:val="21"/>
              </w:rPr>
              <w:t>，其他方便食品制造</w:t>
            </w: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1439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  <w:r>
              <w:rPr>
                <w:rFonts w:hint="eastAsia" w:ascii="Times New Roman" w:hAnsi="Times New Roman" w:eastAsia="仿宋_GB2312" w:cs="仿宋_GB2312"/>
                <w:kern w:val="0"/>
                <w:szCs w:val="21"/>
              </w:rPr>
              <w:t>，以上均不含手工制作、单纯混合或者分装的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食品制造工业--方便食品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6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其他食品制造149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食品及饲料添加剂制造1495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  <w:r>
              <w:rPr>
                <w:rFonts w:hint="eastAsia" w:ascii="Times New Roman" w:hAnsi="Times New Roman" w:eastAsia="仿宋_GB2312" w:cs="仿宋_GB2312"/>
                <w:kern w:val="0"/>
                <w:szCs w:val="21"/>
              </w:rPr>
              <w:t>，不含手工制作、单纯混合或者分装的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食品与饲料添加剂制造工业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7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乳制品制造144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年加工20万吨及以上的（不含单纯混合或者分装的）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年加工20万吨以下的（不含单纯混合或者分装的）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单纯混合或者分装的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食品制造工业--乳制品制造工业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8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调味品、发酵制品制造146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有发酵工艺的味精、柠檬酸、赖氨酸、酵母制造，年产2万吨及以上且有发酵工艺的酱油、食醋制造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除重点管理以外的调味品、发酵制品制造（不含单纯混合或者分装的）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单纯混合或者分装的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食品制造工业--调味品、发酵</w:t>
            </w:r>
          </w:p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9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酒的制造151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酒精制造1511，有发酵工艺的年生产能力5000千升及以上的白酒、啤酒、黄酒、葡萄酒、其他酒制造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有发酵工艺的年生产能力5000千升以下的白酒、啤酒、黄酒、葡萄酒、其他酒制造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酒、饮料制造</w:t>
            </w:r>
          </w:p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10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人造板制造202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纳入重点排污单位名录的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除重点管理以外的胶合板制造2021（年产10万立方米及以上的）、纤维板制造2022、刨花板制造2023、其他人造板制造2029（年产10万立方米及以上的）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人造板工业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11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木质家具制造211，竹、藤家具制造212，金属家具制造213，塑料家具制造214，其他家具制造219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纳入重点排污单位名录的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除重点管理以外的年使用10吨及以上溶剂型涂料或者胶粘剂（含稀释剂、固化剂）的、年使用20吨及以上水性涂料或者胶粘剂的、有磷化表面处理工艺的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</w:t>
            </w:r>
            <w:r>
              <w:rPr>
                <w:rFonts w:hint="eastAsia" w:ascii="Times New Roman" w:hAnsi="Times New Roman" w:eastAsia="微软雅黑" w:cs="微软雅黑"/>
                <w:kern w:val="0"/>
                <w:szCs w:val="21"/>
              </w:rPr>
              <w:t>﹡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家具制造工业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12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纸浆制造221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全部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造纸行业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13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精炼石油产品制造251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原油加工及石油制品制造2511，其他原油制造2519，以上均不含单纯混合或者分装的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单纯混合或者分装的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石化工业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14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煤炭加工252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炼焦2521（焦炭生产）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炼焦化学工业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15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基础化学原料制造261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有机化学原料制造2614（乙烯、芳烃生产）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石化工业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16</w:t>
            </w:r>
          </w:p>
        </w:tc>
        <w:tc>
          <w:tcPr>
            <w:tcW w:w="173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肥料制造262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氮肥制造2621（不含单纯混合或者分装的）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氮肥制造2621（单纯混合或者分装的）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化肥工业-氮肥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73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磷肥制造2622（不含单纯混合或者分装的）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磷肥制造2622（单纯混合或者分装的）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磷肥、钾肥、复温钾肥、有机肥料及微生物肥料工业（其他）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17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农药制造263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化学农药制造2631（包含农药中间体，不含单纯混合或者分装的）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化学农药制造2631（单纯混合或者分装的）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农药制造工业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18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合成材料制造265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初级形态塑料及合成树脂制造2651（聚氯乙烯生产）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spacing w:val="6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聚氯乙烯工业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19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水泥、石灰和石膏制造301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水泥（熟料）制造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水泥粉磨站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水泥工业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20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玻璃制造304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平板玻璃制造3041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spacing w:val="-6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pacing w:val="-6"/>
                <w:kern w:val="0"/>
                <w:szCs w:val="21"/>
              </w:rPr>
              <w:t>玻璃工业—平板玻璃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21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陶瓷制品制造307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卫生陶瓷制品制造3072（年产150万件及以上的），日用陶瓷制品制造3074（年产250万件及以上的）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卫生陶瓷制品制造3072（年产150万件以下的），日用陶瓷制品制造3074（年产250万件以下的）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spacing w:val="-6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陶瓷砖瓦工业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22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炼铁311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含炼铁、烧结、球团等工序的生产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Merge w:val="restart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钢铁工业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23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炼钢312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全部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Merge w:val="continue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24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钢压延加工313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年产50万吨及以上的冷轧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热轧及年产50万吨以下的冷轧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</w:t>
            </w:r>
          </w:p>
        </w:tc>
        <w:tc>
          <w:tcPr>
            <w:tcW w:w="1692" w:type="dxa"/>
            <w:vMerge w:val="continue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25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常用有色金属冶炼321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铜、铅锌、镍钴、锡、锑、铝、镁、汞、钛等常用有色金属冶炼（含再生铜、再生铝和再生铅冶炼）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有色金属工业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26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汽车整车制造361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纳入重点排污单位名录的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除重点管理以外的汽车整车制造361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汽车制造业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27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汽车用发动机制造362，改装汽车制造363，低速汽车制造364，电车制造365，汽车车身、挂车制造366，汽车零部件及配件制造367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纳入重点排污单位名录的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除重点管理以外的年使用10吨及以上溶剂型涂料或者胶粘剂（含稀释剂、固化剂、清洗溶剂）的汽车用发动机制造362、改装汽车制造363、低速汽车制造364、电车制造365、汽车车身、挂车制造366、汽车零部件及配件制造367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汽车制造业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28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电池制造384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铅酸蓄电池制造3843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锂离子电池制造3841，镍氢电池制造3842，锌锰电池制造3844，其他电池制造3849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电池工业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29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金属废料和碎屑加工处理421，非金属废料和碎屑加工处理422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废电池、废油、废轮胎加工处理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spacing w:val="-4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kern w:val="0"/>
                <w:szCs w:val="21"/>
              </w:rPr>
              <w:t>废弃电器电子产品、废机动车、废电机、废电线电缆、废塑料、废船、含水洗工艺的其他废料和碎屑加工处理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其他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废弃资源加工</w:t>
            </w:r>
          </w:p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textAlignment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工业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30</w:t>
            </w:r>
          </w:p>
        </w:tc>
        <w:tc>
          <w:tcPr>
            <w:tcW w:w="173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电力生产441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lef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火力发电4411，热电联产4412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火电行业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1733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生物质能发电4417（生活垃圾、污泥发电）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1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生活垃圾焚烧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31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热力生产和供应443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单台或者合计出力20吨/小时（14兆瓦）及以上的锅炉（不含电热锅炉）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单台且合计出力20吨/小时（14兆瓦）以下的锅炉（不含电热锅炉和单台且合计出力1吨/小时（0.7兆瓦）及以下的天然气锅炉）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单台且合计出力1吨/小时（0.7兆瓦）及以下的天然气锅炉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锅炉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32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污水处理及其再生利用462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spacing w:val="-4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spacing w:val="-4"/>
                <w:kern w:val="0"/>
                <w:szCs w:val="21"/>
              </w:rPr>
              <w:t>工业废水集中处理场所，日处理能力2万吨及以上的城乡污水集中处理场所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日处理能力500吨及以上2万吨以下的城乡污水集中处理场所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日处理能力500吨以下的城乡污水集中处理场所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水处理（试行）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" w:hRule="atLeast"/>
          <w:jc w:val="center"/>
        </w:trPr>
        <w:tc>
          <w:tcPr>
            <w:tcW w:w="66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33</w:t>
            </w:r>
          </w:p>
        </w:tc>
        <w:tc>
          <w:tcPr>
            <w:tcW w:w="173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环境治理业772</w:t>
            </w:r>
          </w:p>
        </w:tc>
        <w:tc>
          <w:tcPr>
            <w:tcW w:w="358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专业从事危险废物贮存、利用、处理、处置（含焚烧发电）的，专业从事一般工业固体废物贮存、处置（含焚烧发电）的</w:t>
            </w:r>
          </w:p>
        </w:tc>
        <w:tc>
          <w:tcPr>
            <w:tcW w:w="350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2134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/</w:t>
            </w:r>
          </w:p>
        </w:tc>
        <w:tc>
          <w:tcPr>
            <w:tcW w:w="1692" w:type="dxa"/>
            <w:vAlign w:val="center"/>
          </w:tcPr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工业固体废物</w:t>
            </w:r>
          </w:p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危险废物治理</w:t>
            </w:r>
          </w:p>
          <w:p>
            <w:pPr>
              <w:overflowPunct w:val="0"/>
              <w:topLinePunct/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eastAsia="仿宋_GB2312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Cs w:val="21"/>
              </w:rPr>
              <w:t>危险废物焚烧</w:t>
            </w:r>
          </w:p>
        </w:tc>
      </w:tr>
    </w:tbl>
    <w:p>
      <w:pPr>
        <w:overflowPunct w:val="0"/>
        <w:topLinePunct/>
        <w:adjustRightInd w:val="0"/>
        <w:snapToGrid w:val="0"/>
        <w:spacing w:line="288" w:lineRule="auto"/>
        <w:rPr>
          <w:rFonts w:ascii="Times New Roman" w:hAnsi="Times New Roman" w:eastAsia="仿宋_GB2312" w:cs="Times New Roman"/>
          <w:kern w:val="0"/>
          <w:szCs w:val="21"/>
        </w:rPr>
      </w:pPr>
      <w:r>
        <w:rPr>
          <w:rFonts w:hint="eastAsia" w:ascii="Times New Roman" w:hAnsi="Times New Roman" w:eastAsia="仿宋_GB2312" w:cs="Times New Roman"/>
          <w:kern w:val="0"/>
          <w:szCs w:val="21"/>
        </w:rPr>
        <w:t>注：1．行业类别代码引自《国民经济行业分类》（GB/T 4754-2017）</w:t>
      </w:r>
    </w:p>
    <w:p>
      <w:pPr>
        <w:overflowPunct w:val="0"/>
        <w:topLinePunct/>
        <w:adjustRightInd w:val="0"/>
        <w:snapToGrid w:val="0"/>
        <w:spacing w:line="288" w:lineRule="auto"/>
        <w:ind w:left="735" w:leftChars="200" w:hanging="315" w:hangingChars="150"/>
        <w:rPr>
          <w:rFonts w:ascii="Times New Roman" w:hAnsi="Times New Roman" w:eastAsia="仿宋_GB2312" w:cs="Times New Roman"/>
          <w:kern w:val="0"/>
          <w:szCs w:val="21"/>
        </w:rPr>
      </w:pPr>
      <w:r>
        <w:rPr>
          <w:rFonts w:hint="eastAsia" w:ascii="Times New Roman" w:hAnsi="Times New Roman" w:eastAsia="仿宋_GB2312" w:cs="Times New Roman"/>
          <w:kern w:val="0"/>
          <w:szCs w:val="21"/>
        </w:rPr>
        <w:t>2．表格中标“*”号者，是指在工业建筑中生产的排污单位。工业建筑的定义参见《工程结构设计基本术语标准》（GB/T 50083-2014），是指提供生产用的各种建筑物，如车间、厂前区建筑、生活间、动力站、库房和运输设施等</w:t>
      </w:r>
    </w:p>
    <w:p>
      <w:pPr>
        <w:overflowPunct w:val="0"/>
        <w:topLinePunct/>
        <w:adjustRightInd w:val="0"/>
        <w:snapToGrid w:val="0"/>
        <w:spacing w:line="288" w:lineRule="auto"/>
        <w:ind w:left="735" w:leftChars="200" w:hanging="315" w:hangingChars="150"/>
        <w:rPr>
          <w:rFonts w:ascii="Times New Roman" w:hAnsi="Times New Roman" w:eastAsia="仿宋_GB2312" w:cs="Times New Roman"/>
          <w:kern w:val="0"/>
          <w:szCs w:val="21"/>
        </w:rPr>
      </w:pPr>
      <w:r>
        <w:rPr>
          <w:rFonts w:hint="eastAsia" w:ascii="Times New Roman" w:hAnsi="Times New Roman" w:eastAsia="仿宋_GB2312" w:cs="Times New Roman"/>
          <w:kern w:val="0"/>
          <w:szCs w:val="21"/>
        </w:rPr>
        <w:t>3．表格中的电镀工序，是指电镀、化学镀、阳极氧化等生产工序</w:t>
      </w:r>
    </w:p>
    <w:p>
      <w:pPr>
        <w:overflowPunct w:val="0"/>
        <w:topLinePunct/>
        <w:adjustRightInd w:val="0"/>
        <w:snapToGrid w:val="0"/>
        <w:spacing w:line="288" w:lineRule="auto"/>
        <w:ind w:left="735" w:leftChars="200" w:hanging="315" w:hangingChars="150"/>
        <w:rPr>
          <w:rFonts w:ascii="Times New Roman" w:hAnsi="Times New Roman" w:eastAsia="仿宋_GB2312" w:cs="Times New Roman"/>
          <w:kern w:val="0"/>
          <w:szCs w:val="21"/>
        </w:rPr>
      </w:pPr>
      <w:r>
        <w:rPr>
          <w:rFonts w:hint="eastAsia" w:ascii="Times New Roman" w:hAnsi="Times New Roman" w:eastAsia="仿宋_GB2312" w:cs="Times New Roman"/>
          <w:kern w:val="0"/>
          <w:szCs w:val="21"/>
        </w:rPr>
        <w:t>4．表格中涉及溶剂、涂料、油墨、胶粘剂等使用量的排污单位，其投运满三年的，使用量按照近三年年最大量确定；其投运满一年但不满三年的，使用量按投运期间年最大量确定；其未投运或者投运不满一年的，按照环境影响报告书（表）批准文件确定。投运日期为排污单位发生实际排污行为的日期</w:t>
      </w:r>
    </w:p>
    <w:p>
      <w:pPr>
        <w:overflowPunct w:val="0"/>
        <w:topLinePunct/>
        <w:adjustRightInd w:val="0"/>
        <w:snapToGrid w:val="0"/>
        <w:spacing w:line="288" w:lineRule="auto"/>
        <w:ind w:left="735" w:leftChars="200" w:hanging="315" w:hangingChars="150"/>
        <w:rPr>
          <w:rFonts w:ascii="Times New Roman" w:hAnsi="Times New Roman" w:eastAsia="仿宋_GB2312" w:cs="Times New Roman"/>
          <w:kern w:val="0"/>
          <w:szCs w:val="21"/>
        </w:rPr>
      </w:pPr>
      <w:r>
        <w:rPr>
          <w:rFonts w:hint="eastAsia" w:ascii="Times New Roman" w:hAnsi="Times New Roman" w:eastAsia="仿宋_GB2312" w:cs="Times New Roman"/>
          <w:kern w:val="0"/>
          <w:szCs w:val="21"/>
        </w:rPr>
        <w:t>5．根据《中华人民共和国环境保护税法实施条例》，城乡污水集中处理场所，是指为社会公众提供生活污水处理服务的场所，不包括为工业园区、开发区等工业聚集区域内的排污单位提供污水处理服务的场所，以及排污单位自建自用的污水处理场所</w:t>
      </w:r>
    </w:p>
    <w:p>
      <w:pPr>
        <w:overflowPunct w:val="0"/>
        <w:topLinePunct/>
        <w:adjustRightInd w:val="0"/>
        <w:snapToGrid w:val="0"/>
        <w:spacing w:line="288" w:lineRule="auto"/>
        <w:ind w:left="735" w:leftChars="200" w:hanging="315" w:hangingChars="150"/>
        <w:rPr>
          <w:rFonts w:ascii="Times New Roman" w:hAnsi="Times New Roman" w:eastAsia="仿宋_GB2312" w:cs="Times New Roman"/>
          <w:kern w:val="0"/>
          <w:szCs w:val="21"/>
        </w:rPr>
      </w:pPr>
      <w:r>
        <w:rPr>
          <w:rFonts w:hint="eastAsia" w:ascii="Times New Roman" w:hAnsi="Times New Roman" w:eastAsia="仿宋_GB2312" w:cs="Times New Roman"/>
          <w:kern w:val="0"/>
          <w:szCs w:val="21"/>
        </w:rPr>
        <w:t>6．造纸行业和火电行业排污许可证技术规范参见《关于开展火电、造纸和京津冀试点城市高架源排污许可证管理工作的通知》（环水体〔2016〕189号）</w:t>
      </w:r>
    </w:p>
    <w:p>
      <w:pPr>
        <w:overflowPunct w:val="0"/>
        <w:topLinePunct/>
        <w:adjustRightInd w:val="0"/>
        <w:snapToGrid w:val="0"/>
        <w:spacing w:line="288" w:lineRule="auto"/>
        <w:ind w:left="735" w:leftChars="200" w:hanging="315" w:hangingChars="150"/>
        <w:rPr>
          <w:rFonts w:ascii="Times New Roman" w:hAnsi="Times New Roman" w:eastAsia="仿宋_GB2312" w:cs="Times New Roman"/>
          <w:kern w:val="0"/>
          <w:szCs w:val="21"/>
        </w:rPr>
      </w:pPr>
      <w:r>
        <w:rPr>
          <w:rFonts w:hint="eastAsia" w:ascii="Times New Roman" w:hAnsi="Times New Roman" w:eastAsia="仿宋_GB2312" w:cs="Times New Roman"/>
          <w:kern w:val="0"/>
          <w:szCs w:val="21"/>
        </w:rPr>
        <w:t>7．不适用行业技术规范的，可参照《排污许可证申请与核发技术规范 总则》（HJ942-2018）执行</w:t>
      </w:r>
    </w:p>
    <w:p>
      <w:pPr>
        <w:overflowPunct w:val="0"/>
        <w:topLinePunct/>
        <w:adjustRightInd w:val="0"/>
        <w:snapToGrid w:val="0"/>
        <w:spacing w:line="288" w:lineRule="auto"/>
        <w:ind w:left="735" w:leftChars="200" w:hanging="315" w:hangingChars="150"/>
        <w:rPr>
          <w:rFonts w:ascii="Times New Roman" w:hAnsi="Times New Roman" w:eastAsia="仿宋_GB2312" w:cs="Times New Roman"/>
          <w:kern w:val="0"/>
          <w:szCs w:val="21"/>
        </w:rPr>
      </w:pPr>
      <w:r>
        <w:rPr>
          <w:rFonts w:hint="eastAsia" w:ascii="Times New Roman" w:hAnsi="Times New Roman" w:eastAsia="仿宋_GB2312" w:cs="Times New Roman"/>
          <w:kern w:val="0"/>
          <w:szCs w:val="21"/>
        </w:rPr>
        <w:t>8．不包括位于生态环境法律法规禁止建设区域内的，或生产设施或产品属于产业政策立即淘汰类的排污单位</w:t>
      </w:r>
    </w:p>
    <w:sectPr>
      <w:headerReference r:id="rId3" w:type="first"/>
      <w:footerReference r:id="rId4" w:type="first"/>
      <w:pgSz w:w="16838" w:h="11906" w:orient="landscape"/>
      <w:pgMar w:top="1588" w:right="2098" w:bottom="1588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210" w:leftChars="100" w:right="210" w:rightChars="100"/>
      <w:rPr>
        <w:rFonts w:ascii="宋体" w:hAnsi="宋体"/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GWebUrl" w:val="http://10.194.5.103:8089/seeyon/officeservlet"/>
  </w:docVars>
  <w:rsids>
    <w:rsidRoot w:val="00F32448"/>
    <w:rsid w:val="0000212B"/>
    <w:rsid w:val="0000259F"/>
    <w:rsid w:val="00014449"/>
    <w:rsid w:val="0002291C"/>
    <w:rsid w:val="00022EA0"/>
    <w:rsid w:val="00025128"/>
    <w:rsid w:val="000333F8"/>
    <w:rsid w:val="00040894"/>
    <w:rsid w:val="00066ED0"/>
    <w:rsid w:val="00080E7E"/>
    <w:rsid w:val="00081F69"/>
    <w:rsid w:val="00082534"/>
    <w:rsid w:val="00092372"/>
    <w:rsid w:val="0009249C"/>
    <w:rsid w:val="000B5183"/>
    <w:rsid w:val="000D7AF9"/>
    <w:rsid w:val="000E6E42"/>
    <w:rsid w:val="001042F3"/>
    <w:rsid w:val="00116176"/>
    <w:rsid w:val="0012360C"/>
    <w:rsid w:val="001273A7"/>
    <w:rsid w:val="0013523E"/>
    <w:rsid w:val="001373B0"/>
    <w:rsid w:val="00150206"/>
    <w:rsid w:val="00154C8B"/>
    <w:rsid w:val="001627EC"/>
    <w:rsid w:val="00163AA7"/>
    <w:rsid w:val="00166DC3"/>
    <w:rsid w:val="00171339"/>
    <w:rsid w:val="00176070"/>
    <w:rsid w:val="00181C17"/>
    <w:rsid w:val="00182279"/>
    <w:rsid w:val="0018519A"/>
    <w:rsid w:val="001B4FE0"/>
    <w:rsid w:val="001C5269"/>
    <w:rsid w:val="001C54C0"/>
    <w:rsid w:val="001C60EA"/>
    <w:rsid w:val="001D7D56"/>
    <w:rsid w:val="001E1F97"/>
    <w:rsid w:val="00207837"/>
    <w:rsid w:val="00226423"/>
    <w:rsid w:val="002266E1"/>
    <w:rsid w:val="00234668"/>
    <w:rsid w:val="0023591B"/>
    <w:rsid w:val="00243ACF"/>
    <w:rsid w:val="0024431D"/>
    <w:rsid w:val="00245C94"/>
    <w:rsid w:val="0024797D"/>
    <w:rsid w:val="00256596"/>
    <w:rsid w:val="00257ED9"/>
    <w:rsid w:val="00264340"/>
    <w:rsid w:val="00267B42"/>
    <w:rsid w:val="00280846"/>
    <w:rsid w:val="00281D6D"/>
    <w:rsid w:val="00282C94"/>
    <w:rsid w:val="002A7DEB"/>
    <w:rsid w:val="002C26CA"/>
    <w:rsid w:val="002D011F"/>
    <w:rsid w:val="002E0DC9"/>
    <w:rsid w:val="002E4AC0"/>
    <w:rsid w:val="002E6FBA"/>
    <w:rsid w:val="002E7B5E"/>
    <w:rsid w:val="00314F37"/>
    <w:rsid w:val="003263CD"/>
    <w:rsid w:val="00330635"/>
    <w:rsid w:val="00334F38"/>
    <w:rsid w:val="003378C3"/>
    <w:rsid w:val="003536B0"/>
    <w:rsid w:val="0036230C"/>
    <w:rsid w:val="00367DCC"/>
    <w:rsid w:val="003777D4"/>
    <w:rsid w:val="00384812"/>
    <w:rsid w:val="003A366A"/>
    <w:rsid w:val="003B02C2"/>
    <w:rsid w:val="003D1632"/>
    <w:rsid w:val="003F7CF3"/>
    <w:rsid w:val="00406497"/>
    <w:rsid w:val="004072E4"/>
    <w:rsid w:val="00412D9A"/>
    <w:rsid w:val="004164E0"/>
    <w:rsid w:val="00442378"/>
    <w:rsid w:val="00454351"/>
    <w:rsid w:val="004565AB"/>
    <w:rsid w:val="00462A10"/>
    <w:rsid w:val="0047342E"/>
    <w:rsid w:val="00485FED"/>
    <w:rsid w:val="0049427F"/>
    <w:rsid w:val="00497FB7"/>
    <w:rsid w:val="004A404C"/>
    <w:rsid w:val="004C0D59"/>
    <w:rsid w:val="004C5E70"/>
    <w:rsid w:val="004E1A39"/>
    <w:rsid w:val="004E60ED"/>
    <w:rsid w:val="004F329B"/>
    <w:rsid w:val="005108D3"/>
    <w:rsid w:val="0052127F"/>
    <w:rsid w:val="00527238"/>
    <w:rsid w:val="00530B40"/>
    <w:rsid w:val="005A3348"/>
    <w:rsid w:val="005B4EB1"/>
    <w:rsid w:val="005C1C7A"/>
    <w:rsid w:val="00602115"/>
    <w:rsid w:val="00604CCF"/>
    <w:rsid w:val="0060518E"/>
    <w:rsid w:val="00622B7B"/>
    <w:rsid w:val="0062566C"/>
    <w:rsid w:val="00636296"/>
    <w:rsid w:val="00636DAB"/>
    <w:rsid w:val="006406C1"/>
    <w:rsid w:val="00643BB9"/>
    <w:rsid w:val="0065047F"/>
    <w:rsid w:val="006609E5"/>
    <w:rsid w:val="00670117"/>
    <w:rsid w:val="00683208"/>
    <w:rsid w:val="00685DC4"/>
    <w:rsid w:val="00690596"/>
    <w:rsid w:val="00693DD9"/>
    <w:rsid w:val="00697E16"/>
    <w:rsid w:val="006A122E"/>
    <w:rsid w:val="006B1EA1"/>
    <w:rsid w:val="0070451A"/>
    <w:rsid w:val="0072024F"/>
    <w:rsid w:val="0072242D"/>
    <w:rsid w:val="007224CE"/>
    <w:rsid w:val="007354DE"/>
    <w:rsid w:val="00746574"/>
    <w:rsid w:val="00752CD2"/>
    <w:rsid w:val="007538D1"/>
    <w:rsid w:val="00755552"/>
    <w:rsid w:val="00756B4E"/>
    <w:rsid w:val="007608B6"/>
    <w:rsid w:val="007A1946"/>
    <w:rsid w:val="007A60E0"/>
    <w:rsid w:val="007B188F"/>
    <w:rsid w:val="007B7922"/>
    <w:rsid w:val="007E17E6"/>
    <w:rsid w:val="007E4263"/>
    <w:rsid w:val="00803F30"/>
    <w:rsid w:val="00805DEB"/>
    <w:rsid w:val="00812B03"/>
    <w:rsid w:val="00820737"/>
    <w:rsid w:val="00830223"/>
    <w:rsid w:val="00866F27"/>
    <w:rsid w:val="00882D14"/>
    <w:rsid w:val="00883CC5"/>
    <w:rsid w:val="00886A5B"/>
    <w:rsid w:val="00892365"/>
    <w:rsid w:val="0089279E"/>
    <w:rsid w:val="008B57AF"/>
    <w:rsid w:val="008C1ED8"/>
    <w:rsid w:val="008C316C"/>
    <w:rsid w:val="008E2BDD"/>
    <w:rsid w:val="008F4F80"/>
    <w:rsid w:val="008F678E"/>
    <w:rsid w:val="00900061"/>
    <w:rsid w:val="00921201"/>
    <w:rsid w:val="00922388"/>
    <w:rsid w:val="009264D0"/>
    <w:rsid w:val="00932E1E"/>
    <w:rsid w:val="00937D2F"/>
    <w:rsid w:val="009418C0"/>
    <w:rsid w:val="00955083"/>
    <w:rsid w:val="009679DE"/>
    <w:rsid w:val="009713EA"/>
    <w:rsid w:val="0097227D"/>
    <w:rsid w:val="009726FC"/>
    <w:rsid w:val="00984ABE"/>
    <w:rsid w:val="00985A96"/>
    <w:rsid w:val="009A7309"/>
    <w:rsid w:val="009C6BD8"/>
    <w:rsid w:val="009E4F3A"/>
    <w:rsid w:val="009F2213"/>
    <w:rsid w:val="00A3411A"/>
    <w:rsid w:val="00A37ABA"/>
    <w:rsid w:val="00A37CB3"/>
    <w:rsid w:val="00A419C9"/>
    <w:rsid w:val="00A454E5"/>
    <w:rsid w:val="00A51566"/>
    <w:rsid w:val="00A80FA7"/>
    <w:rsid w:val="00A910AE"/>
    <w:rsid w:val="00A9479D"/>
    <w:rsid w:val="00A9520A"/>
    <w:rsid w:val="00AB2100"/>
    <w:rsid w:val="00AB3A47"/>
    <w:rsid w:val="00AC76E9"/>
    <w:rsid w:val="00AD6830"/>
    <w:rsid w:val="00AE12E3"/>
    <w:rsid w:val="00AE3137"/>
    <w:rsid w:val="00AF2E8F"/>
    <w:rsid w:val="00AF3710"/>
    <w:rsid w:val="00AF562B"/>
    <w:rsid w:val="00B178F2"/>
    <w:rsid w:val="00B465DD"/>
    <w:rsid w:val="00B5789E"/>
    <w:rsid w:val="00B62F72"/>
    <w:rsid w:val="00B71D51"/>
    <w:rsid w:val="00B761F2"/>
    <w:rsid w:val="00B80B10"/>
    <w:rsid w:val="00B873A2"/>
    <w:rsid w:val="00B91A37"/>
    <w:rsid w:val="00BA4C37"/>
    <w:rsid w:val="00BD1A92"/>
    <w:rsid w:val="00BD3BA1"/>
    <w:rsid w:val="00BF0A65"/>
    <w:rsid w:val="00C1051B"/>
    <w:rsid w:val="00C10A81"/>
    <w:rsid w:val="00C16C6B"/>
    <w:rsid w:val="00C277A0"/>
    <w:rsid w:val="00C3683D"/>
    <w:rsid w:val="00C6064B"/>
    <w:rsid w:val="00C6206A"/>
    <w:rsid w:val="00C816A1"/>
    <w:rsid w:val="00C83F17"/>
    <w:rsid w:val="00C91D88"/>
    <w:rsid w:val="00C97FBD"/>
    <w:rsid w:val="00CA349C"/>
    <w:rsid w:val="00CB5573"/>
    <w:rsid w:val="00CC2811"/>
    <w:rsid w:val="00CD0612"/>
    <w:rsid w:val="00D0292E"/>
    <w:rsid w:val="00D247D6"/>
    <w:rsid w:val="00D304AD"/>
    <w:rsid w:val="00D5174C"/>
    <w:rsid w:val="00D51B2A"/>
    <w:rsid w:val="00D77BF2"/>
    <w:rsid w:val="00D8379E"/>
    <w:rsid w:val="00D85030"/>
    <w:rsid w:val="00D97641"/>
    <w:rsid w:val="00DA131A"/>
    <w:rsid w:val="00DA6992"/>
    <w:rsid w:val="00DD144B"/>
    <w:rsid w:val="00DD5A22"/>
    <w:rsid w:val="00DE524D"/>
    <w:rsid w:val="00E1707C"/>
    <w:rsid w:val="00E233F4"/>
    <w:rsid w:val="00E425B4"/>
    <w:rsid w:val="00E474F1"/>
    <w:rsid w:val="00E574CB"/>
    <w:rsid w:val="00E63B06"/>
    <w:rsid w:val="00E726B8"/>
    <w:rsid w:val="00E74976"/>
    <w:rsid w:val="00E75775"/>
    <w:rsid w:val="00E839E6"/>
    <w:rsid w:val="00EA7661"/>
    <w:rsid w:val="00EB030E"/>
    <w:rsid w:val="00EC1330"/>
    <w:rsid w:val="00EC318C"/>
    <w:rsid w:val="00EC37EC"/>
    <w:rsid w:val="00EC5351"/>
    <w:rsid w:val="00EC7467"/>
    <w:rsid w:val="00ED2932"/>
    <w:rsid w:val="00ED4233"/>
    <w:rsid w:val="00ED72AE"/>
    <w:rsid w:val="00EF1CB4"/>
    <w:rsid w:val="00F00816"/>
    <w:rsid w:val="00F1034B"/>
    <w:rsid w:val="00F12F58"/>
    <w:rsid w:val="00F32448"/>
    <w:rsid w:val="00F34037"/>
    <w:rsid w:val="00F35683"/>
    <w:rsid w:val="00F3754E"/>
    <w:rsid w:val="00F614F0"/>
    <w:rsid w:val="00F8326B"/>
    <w:rsid w:val="00FA2FC0"/>
    <w:rsid w:val="00FA32E3"/>
    <w:rsid w:val="00FB4929"/>
    <w:rsid w:val="00FC0A8D"/>
    <w:rsid w:val="00FD345C"/>
    <w:rsid w:val="00FF7CD7"/>
    <w:rsid w:val="195933CF"/>
    <w:rsid w:val="1B6E3911"/>
    <w:rsid w:val="24476B76"/>
    <w:rsid w:val="2AB66622"/>
    <w:rsid w:val="2AE41254"/>
    <w:rsid w:val="30582AAC"/>
    <w:rsid w:val="38EC3320"/>
    <w:rsid w:val="4A7C53AF"/>
    <w:rsid w:val="59037903"/>
    <w:rsid w:val="7C1A48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uiPriority w:val="99"/>
    <w:pPr>
      <w:jc w:val="left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9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4"/>
    <w:qFormat/>
    <w:uiPriority w:val="99"/>
    <w:rPr>
      <w:sz w:val="18"/>
      <w:szCs w:val="18"/>
    </w:rPr>
  </w:style>
  <w:style w:type="character" w:customStyle="1" w:styleId="17">
    <w:name w:val="批注框文本 字符"/>
    <w:basedOn w:val="10"/>
    <w:link w:val="3"/>
    <w:semiHidden/>
    <w:qFormat/>
    <w:uiPriority w:val="99"/>
    <w:rPr>
      <w:sz w:val="18"/>
      <w:szCs w:val="18"/>
    </w:rPr>
  </w:style>
  <w:style w:type="character" w:customStyle="1" w:styleId="18">
    <w:name w:val="批注文字 字符"/>
    <w:basedOn w:val="10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9">
    <w:name w:val="批注主题 字符"/>
    <w:basedOn w:val="18"/>
    <w:link w:val="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styleId="2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626E9F-1119-4FDB-B3A6-37D50036EF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5</Pages>
  <Words>545</Words>
  <Characters>3112</Characters>
  <Lines>25</Lines>
  <Paragraphs>7</Paragraphs>
  <TotalTime>5</TotalTime>
  <ScaleCrop>false</ScaleCrop>
  <LinksUpToDate>false</LinksUpToDate>
  <CharactersWithSpaces>3650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2020-01-21T03:18:00Z</dcterms:created>
  <dc:creator>刘昱</dc:creator>
  <cp:lastModifiedBy>东方亮</cp:lastModifiedBy>
  <cp:lastPrinted>2020-01-21T03:29:00Z</cp:lastPrinted>
  <dcterms:modified xsi:type="dcterms:W3CDTF">2020-02-18T02:34:57Z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