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624" w:beforeLines="200" w:beforeAutospacing="0" w:after="624" w:afterLines="200" w:afterAutospacing="0" w:line="480" w:lineRule="auto"/>
        <w:jc w:val="center"/>
        <w:rPr>
          <w:rFonts w:ascii="黑体" w:hAnsi="黑体" w:eastAsia="黑体"/>
          <w:b/>
          <w:color w:val="323232"/>
          <w:sz w:val="44"/>
          <w:szCs w:val="44"/>
        </w:rPr>
      </w:pPr>
      <w:bookmarkStart w:id="3" w:name="_GoBack"/>
      <w:bookmarkEnd w:id="3"/>
      <w:r>
        <w:rPr>
          <w:rFonts w:hint="eastAsia" w:ascii="黑体" w:hAnsi="黑体" w:eastAsia="黑体"/>
          <w:b/>
          <w:color w:val="323232"/>
          <w:sz w:val="44"/>
          <w:szCs w:val="44"/>
        </w:rPr>
        <w:t>博罗县电子商务进农村综合示范项目</w:t>
      </w:r>
      <w:r>
        <w:rPr>
          <w:rFonts w:ascii="黑体" w:hAnsi="黑体" w:eastAsia="黑体"/>
          <w:b/>
          <w:color w:val="323232"/>
          <w:sz w:val="44"/>
          <w:szCs w:val="44"/>
        </w:rPr>
        <w:br w:type="textWrapping"/>
      </w:r>
      <w:r>
        <w:rPr>
          <w:rFonts w:hint="eastAsia" w:ascii="黑体" w:hAnsi="黑体" w:eastAsia="黑体"/>
          <w:b/>
          <w:color w:val="323232"/>
          <w:sz w:val="44"/>
          <w:szCs w:val="44"/>
        </w:rPr>
        <w:t>资金使用管理办法</w:t>
      </w:r>
    </w:p>
    <w:p>
      <w:pPr>
        <w:pStyle w:val="4"/>
        <w:spacing w:before="312" w:beforeLines="100" w:beforeAutospacing="0" w:after="312" w:afterLines="100" w:afterAutospacing="0" w:line="480" w:lineRule="auto"/>
        <w:jc w:val="center"/>
        <w:outlineLvl w:val="0"/>
        <w:rPr>
          <w:rFonts w:ascii="方正大标宋简体" w:hAnsi="仿宋" w:eastAsia="方正大标宋简体"/>
          <w:b/>
          <w:color w:val="323232"/>
          <w:sz w:val="32"/>
          <w:szCs w:val="32"/>
        </w:rPr>
      </w:pPr>
      <w:r>
        <w:rPr>
          <w:rFonts w:hint="eastAsia" w:ascii="方正大标宋简体" w:hAnsi="仿宋" w:eastAsia="方正大标宋简体"/>
          <w:b/>
          <w:color w:val="323232"/>
          <w:sz w:val="32"/>
          <w:szCs w:val="32"/>
        </w:rPr>
        <w:t xml:space="preserve">第一章 </w:t>
      </w:r>
      <w:r>
        <w:rPr>
          <w:rFonts w:hint="eastAsia" w:ascii="方正大标宋简体" w:hAnsi="Calibri" w:eastAsia="方正大标宋简体" w:cs="Calibri"/>
          <w:b/>
          <w:color w:val="323232"/>
          <w:sz w:val="32"/>
          <w:szCs w:val="32"/>
        </w:rPr>
        <w:t> </w:t>
      </w:r>
      <w:r>
        <w:rPr>
          <w:rFonts w:hint="eastAsia" w:ascii="方正大标宋简体" w:hAnsi="仿宋" w:eastAsia="方正大标宋简体"/>
          <w:b/>
          <w:color w:val="323232"/>
          <w:sz w:val="32"/>
          <w:szCs w:val="32"/>
        </w:rPr>
        <w:t>总则</w:t>
      </w:r>
    </w:p>
    <w:p>
      <w:pPr>
        <w:pStyle w:val="4"/>
        <w:spacing w:before="156" w:beforeLines="50" w:after="156" w:afterLines="50" w:line="360" w:lineRule="auto"/>
        <w:ind w:firstLine="640" w:firstLineChars="200"/>
        <w:jc w:val="both"/>
        <w:rPr>
          <w:rFonts w:ascii="仿宋" w:hAnsi="仿宋" w:eastAsia="仿宋"/>
          <w:color w:val="323232"/>
          <w:sz w:val="32"/>
          <w:szCs w:val="32"/>
        </w:rPr>
      </w:pPr>
      <w:r>
        <w:rPr>
          <w:rFonts w:ascii="仿宋" w:hAnsi="仿宋" w:eastAsia="仿宋"/>
          <w:color w:val="323232"/>
          <w:sz w:val="32"/>
          <w:szCs w:val="32"/>
        </w:rPr>
        <w:t>第一条</w:t>
      </w:r>
      <w:r>
        <w:rPr>
          <w:rFonts w:hint="eastAsia" w:ascii="仿宋" w:hAnsi="仿宋" w:eastAsia="仿宋"/>
          <w:color w:val="323232"/>
          <w:sz w:val="32"/>
          <w:szCs w:val="32"/>
        </w:rPr>
        <w:t xml:space="preserve"> 为促进我县电子商务进农村综合示范工作更好、更快地发展，规范和完善电子商务进农村综合示范专项资金管理，</w:t>
      </w:r>
      <w:bookmarkStart w:id="0" w:name="_Hlk22826845"/>
      <w:r>
        <w:rPr>
          <w:rFonts w:hint="eastAsia" w:ascii="仿宋" w:hAnsi="仿宋" w:eastAsia="仿宋"/>
          <w:color w:val="323232"/>
          <w:sz w:val="32"/>
          <w:szCs w:val="32"/>
        </w:rPr>
        <w:t>根据广东省商务厅《关于申报</w:t>
      </w:r>
      <w:r>
        <w:rPr>
          <w:rFonts w:ascii="仿宋" w:hAnsi="仿宋" w:eastAsia="仿宋"/>
          <w:color w:val="323232"/>
          <w:sz w:val="32"/>
          <w:szCs w:val="32"/>
        </w:rPr>
        <w:t>2019年省级电子商务进农村综合示范县的通知</w:t>
      </w:r>
      <w:r>
        <w:rPr>
          <w:rFonts w:hint="eastAsia" w:ascii="仿宋" w:hAnsi="仿宋" w:eastAsia="仿宋"/>
          <w:color w:val="323232"/>
          <w:sz w:val="32"/>
          <w:szCs w:val="32"/>
        </w:rPr>
        <w:t>》</w:t>
      </w:r>
      <w:r>
        <w:rPr>
          <w:rFonts w:ascii="仿宋" w:hAnsi="仿宋" w:eastAsia="仿宋"/>
          <w:color w:val="323232"/>
          <w:sz w:val="32"/>
          <w:szCs w:val="32"/>
        </w:rPr>
        <w:t>（粤商务电函〔2018〕86号）、</w:t>
      </w:r>
      <w:r>
        <w:rPr>
          <w:rFonts w:hint="eastAsia" w:ascii="仿宋" w:hAnsi="仿宋" w:eastAsia="仿宋"/>
          <w:color w:val="323232"/>
          <w:sz w:val="32"/>
          <w:szCs w:val="32"/>
        </w:rPr>
        <w:t>《广东省商务厅关于下达</w:t>
      </w:r>
      <w:r>
        <w:rPr>
          <w:rFonts w:ascii="仿宋" w:hAnsi="仿宋" w:eastAsia="仿宋"/>
          <w:color w:val="323232"/>
          <w:sz w:val="32"/>
          <w:szCs w:val="32"/>
        </w:rPr>
        <w:t>2019年促进经济高质量发展专项资金（内贸方向省级电子商务进农村综合示范）项目计划的通知</w:t>
      </w:r>
      <w:r>
        <w:rPr>
          <w:rFonts w:hint="eastAsia" w:ascii="仿宋" w:hAnsi="仿宋" w:eastAsia="仿宋"/>
          <w:color w:val="323232"/>
          <w:sz w:val="32"/>
          <w:szCs w:val="32"/>
        </w:rPr>
        <w:t>》（粤商务电函〔</w:t>
      </w:r>
      <w:r>
        <w:rPr>
          <w:rFonts w:ascii="仿宋" w:hAnsi="仿宋" w:eastAsia="仿宋"/>
          <w:color w:val="323232"/>
          <w:sz w:val="32"/>
          <w:szCs w:val="32"/>
        </w:rPr>
        <w:t>2019〕29号</w:t>
      </w:r>
      <w:r>
        <w:rPr>
          <w:rFonts w:hint="eastAsia" w:ascii="仿宋" w:hAnsi="仿宋" w:eastAsia="仿宋"/>
          <w:color w:val="323232"/>
          <w:sz w:val="32"/>
          <w:szCs w:val="32"/>
        </w:rPr>
        <w:t>）等文件精神，结合我县实际情况，特制定本办法。</w:t>
      </w:r>
      <w:bookmarkEnd w:id="0"/>
    </w:p>
    <w:p>
      <w:pPr>
        <w:pStyle w:val="4"/>
        <w:spacing w:before="156" w:beforeLines="50" w:beforeAutospacing="0" w:after="156" w:afterLines="50" w:afterAutospacing="0" w:line="360" w:lineRule="auto"/>
        <w:ind w:firstLine="640" w:firstLineChars="200"/>
        <w:jc w:val="both"/>
        <w:rPr>
          <w:rFonts w:ascii="仿宋" w:hAnsi="仿宋" w:eastAsia="仿宋"/>
          <w:color w:val="323232"/>
          <w:sz w:val="32"/>
          <w:szCs w:val="32"/>
        </w:rPr>
      </w:pPr>
      <w:r>
        <w:rPr>
          <w:rFonts w:ascii="仿宋" w:hAnsi="仿宋" w:eastAsia="仿宋"/>
          <w:color w:val="323232"/>
          <w:sz w:val="32"/>
          <w:szCs w:val="32"/>
        </w:rPr>
        <w:t>第二条</w:t>
      </w:r>
      <w:r>
        <w:rPr>
          <w:rFonts w:hint="eastAsia" w:ascii="仿宋" w:hAnsi="仿宋" w:eastAsia="仿宋"/>
          <w:color w:val="323232"/>
          <w:sz w:val="32"/>
          <w:szCs w:val="32"/>
        </w:rPr>
        <w:t xml:space="preserve"> 本办法中的电子商务进农村综合示范专项资金（以下简称：专项资金），是指省级财政和县级财政预算安排用于我县电子商务进农村综合示范项目建设，加快电子商务在我县推广应用的专项补助资金。</w:t>
      </w:r>
    </w:p>
    <w:p>
      <w:pPr>
        <w:pStyle w:val="4"/>
        <w:spacing w:before="156" w:beforeLines="50" w:beforeAutospacing="0" w:after="156" w:afterLines="50" w:afterAutospacing="0" w:line="360" w:lineRule="auto"/>
        <w:ind w:firstLine="640" w:firstLineChars="200"/>
        <w:jc w:val="both"/>
        <w:rPr>
          <w:rFonts w:ascii="仿宋" w:hAnsi="仿宋" w:eastAsia="仿宋"/>
          <w:color w:val="323232"/>
          <w:sz w:val="32"/>
          <w:szCs w:val="32"/>
        </w:rPr>
      </w:pPr>
      <w:r>
        <w:rPr>
          <w:rFonts w:ascii="仿宋" w:hAnsi="仿宋" w:eastAsia="仿宋"/>
          <w:color w:val="323232"/>
          <w:sz w:val="32"/>
          <w:szCs w:val="32"/>
        </w:rPr>
        <w:t>第三条 专项资金</w:t>
      </w:r>
      <w:r>
        <w:rPr>
          <w:rFonts w:hint="eastAsia" w:ascii="仿宋" w:hAnsi="仿宋" w:eastAsia="仿宋"/>
          <w:color w:val="323232"/>
          <w:sz w:val="32"/>
          <w:szCs w:val="32"/>
        </w:rPr>
        <w:t>由</w:t>
      </w:r>
      <w:bookmarkStart w:id="1" w:name="_Hlk22827578"/>
      <w:r>
        <w:rPr>
          <w:rFonts w:hint="eastAsia" w:ascii="仿宋" w:hAnsi="仿宋" w:eastAsia="仿宋"/>
          <w:color w:val="323232"/>
          <w:sz w:val="32"/>
          <w:szCs w:val="32"/>
        </w:rPr>
        <w:t>博罗县科工信局</w:t>
      </w:r>
      <w:bookmarkEnd w:id="1"/>
      <w:r>
        <w:rPr>
          <w:rFonts w:hint="eastAsia" w:ascii="仿宋" w:hAnsi="仿宋" w:eastAsia="仿宋"/>
          <w:color w:val="323232"/>
          <w:sz w:val="32"/>
          <w:szCs w:val="32"/>
        </w:rPr>
        <w:t>、财政局共同管理，专款专用，资金分配和使用情况向社会公开，接受上级有关部门的专项检查、审计及社会监督。</w:t>
      </w:r>
    </w:p>
    <w:p>
      <w:pPr>
        <w:pStyle w:val="4"/>
        <w:spacing w:before="156" w:beforeLines="50" w:beforeAutospacing="0" w:after="156" w:afterLines="50" w:afterAutospacing="0" w:line="360" w:lineRule="auto"/>
        <w:ind w:firstLine="640" w:firstLineChars="200"/>
        <w:jc w:val="both"/>
        <w:rPr>
          <w:rFonts w:ascii="仿宋" w:hAnsi="仿宋" w:eastAsia="仿宋"/>
          <w:color w:val="323232"/>
          <w:sz w:val="32"/>
          <w:szCs w:val="32"/>
        </w:rPr>
      </w:pPr>
      <w:r>
        <w:rPr>
          <w:rFonts w:hint="eastAsia" w:ascii="仿宋" w:hAnsi="仿宋" w:eastAsia="仿宋"/>
          <w:color w:val="323232"/>
          <w:sz w:val="32"/>
          <w:szCs w:val="32"/>
        </w:rPr>
        <w:t>第四条 专项资金使用和管理遵循以下原则</w:t>
      </w:r>
    </w:p>
    <w:p>
      <w:pPr>
        <w:pStyle w:val="4"/>
        <w:spacing w:before="156" w:beforeLines="50" w:beforeAutospacing="0" w:after="156" w:afterLines="50" w:afterAutospacing="0" w:line="360" w:lineRule="auto"/>
        <w:ind w:firstLine="640" w:firstLineChars="200"/>
        <w:jc w:val="both"/>
        <w:rPr>
          <w:rFonts w:ascii="仿宋" w:hAnsi="仿宋" w:eastAsia="仿宋"/>
          <w:color w:val="323232"/>
          <w:sz w:val="32"/>
          <w:szCs w:val="32"/>
        </w:rPr>
      </w:pPr>
      <w:r>
        <w:rPr>
          <w:rFonts w:hint="eastAsia" w:ascii="仿宋" w:hAnsi="仿宋" w:eastAsia="仿宋"/>
          <w:color w:val="323232"/>
          <w:sz w:val="32"/>
          <w:szCs w:val="32"/>
        </w:rPr>
        <w:t>（一）公平竞争，公开透明。专项资金使用必须严格遵守有关法律、法规和相关规章制度。资金分配通过规范的项目遴选机制，公开项目申报、评审、评估等环节的工作，广泛接受社会监督。</w:t>
      </w:r>
    </w:p>
    <w:p>
      <w:pPr>
        <w:pStyle w:val="4"/>
        <w:spacing w:before="156" w:beforeLines="50" w:after="156" w:afterLines="50" w:line="360" w:lineRule="auto"/>
        <w:ind w:firstLine="640" w:firstLineChars="200"/>
        <w:jc w:val="both"/>
        <w:rPr>
          <w:rFonts w:ascii="仿宋" w:hAnsi="仿宋" w:eastAsia="仿宋"/>
          <w:color w:val="323232"/>
          <w:sz w:val="32"/>
          <w:szCs w:val="32"/>
        </w:rPr>
      </w:pPr>
      <w:r>
        <w:rPr>
          <w:rFonts w:hint="eastAsia" w:ascii="仿宋" w:hAnsi="仿宋" w:eastAsia="仿宋"/>
          <w:color w:val="323232"/>
          <w:sz w:val="32"/>
          <w:szCs w:val="32"/>
        </w:rPr>
        <w:t>（二）政府引导，示范带动。专项资金的使用管理应符合国家和省、市、县相关规定，充分发挥财政资金的引导作用，吸引社会资本投入，调动企业和社会发展电子商务进农村的积极性。</w:t>
      </w:r>
    </w:p>
    <w:p>
      <w:pPr>
        <w:pStyle w:val="4"/>
        <w:spacing w:before="156" w:beforeLines="50" w:after="156" w:afterLines="50" w:line="360" w:lineRule="auto"/>
        <w:ind w:firstLine="640" w:firstLineChars="200"/>
        <w:rPr>
          <w:rFonts w:ascii="仿宋" w:hAnsi="仿宋" w:eastAsia="仿宋"/>
          <w:color w:val="323232"/>
          <w:sz w:val="32"/>
          <w:szCs w:val="32"/>
        </w:rPr>
      </w:pPr>
      <w:r>
        <w:rPr>
          <w:rFonts w:hint="eastAsia" w:ascii="仿宋" w:hAnsi="仿宋" w:eastAsia="仿宋"/>
          <w:color w:val="323232"/>
          <w:sz w:val="32"/>
          <w:szCs w:val="32"/>
        </w:rPr>
        <w:t>（三）择优扶持，鼓励规范。专项资金优先扶持有效益、有产出、有税源的重点项目，着重鼓励和引导全县电子商务及配套服务行业规范经营，诚实守信，做大做强。</w:t>
      </w:r>
    </w:p>
    <w:p>
      <w:pPr>
        <w:pStyle w:val="4"/>
        <w:spacing w:before="156" w:beforeLines="50" w:after="156" w:afterLines="50" w:line="360" w:lineRule="auto"/>
        <w:ind w:firstLine="640" w:firstLineChars="200"/>
        <w:rPr>
          <w:rFonts w:ascii="仿宋" w:hAnsi="仿宋" w:eastAsia="仿宋"/>
          <w:color w:val="323232"/>
          <w:sz w:val="32"/>
          <w:szCs w:val="32"/>
        </w:rPr>
      </w:pPr>
      <w:r>
        <w:rPr>
          <w:rFonts w:hint="eastAsia" w:ascii="仿宋" w:hAnsi="仿宋" w:eastAsia="仿宋"/>
          <w:color w:val="323232"/>
          <w:sz w:val="32"/>
          <w:szCs w:val="32"/>
        </w:rPr>
        <w:t>（四）创新机制，高效科学。专项资金使用必须以提高资金使用效益为基本导向，增强资金分配使用的绩效观念，加强对资金使用的监督管理。</w:t>
      </w:r>
    </w:p>
    <w:p>
      <w:pPr>
        <w:pStyle w:val="4"/>
        <w:spacing w:before="312" w:beforeLines="100" w:beforeAutospacing="0" w:after="312" w:afterLines="100" w:afterAutospacing="0" w:line="480" w:lineRule="auto"/>
        <w:jc w:val="center"/>
        <w:outlineLvl w:val="0"/>
        <w:rPr>
          <w:rFonts w:ascii="方正大标宋简体" w:hAnsi="仿宋" w:eastAsia="方正大标宋简体"/>
          <w:b/>
          <w:color w:val="323232"/>
          <w:sz w:val="32"/>
          <w:szCs w:val="32"/>
        </w:rPr>
      </w:pPr>
      <w:r>
        <w:rPr>
          <w:rFonts w:ascii="方正大标宋简体" w:hAnsi="仿宋" w:eastAsia="方正大标宋简体"/>
          <w:b/>
          <w:color w:val="323232"/>
          <w:sz w:val="32"/>
          <w:szCs w:val="32"/>
        </w:rPr>
        <w:t>第</w:t>
      </w:r>
      <w:r>
        <w:rPr>
          <w:rFonts w:hint="eastAsia" w:ascii="方正大标宋简体" w:hAnsi="仿宋" w:eastAsia="方正大标宋简体"/>
          <w:b/>
          <w:color w:val="323232"/>
          <w:sz w:val="32"/>
          <w:szCs w:val="32"/>
        </w:rPr>
        <w:t>二</w:t>
      </w:r>
      <w:r>
        <w:rPr>
          <w:rFonts w:ascii="方正大标宋简体" w:hAnsi="仿宋" w:eastAsia="方正大标宋简体"/>
          <w:b/>
          <w:color w:val="323232"/>
          <w:sz w:val="32"/>
          <w:szCs w:val="32"/>
        </w:rPr>
        <w:t xml:space="preserve">章 </w:t>
      </w:r>
      <w:r>
        <w:rPr>
          <w:rFonts w:ascii="Calibri" w:hAnsi="Calibri" w:eastAsia="方正大标宋简体" w:cs="Calibri"/>
          <w:b/>
          <w:color w:val="323232"/>
          <w:sz w:val="32"/>
          <w:szCs w:val="32"/>
        </w:rPr>
        <w:t> </w:t>
      </w:r>
      <w:r>
        <w:rPr>
          <w:rFonts w:hint="eastAsia" w:ascii="方正大标宋简体" w:hAnsi="仿宋" w:eastAsia="方正大标宋简体"/>
          <w:b/>
          <w:color w:val="323232"/>
          <w:sz w:val="32"/>
          <w:szCs w:val="32"/>
        </w:rPr>
        <w:t>资金的使用方向</w:t>
      </w:r>
    </w:p>
    <w:p>
      <w:pPr>
        <w:pStyle w:val="4"/>
        <w:spacing w:before="156" w:beforeLines="50" w:after="156" w:afterLines="50" w:line="360" w:lineRule="auto"/>
        <w:ind w:firstLine="640" w:firstLineChars="200"/>
        <w:rPr>
          <w:rFonts w:ascii="仿宋" w:hAnsi="仿宋" w:eastAsia="仿宋"/>
          <w:color w:val="323232"/>
          <w:sz w:val="32"/>
          <w:szCs w:val="32"/>
        </w:rPr>
      </w:pPr>
      <w:r>
        <w:rPr>
          <w:rFonts w:hint="eastAsia" w:ascii="仿宋" w:hAnsi="仿宋" w:eastAsia="仿宋"/>
          <w:color w:val="323232"/>
          <w:sz w:val="32"/>
          <w:szCs w:val="32"/>
        </w:rPr>
        <w:t>第五条 专项资金严格按照上级部门确定的资金支持方向，重点支持如下内容</w:t>
      </w:r>
    </w:p>
    <w:p>
      <w:pPr>
        <w:pStyle w:val="4"/>
        <w:spacing w:before="156" w:beforeLines="50" w:after="156" w:afterLines="50" w:line="360" w:lineRule="auto"/>
        <w:ind w:firstLine="640" w:firstLineChars="200"/>
        <w:rPr>
          <w:rFonts w:ascii="仿宋" w:hAnsi="仿宋" w:eastAsia="仿宋"/>
          <w:color w:val="323232"/>
          <w:sz w:val="32"/>
          <w:szCs w:val="32"/>
        </w:rPr>
      </w:pPr>
      <w:r>
        <w:rPr>
          <w:rFonts w:hint="eastAsia" w:ascii="仿宋" w:hAnsi="仿宋" w:eastAsia="仿宋"/>
          <w:color w:val="323232"/>
          <w:sz w:val="32"/>
          <w:szCs w:val="32"/>
        </w:rPr>
        <w:t>（一）促进农村产品上行。主要包括：农产品品牌推广建设；建设县级农产品物流仓储配送中心，完善农产品分级、初加工、包装、预冷基础设施；建设县、镇、村三级农产品物流配送体系；开展农村产品的标准化、质量认证、品牌培育、质量追溯等综合服务体系建设；大力开展“一村一品、一镇一业”，助力乡村振兴和精准扶贫。</w:t>
      </w:r>
    </w:p>
    <w:p>
      <w:pPr>
        <w:pStyle w:val="4"/>
        <w:spacing w:before="156" w:beforeLines="50" w:after="156" w:afterLines="50" w:line="360" w:lineRule="auto"/>
        <w:ind w:firstLine="640" w:firstLineChars="200"/>
        <w:jc w:val="both"/>
        <w:rPr>
          <w:rFonts w:ascii="仿宋" w:hAnsi="仿宋" w:eastAsia="仿宋"/>
          <w:color w:val="323232"/>
          <w:sz w:val="32"/>
          <w:szCs w:val="32"/>
        </w:rPr>
      </w:pPr>
      <w:r>
        <w:rPr>
          <w:rFonts w:hint="eastAsia" w:ascii="仿宋" w:hAnsi="仿宋" w:eastAsia="仿宋"/>
          <w:color w:val="323232"/>
          <w:sz w:val="32"/>
          <w:szCs w:val="32"/>
        </w:rPr>
        <w:t>（二）完善农村电商公共服务体系。主要包括：建设完善博罗县电子商务公共服务中心和镇村电子商务服务站点。</w:t>
      </w:r>
    </w:p>
    <w:p>
      <w:pPr>
        <w:pStyle w:val="4"/>
        <w:spacing w:before="156" w:beforeLines="50" w:after="156" w:afterLines="50" w:line="360" w:lineRule="auto"/>
        <w:ind w:firstLine="640" w:firstLineChars="200"/>
        <w:jc w:val="both"/>
        <w:rPr>
          <w:rFonts w:ascii="仿宋" w:hAnsi="仿宋" w:eastAsia="仿宋"/>
          <w:color w:val="323232"/>
          <w:sz w:val="32"/>
          <w:szCs w:val="32"/>
        </w:rPr>
      </w:pPr>
      <w:r>
        <w:rPr>
          <w:rFonts w:hint="eastAsia" w:ascii="仿宋" w:hAnsi="仿宋" w:eastAsia="仿宋"/>
          <w:color w:val="323232"/>
          <w:sz w:val="32"/>
          <w:szCs w:val="32"/>
        </w:rPr>
        <w:t>（三）开展农村电子商务培训。整合资源，建立覆盖对象广泛、培训形式多样、管理运作规范、保障措施健全的培训体系。</w:t>
      </w:r>
    </w:p>
    <w:p>
      <w:pPr>
        <w:pStyle w:val="4"/>
        <w:spacing w:before="312" w:beforeLines="100" w:beforeAutospacing="0" w:after="312" w:afterLines="100" w:afterAutospacing="0" w:line="480" w:lineRule="auto"/>
        <w:jc w:val="center"/>
        <w:outlineLvl w:val="0"/>
        <w:rPr>
          <w:rFonts w:ascii="方正大标宋简体" w:hAnsi="仿宋" w:eastAsia="方正大标宋简体"/>
          <w:b/>
          <w:color w:val="323232"/>
          <w:sz w:val="32"/>
          <w:szCs w:val="32"/>
        </w:rPr>
      </w:pPr>
      <w:r>
        <w:rPr>
          <w:rFonts w:ascii="方正大标宋简体" w:hAnsi="仿宋" w:eastAsia="方正大标宋简体"/>
          <w:b/>
          <w:color w:val="323232"/>
          <w:sz w:val="32"/>
          <w:szCs w:val="32"/>
        </w:rPr>
        <w:t>第</w:t>
      </w:r>
      <w:r>
        <w:rPr>
          <w:rFonts w:hint="eastAsia" w:ascii="方正大标宋简体" w:hAnsi="仿宋" w:eastAsia="方正大标宋简体"/>
          <w:b/>
          <w:color w:val="323232"/>
          <w:sz w:val="32"/>
          <w:szCs w:val="32"/>
        </w:rPr>
        <w:t>三</w:t>
      </w:r>
      <w:r>
        <w:rPr>
          <w:rFonts w:ascii="方正大标宋简体" w:hAnsi="仿宋" w:eastAsia="方正大标宋简体"/>
          <w:b/>
          <w:color w:val="323232"/>
          <w:sz w:val="32"/>
          <w:szCs w:val="32"/>
        </w:rPr>
        <w:t xml:space="preserve">章 </w:t>
      </w:r>
      <w:r>
        <w:rPr>
          <w:rFonts w:ascii="Calibri" w:hAnsi="Calibri" w:eastAsia="方正大标宋简体" w:cs="Calibri"/>
          <w:b/>
          <w:color w:val="323232"/>
          <w:sz w:val="32"/>
          <w:szCs w:val="32"/>
        </w:rPr>
        <w:t> </w:t>
      </w:r>
      <w:r>
        <w:rPr>
          <w:rFonts w:ascii="方正大标宋简体" w:hAnsi="仿宋" w:eastAsia="方正大标宋简体"/>
          <w:b/>
          <w:color w:val="323232"/>
          <w:sz w:val="32"/>
          <w:szCs w:val="32"/>
        </w:rPr>
        <w:t>资金的审批和拨付</w:t>
      </w:r>
    </w:p>
    <w:p>
      <w:pPr>
        <w:pStyle w:val="4"/>
        <w:spacing w:before="156" w:beforeLines="50" w:beforeAutospacing="0" w:after="156" w:afterLines="50" w:afterAutospacing="0" w:line="360" w:lineRule="auto"/>
        <w:ind w:firstLine="640" w:firstLineChars="200"/>
        <w:jc w:val="both"/>
        <w:rPr>
          <w:rFonts w:ascii="仿宋" w:hAnsi="仿宋" w:eastAsia="仿宋"/>
          <w:color w:val="323232"/>
          <w:sz w:val="32"/>
          <w:szCs w:val="32"/>
        </w:rPr>
      </w:pPr>
      <w:r>
        <w:rPr>
          <w:rFonts w:ascii="仿宋" w:hAnsi="仿宋" w:eastAsia="仿宋"/>
          <w:color w:val="323232"/>
          <w:sz w:val="32"/>
          <w:szCs w:val="32"/>
        </w:rPr>
        <w:t>第</w:t>
      </w:r>
      <w:r>
        <w:rPr>
          <w:rFonts w:hint="eastAsia" w:ascii="仿宋" w:hAnsi="仿宋" w:eastAsia="仿宋"/>
          <w:color w:val="323232"/>
          <w:sz w:val="32"/>
          <w:szCs w:val="32"/>
        </w:rPr>
        <w:t>六</w:t>
      </w:r>
      <w:r>
        <w:rPr>
          <w:rFonts w:ascii="仿宋" w:hAnsi="仿宋" w:eastAsia="仿宋"/>
          <w:color w:val="323232"/>
          <w:sz w:val="32"/>
          <w:szCs w:val="32"/>
        </w:rPr>
        <w:t>条 通过公开招标</w:t>
      </w:r>
      <w:r>
        <w:rPr>
          <w:rFonts w:hint="eastAsia" w:ascii="仿宋" w:hAnsi="仿宋" w:eastAsia="仿宋"/>
          <w:color w:val="323232"/>
          <w:sz w:val="32"/>
          <w:szCs w:val="32"/>
        </w:rPr>
        <w:t>的</w:t>
      </w:r>
      <w:r>
        <w:rPr>
          <w:rFonts w:ascii="仿宋" w:hAnsi="仿宋" w:eastAsia="仿宋"/>
          <w:color w:val="323232"/>
          <w:sz w:val="32"/>
          <w:szCs w:val="32"/>
        </w:rPr>
        <w:t>形式选择具备实施经验与能力的企业</w:t>
      </w:r>
      <w:r>
        <w:rPr>
          <w:rFonts w:hint="eastAsia" w:ascii="仿宋" w:hAnsi="仿宋" w:eastAsia="仿宋"/>
          <w:color w:val="323232"/>
          <w:sz w:val="32"/>
          <w:szCs w:val="32"/>
        </w:rPr>
        <w:t>作为项目承办企业，招标信息、中标结果在广东省政府采购网站和博罗县政府门户网站公示。</w:t>
      </w:r>
    </w:p>
    <w:p>
      <w:pPr>
        <w:pStyle w:val="4"/>
        <w:spacing w:before="156" w:beforeLines="50" w:beforeAutospacing="0" w:after="156" w:afterLines="50" w:afterAutospacing="0" w:line="360" w:lineRule="auto"/>
        <w:ind w:firstLine="640" w:firstLineChars="200"/>
        <w:jc w:val="both"/>
        <w:rPr>
          <w:rFonts w:ascii="仿宋" w:hAnsi="仿宋" w:eastAsia="仿宋"/>
          <w:color w:val="323232"/>
          <w:sz w:val="32"/>
          <w:szCs w:val="32"/>
        </w:rPr>
      </w:pPr>
      <w:r>
        <w:rPr>
          <w:rFonts w:ascii="仿宋" w:hAnsi="仿宋" w:eastAsia="仿宋"/>
          <w:color w:val="323232"/>
          <w:sz w:val="32"/>
          <w:szCs w:val="32"/>
        </w:rPr>
        <w:t>第</w:t>
      </w:r>
      <w:r>
        <w:rPr>
          <w:rFonts w:hint="eastAsia" w:ascii="仿宋" w:hAnsi="仿宋" w:eastAsia="仿宋"/>
          <w:color w:val="323232"/>
          <w:sz w:val="32"/>
          <w:szCs w:val="32"/>
        </w:rPr>
        <w:t>七</w:t>
      </w:r>
      <w:r>
        <w:rPr>
          <w:rFonts w:ascii="仿宋" w:hAnsi="仿宋" w:eastAsia="仿宋"/>
          <w:color w:val="323232"/>
          <w:sz w:val="32"/>
          <w:szCs w:val="32"/>
        </w:rPr>
        <w:t>条</w:t>
      </w:r>
      <w:r>
        <w:rPr>
          <w:rFonts w:hint="eastAsia" w:ascii="仿宋" w:hAnsi="仿宋" w:eastAsia="仿宋"/>
          <w:color w:val="323232"/>
          <w:sz w:val="32"/>
          <w:szCs w:val="32"/>
        </w:rPr>
        <w:t xml:space="preserve"> 专项资金按照项目合同及工程进度拨付（具体进度及拨付比例按招标文件及正式签订的项目服务合同执行）。</w:t>
      </w:r>
    </w:p>
    <w:p>
      <w:pPr>
        <w:pStyle w:val="4"/>
        <w:spacing w:before="312" w:beforeLines="100" w:beforeAutospacing="0" w:after="312" w:afterLines="100" w:afterAutospacing="0" w:line="480" w:lineRule="auto"/>
        <w:jc w:val="center"/>
        <w:outlineLvl w:val="0"/>
        <w:rPr>
          <w:rFonts w:ascii="方正大标宋简体" w:hAnsi="仿宋" w:eastAsia="方正大标宋简体"/>
          <w:b/>
          <w:color w:val="323232"/>
          <w:sz w:val="32"/>
          <w:szCs w:val="32"/>
        </w:rPr>
      </w:pPr>
      <w:r>
        <w:rPr>
          <w:rFonts w:ascii="方正大标宋简体" w:hAnsi="仿宋" w:eastAsia="方正大标宋简体"/>
          <w:b/>
          <w:color w:val="323232"/>
          <w:sz w:val="32"/>
          <w:szCs w:val="32"/>
        </w:rPr>
        <w:t>第</w:t>
      </w:r>
      <w:r>
        <w:rPr>
          <w:rFonts w:hint="eastAsia" w:ascii="方正大标宋简体" w:hAnsi="仿宋" w:eastAsia="方正大标宋简体"/>
          <w:b/>
          <w:color w:val="323232"/>
          <w:sz w:val="32"/>
          <w:szCs w:val="32"/>
        </w:rPr>
        <w:t>四</w:t>
      </w:r>
      <w:r>
        <w:rPr>
          <w:rFonts w:ascii="方正大标宋简体" w:hAnsi="仿宋" w:eastAsia="方正大标宋简体"/>
          <w:b/>
          <w:color w:val="323232"/>
          <w:sz w:val="32"/>
          <w:szCs w:val="32"/>
        </w:rPr>
        <w:t>章 资金的管理</w:t>
      </w:r>
      <w:r>
        <w:rPr>
          <w:rFonts w:hint="eastAsia" w:ascii="方正大标宋简体" w:hAnsi="仿宋" w:eastAsia="方正大标宋简体"/>
          <w:b/>
          <w:color w:val="323232"/>
          <w:sz w:val="32"/>
          <w:szCs w:val="32"/>
        </w:rPr>
        <w:t>和监督</w:t>
      </w:r>
    </w:p>
    <w:p>
      <w:pPr>
        <w:pStyle w:val="4"/>
        <w:spacing w:before="156" w:beforeLines="50" w:beforeAutospacing="0" w:after="156" w:afterLines="50" w:afterAutospacing="0" w:line="360" w:lineRule="auto"/>
        <w:ind w:firstLine="640" w:firstLineChars="200"/>
        <w:jc w:val="both"/>
        <w:rPr>
          <w:rFonts w:ascii="仿宋" w:hAnsi="仿宋" w:eastAsia="仿宋"/>
          <w:color w:val="323232"/>
          <w:sz w:val="32"/>
          <w:szCs w:val="32"/>
        </w:rPr>
      </w:pPr>
      <w:r>
        <w:rPr>
          <w:rFonts w:ascii="仿宋" w:hAnsi="仿宋" w:eastAsia="仿宋"/>
          <w:color w:val="323232"/>
          <w:sz w:val="32"/>
          <w:szCs w:val="32"/>
        </w:rPr>
        <w:t>第</w:t>
      </w:r>
      <w:r>
        <w:rPr>
          <w:rFonts w:hint="eastAsia" w:ascii="仿宋" w:hAnsi="仿宋" w:eastAsia="仿宋"/>
          <w:color w:val="323232"/>
          <w:sz w:val="32"/>
          <w:szCs w:val="32"/>
        </w:rPr>
        <w:t>八</w:t>
      </w:r>
      <w:r>
        <w:rPr>
          <w:rFonts w:ascii="仿宋" w:hAnsi="仿宋" w:eastAsia="仿宋"/>
          <w:color w:val="323232"/>
          <w:sz w:val="32"/>
          <w:szCs w:val="32"/>
        </w:rPr>
        <w:t>条</w:t>
      </w:r>
      <w:r>
        <w:rPr>
          <w:rFonts w:hint="eastAsia" w:ascii="仿宋" w:hAnsi="仿宋" w:eastAsia="仿宋"/>
          <w:color w:val="323232"/>
          <w:sz w:val="32"/>
          <w:szCs w:val="32"/>
        </w:rPr>
        <w:t xml:space="preserve"> 县科工信局、县财政局作为专项资金的管理单位，分别履行以下管理职责。</w:t>
      </w:r>
    </w:p>
    <w:p>
      <w:pPr>
        <w:pStyle w:val="4"/>
        <w:spacing w:before="156" w:beforeLines="50" w:after="156" w:afterLines="50" w:line="360" w:lineRule="auto"/>
        <w:ind w:firstLine="640" w:firstLineChars="200"/>
        <w:rPr>
          <w:rFonts w:ascii="仿宋" w:hAnsi="仿宋" w:eastAsia="仿宋"/>
          <w:color w:val="323232"/>
          <w:sz w:val="32"/>
          <w:szCs w:val="32"/>
        </w:rPr>
      </w:pPr>
      <w:r>
        <w:rPr>
          <w:rFonts w:hint="eastAsia" w:ascii="仿宋" w:hAnsi="仿宋" w:eastAsia="仿宋"/>
          <w:color w:val="323232"/>
          <w:sz w:val="32"/>
          <w:szCs w:val="32"/>
        </w:rPr>
        <w:t>（一）县科工信局负责提出具体工作方案及预算初步建议，组织项目公开招标、实施、管理、验收等工作，执行上级有关部门的指导。</w:t>
      </w:r>
    </w:p>
    <w:p>
      <w:pPr>
        <w:pStyle w:val="4"/>
        <w:spacing w:before="156" w:beforeLines="50" w:beforeAutospacing="0" w:after="156" w:afterLines="50" w:afterAutospacing="0" w:line="360" w:lineRule="auto"/>
        <w:ind w:firstLine="640" w:firstLineChars="200"/>
        <w:jc w:val="both"/>
        <w:rPr>
          <w:rFonts w:ascii="仿宋" w:hAnsi="仿宋" w:eastAsia="仿宋"/>
          <w:color w:val="323232"/>
          <w:sz w:val="32"/>
          <w:szCs w:val="32"/>
        </w:rPr>
      </w:pPr>
      <w:r>
        <w:rPr>
          <w:rFonts w:hint="eastAsia" w:ascii="仿宋" w:hAnsi="仿宋" w:eastAsia="仿宋"/>
          <w:color w:val="323232"/>
          <w:sz w:val="32"/>
          <w:szCs w:val="32"/>
        </w:rPr>
        <w:t>（二）县财政局负责审核县科工信局提出的工作方案及预算初步建议，下达预算及拨付资金，对资金的使用及绩效情况进行监督检查，组织开展专项资金使用绩效评价。</w:t>
      </w:r>
    </w:p>
    <w:p>
      <w:pPr>
        <w:pStyle w:val="4"/>
        <w:spacing w:before="156" w:beforeLines="50" w:beforeAutospacing="0" w:after="156" w:afterLines="50" w:afterAutospacing="0" w:line="360" w:lineRule="auto"/>
        <w:ind w:firstLine="640" w:firstLineChars="200"/>
        <w:jc w:val="both"/>
        <w:rPr>
          <w:rFonts w:ascii="仿宋" w:hAnsi="仿宋" w:eastAsia="仿宋"/>
          <w:color w:val="323232"/>
          <w:sz w:val="32"/>
          <w:szCs w:val="32"/>
        </w:rPr>
      </w:pPr>
      <w:r>
        <w:rPr>
          <w:rFonts w:hint="eastAsia" w:ascii="仿宋" w:hAnsi="仿宋" w:eastAsia="仿宋"/>
          <w:color w:val="323232"/>
          <w:sz w:val="32"/>
          <w:szCs w:val="32"/>
        </w:rPr>
        <w:t xml:space="preserve">第九条 </w:t>
      </w:r>
      <w:bookmarkStart w:id="2" w:name="_Hlk22826107"/>
      <w:r>
        <w:rPr>
          <w:rFonts w:hint="eastAsia" w:ascii="仿宋" w:hAnsi="仿宋" w:eastAsia="仿宋"/>
          <w:color w:val="323232"/>
          <w:sz w:val="32"/>
          <w:szCs w:val="32"/>
        </w:rPr>
        <w:t>县科工信局</w:t>
      </w:r>
      <w:bookmarkEnd w:id="2"/>
      <w:r>
        <w:rPr>
          <w:rFonts w:hint="eastAsia" w:ascii="仿宋" w:hAnsi="仿宋" w:eastAsia="仿宋"/>
          <w:color w:val="323232"/>
          <w:sz w:val="32"/>
          <w:szCs w:val="32"/>
        </w:rPr>
        <w:t>、县财政局</w:t>
      </w:r>
      <w:r>
        <w:rPr>
          <w:rFonts w:ascii="仿宋" w:hAnsi="仿宋" w:eastAsia="仿宋"/>
          <w:color w:val="323232"/>
          <w:sz w:val="32"/>
          <w:szCs w:val="32"/>
        </w:rPr>
        <w:t>应</w:t>
      </w:r>
      <w:r>
        <w:rPr>
          <w:rFonts w:hint="eastAsia" w:ascii="仿宋" w:hAnsi="仿宋" w:eastAsia="仿宋"/>
          <w:color w:val="323232"/>
          <w:sz w:val="32"/>
          <w:szCs w:val="32"/>
        </w:rPr>
        <w:t>加强对项目实施、资金使用情况的监督管理，分阶段对项目进度、完成效果等进行评估和考核，发现问题及时纠正处理。承办企业按时限、按标准完成建设任务的，分阶段拨付项目建设经费；承办企业不能按时按标准完成项目建设任务的，限时督办完成，对经督办仍不能完成项目建设任务的，由县科工信局终止相关承办协议，另行选定项目承办企业，并按相关协议依法追究承办企业的违约责任。</w:t>
      </w:r>
    </w:p>
    <w:p>
      <w:pPr>
        <w:pStyle w:val="4"/>
        <w:spacing w:before="156" w:beforeLines="50" w:beforeAutospacing="0" w:after="156" w:afterLines="50" w:afterAutospacing="0" w:line="360" w:lineRule="auto"/>
        <w:ind w:firstLine="640" w:firstLineChars="200"/>
        <w:jc w:val="both"/>
        <w:rPr>
          <w:rFonts w:ascii="仿宋" w:hAnsi="仿宋" w:eastAsia="仿宋"/>
          <w:color w:val="323232"/>
          <w:sz w:val="32"/>
          <w:szCs w:val="32"/>
        </w:rPr>
      </w:pPr>
      <w:r>
        <w:rPr>
          <w:rFonts w:hint="eastAsia" w:ascii="仿宋" w:hAnsi="仿宋" w:eastAsia="仿宋"/>
          <w:color w:val="323232"/>
          <w:sz w:val="32"/>
          <w:szCs w:val="32"/>
        </w:rPr>
        <w:t>第十条 承办企业要加强财务基础管理工作，建立健全专项资金使用台账，规范财务核算工作，及时、全面、客观反映专项资金收支情况，按要求做好财务决算。要严格执行财务规章制度和会计核算办法，严格执行财政资金使用票据销账制度。要加强档案资料管理，确保与专项资金申报、管理、使用相关的单据、凭证、文件、资料等按规定保管。</w:t>
      </w:r>
    </w:p>
    <w:p>
      <w:pPr>
        <w:pStyle w:val="4"/>
        <w:spacing w:before="156" w:beforeLines="50" w:beforeAutospacing="0" w:after="156" w:afterLines="50" w:afterAutospacing="0" w:line="360" w:lineRule="auto"/>
        <w:ind w:firstLine="640" w:firstLineChars="200"/>
        <w:jc w:val="both"/>
        <w:rPr>
          <w:rFonts w:ascii="仿宋" w:hAnsi="仿宋" w:eastAsia="仿宋"/>
          <w:color w:val="323232"/>
          <w:sz w:val="32"/>
          <w:szCs w:val="32"/>
        </w:rPr>
      </w:pPr>
      <w:r>
        <w:rPr>
          <w:rFonts w:ascii="仿宋" w:hAnsi="仿宋" w:eastAsia="仿宋"/>
          <w:color w:val="323232"/>
          <w:sz w:val="32"/>
          <w:szCs w:val="32"/>
        </w:rPr>
        <w:t>第</w:t>
      </w:r>
      <w:r>
        <w:rPr>
          <w:rFonts w:hint="eastAsia" w:ascii="仿宋" w:hAnsi="仿宋" w:eastAsia="仿宋"/>
          <w:color w:val="323232"/>
          <w:sz w:val="32"/>
          <w:szCs w:val="32"/>
        </w:rPr>
        <w:t>十一</w:t>
      </w:r>
      <w:r>
        <w:rPr>
          <w:rFonts w:ascii="仿宋" w:hAnsi="仿宋" w:eastAsia="仿宋"/>
          <w:color w:val="323232"/>
          <w:sz w:val="32"/>
          <w:szCs w:val="32"/>
        </w:rPr>
        <w:t>条</w:t>
      </w:r>
      <w:r>
        <w:rPr>
          <w:rFonts w:hint="eastAsia" w:ascii="仿宋" w:hAnsi="仿宋" w:eastAsia="仿宋"/>
          <w:color w:val="323232"/>
          <w:sz w:val="32"/>
          <w:szCs w:val="32"/>
        </w:rPr>
        <w:t xml:space="preserve"> 承办企业对专项资金进行专款专用，并每月定期向电子商务进农村建设领导小组办公室提交书面材料，及时报告项目建设进度及资金使用情况。对违反规定使用专项资金的承办企业，一经查实，将全额追回已拨付的款项，并取消该承办企业的项目实施资格，</w:t>
      </w:r>
      <w:r>
        <w:rPr>
          <w:rFonts w:ascii="仿宋" w:hAnsi="仿宋" w:eastAsia="仿宋"/>
          <w:color w:val="323232"/>
          <w:sz w:val="32"/>
          <w:szCs w:val="32"/>
        </w:rPr>
        <w:t>3年内不得申报本县范围内其他任何电子商务扶持资金项目。对弄虚作假、截留、挪用、挤占专项资金等行为，一经查实，将根据有关法律法规依法进行严肃处理。构成犯罪的，将依法追究刑事责任。</w:t>
      </w:r>
    </w:p>
    <w:p>
      <w:pPr>
        <w:pStyle w:val="4"/>
        <w:spacing w:before="156" w:beforeLines="50" w:beforeAutospacing="0" w:after="156" w:afterLines="50" w:afterAutospacing="0" w:line="360" w:lineRule="auto"/>
        <w:ind w:firstLine="640" w:firstLineChars="200"/>
        <w:jc w:val="both"/>
        <w:rPr>
          <w:rFonts w:ascii="仿宋" w:hAnsi="仿宋" w:eastAsia="仿宋"/>
          <w:color w:val="323232"/>
          <w:sz w:val="32"/>
          <w:szCs w:val="32"/>
        </w:rPr>
      </w:pPr>
      <w:r>
        <w:rPr>
          <w:rFonts w:ascii="仿宋" w:hAnsi="仿宋" w:eastAsia="仿宋"/>
          <w:color w:val="323232"/>
          <w:sz w:val="32"/>
          <w:szCs w:val="32"/>
        </w:rPr>
        <w:t>第</w:t>
      </w:r>
      <w:r>
        <w:rPr>
          <w:rFonts w:hint="eastAsia" w:ascii="仿宋" w:hAnsi="仿宋" w:eastAsia="仿宋"/>
          <w:color w:val="323232"/>
          <w:sz w:val="32"/>
          <w:szCs w:val="32"/>
        </w:rPr>
        <w:t>十二</w:t>
      </w:r>
      <w:r>
        <w:rPr>
          <w:rFonts w:ascii="仿宋" w:hAnsi="仿宋" w:eastAsia="仿宋"/>
          <w:color w:val="323232"/>
          <w:sz w:val="32"/>
          <w:szCs w:val="32"/>
        </w:rPr>
        <w:t>条</w:t>
      </w:r>
      <w:r>
        <w:rPr>
          <w:rFonts w:hint="eastAsia" w:ascii="仿宋" w:hAnsi="仿宋" w:eastAsia="仿宋"/>
          <w:color w:val="323232"/>
          <w:sz w:val="32"/>
          <w:szCs w:val="32"/>
        </w:rPr>
        <w:t xml:space="preserve"> 县科工信局会同县财政局按相关要求及时上报省商务厅项目进展、资金到位和项目管理等相关情况，加强与上级部门联系，争取上级部门指导与支持。</w:t>
      </w:r>
    </w:p>
    <w:p>
      <w:pPr>
        <w:pStyle w:val="4"/>
        <w:spacing w:before="312" w:beforeLines="100" w:beforeAutospacing="0" w:after="312" w:afterLines="100" w:afterAutospacing="0" w:line="480" w:lineRule="auto"/>
        <w:jc w:val="center"/>
        <w:outlineLvl w:val="0"/>
        <w:rPr>
          <w:rFonts w:ascii="方正大标宋简体" w:hAnsi="仿宋" w:eastAsia="方正大标宋简体"/>
          <w:b/>
          <w:color w:val="323232"/>
          <w:sz w:val="32"/>
          <w:szCs w:val="32"/>
        </w:rPr>
      </w:pPr>
      <w:r>
        <w:rPr>
          <w:rFonts w:ascii="方正大标宋简体" w:hAnsi="仿宋" w:eastAsia="方正大标宋简体"/>
          <w:b/>
          <w:color w:val="323232"/>
          <w:sz w:val="32"/>
          <w:szCs w:val="32"/>
        </w:rPr>
        <w:t>第</w:t>
      </w:r>
      <w:r>
        <w:rPr>
          <w:rFonts w:hint="eastAsia" w:ascii="方正大标宋简体" w:hAnsi="仿宋" w:eastAsia="方正大标宋简体"/>
          <w:b/>
          <w:color w:val="323232"/>
          <w:sz w:val="32"/>
          <w:szCs w:val="32"/>
        </w:rPr>
        <w:t>五</w:t>
      </w:r>
      <w:r>
        <w:rPr>
          <w:rFonts w:ascii="方正大标宋简体" w:hAnsi="仿宋" w:eastAsia="方正大标宋简体"/>
          <w:b/>
          <w:color w:val="323232"/>
          <w:sz w:val="32"/>
          <w:szCs w:val="32"/>
        </w:rPr>
        <w:t xml:space="preserve">章 </w:t>
      </w:r>
      <w:r>
        <w:rPr>
          <w:rFonts w:ascii="Calibri" w:hAnsi="Calibri" w:eastAsia="方正大标宋简体" w:cs="Calibri"/>
          <w:b/>
          <w:color w:val="323232"/>
          <w:sz w:val="32"/>
          <w:szCs w:val="32"/>
        </w:rPr>
        <w:t> </w:t>
      </w:r>
      <w:r>
        <w:rPr>
          <w:rFonts w:ascii="方正大标宋简体" w:hAnsi="仿宋" w:eastAsia="方正大标宋简体"/>
          <w:b/>
          <w:color w:val="323232"/>
          <w:sz w:val="32"/>
          <w:szCs w:val="32"/>
        </w:rPr>
        <w:t>附则</w:t>
      </w:r>
    </w:p>
    <w:p>
      <w:pPr>
        <w:pStyle w:val="4"/>
        <w:spacing w:before="156" w:beforeLines="50" w:after="156" w:afterLines="50" w:line="360" w:lineRule="auto"/>
        <w:ind w:firstLine="640" w:firstLineChars="200"/>
        <w:rPr>
          <w:rFonts w:ascii="仿宋" w:hAnsi="仿宋" w:eastAsia="仿宋"/>
          <w:color w:val="323232"/>
          <w:sz w:val="32"/>
          <w:szCs w:val="32"/>
        </w:rPr>
      </w:pPr>
      <w:r>
        <w:rPr>
          <w:rFonts w:ascii="仿宋" w:hAnsi="仿宋" w:eastAsia="仿宋"/>
          <w:color w:val="323232"/>
          <w:sz w:val="32"/>
          <w:szCs w:val="32"/>
        </w:rPr>
        <w:t>第十</w:t>
      </w:r>
      <w:r>
        <w:rPr>
          <w:rFonts w:hint="eastAsia" w:ascii="仿宋" w:hAnsi="仿宋" w:eastAsia="仿宋"/>
          <w:color w:val="323232"/>
          <w:sz w:val="32"/>
          <w:szCs w:val="32"/>
        </w:rPr>
        <w:t>三</w:t>
      </w:r>
      <w:r>
        <w:rPr>
          <w:rFonts w:ascii="仿宋" w:hAnsi="仿宋" w:eastAsia="仿宋"/>
          <w:color w:val="323232"/>
          <w:sz w:val="32"/>
          <w:szCs w:val="32"/>
        </w:rPr>
        <w:t>条</w:t>
      </w:r>
      <w:r>
        <w:rPr>
          <w:rFonts w:hint="eastAsia" w:ascii="仿宋" w:hAnsi="仿宋" w:eastAsia="仿宋"/>
          <w:color w:val="323232"/>
          <w:sz w:val="32"/>
          <w:szCs w:val="32"/>
        </w:rPr>
        <w:t xml:space="preserve"> 本办法由博罗县科工信局会同县财政局负责解释。</w:t>
      </w:r>
    </w:p>
    <w:p>
      <w:pPr>
        <w:pStyle w:val="4"/>
        <w:spacing w:before="156" w:beforeLines="50" w:beforeAutospacing="0" w:after="156" w:afterLines="50" w:afterAutospacing="0" w:line="360" w:lineRule="auto"/>
        <w:ind w:firstLine="640" w:firstLineChars="200"/>
        <w:jc w:val="both"/>
        <w:rPr>
          <w:rFonts w:ascii="仿宋" w:hAnsi="仿宋" w:eastAsia="仿宋"/>
          <w:sz w:val="32"/>
          <w:szCs w:val="32"/>
        </w:rPr>
      </w:pPr>
      <w:r>
        <w:rPr>
          <w:rFonts w:hint="eastAsia" w:ascii="仿宋" w:hAnsi="仿宋" w:eastAsia="仿宋"/>
          <w:color w:val="323232"/>
          <w:sz w:val="32"/>
          <w:szCs w:val="32"/>
        </w:rPr>
        <w:t xml:space="preserve">第十四条 </w:t>
      </w:r>
      <w:r>
        <w:rPr>
          <w:rFonts w:ascii="仿宋" w:hAnsi="仿宋" w:eastAsia="仿宋"/>
          <w:color w:val="323232"/>
          <w:sz w:val="32"/>
          <w:szCs w:val="32"/>
        </w:rPr>
        <w:t>本办法自发布之日起实施，至项目</w:t>
      </w:r>
      <w:r>
        <w:rPr>
          <w:rFonts w:hint="eastAsia" w:ascii="仿宋" w:hAnsi="仿宋" w:eastAsia="仿宋"/>
          <w:color w:val="323232"/>
          <w:sz w:val="32"/>
          <w:szCs w:val="32"/>
        </w:rPr>
        <w:t>验收</w:t>
      </w:r>
      <w:r>
        <w:rPr>
          <w:rFonts w:ascii="仿宋" w:hAnsi="仿宋" w:eastAsia="仿宋"/>
          <w:color w:val="323232"/>
          <w:sz w:val="32"/>
          <w:szCs w:val="32"/>
        </w:rPr>
        <w:t>完毕止。如遇有关政策调整将作相应变更。</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等线">
    <w:altName w:val="宋体"/>
    <w:panose1 w:val="02010600030101010101"/>
    <w:charset w:val="86"/>
    <w:family w:val="auto"/>
    <w:pitch w:val="default"/>
    <w:sig w:usb0="00000000" w:usb1="00000000" w:usb2="00000016" w:usb3="00000000" w:csb0="0004000F" w:csb1="00000000"/>
  </w:font>
  <w:font w:name="等线">
    <w:altName w:val="宋体"/>
    <w:panose1 w:val="00000000000000000000"/>
    <w:charset w:val="86"/>
    <w:family w:val="auto"/>
    <w:pitch w:val="default"/>
    <w:sig w:usb0="00000000" w:usb1="00000000" w:usb2="00000000" w:usb3="00000000" w:csb0="00000000" w:csb1="00000000"/>
  </w:font>
  <w:font w:name="等线">
    <w:altName w:val="Courier New"/>
    <w:panose1 w:val="00000000000000000000"/>
    <w:charset w:val="00"/>
    <w:family w:val="auto"/>
    <w:pitch w:val="default"/>
    <w:sig w:usb0="00000000" w:usb1="00000000" w:usb2="00000000" w:usb3="00000000" w:csb0="00000000" w:csb1="00000000"/>
  </w:font>
  <w:font w:name="方正大标宋简体">
    <w:altName w:val="宋体"/>
    <w:panose1 w:val="02010601030101010101"/>
    <w:charset w:val="86"/>
    <w:family w:val="auto"/>
    <w:pitch w:val="default"/>
    <w:sig w:usb0="00000000" w:usb1="00000000" w:usb2="00000010" w:usb3="00000000" w:csb0="00040000" w:csb1="00000000"/>
  </w:font>
  <w:font w:name="仿宋">
    <w:altName w:val="宋体"/>
    <w:panose1 w:val="02010609060101010101"/>
    <w:charset w:val="86"/>
    <w:family w:val="modern"/>
    <w:pitch w:val="default"/>
    <w:sig w:usb0="00000000" w:usb1="00000000" w:usb2="00000016" w:usb3="00000000" w:csb0="00040001" w:csb1="00000000"/>
  </w:font>
  <w:font w:name="Courier New">
    <w:panose1 w:val="02070309020205020404"/>
    <w:charset w:val="00"/>
    <w:family w:val="auto"/>
    <w:pitch w:val="default"/>
    <w:sig w:usb0="00007A87" w:usb1="80000000" w:usb2="00000008"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3EB0"/>
    <w:rsid w:val="00036CDC"/>
    <w:rsid w:val="00050F10"/>
    <w:rsid w:val="00053AFE"/>
    <w:rsid w:val="000A67F2"/>
    <w:rsid w:val="000E20CE"/>
    <w:rsid w:val="00140013"/>
    <w:rsid w:val="00151326"/>
    <w:rsid w:val="00153CB7"/>
    <w:rsid w:val="001630FA"/>
    <w:rsid w:val="0018370B"/>
    <w:rsid w:val="001B30CC"/>
    <w:rsid w:val="001C747E"/>
    <w:rsid w:val="001C7486"/>
    <w:rsid w:val="002004B0"/>
    <w:rsid w:val="00201165"/>
    <w:rsid w:val="00203CB3"/>
    <w:rsid w:val="0022387D"/>
    <w:rsid w:val="00230568"/>
    <w:rsid w:val="002371F6"/>
    <w:rsid w:val="00265BF4"/>
    <w:rsid w:val="002A0A01"/>
    <w:rsid w:val="002B1411"/>
    <w:rsid w:val="002D792B"/>
    <w:rsid w:val="0030724E"/>
    <w:rsid w:val="00310324"/>
    <w:rsid w:val="003144FA"/>
    <w:rsid w:val="00325A4D"/>
    <w:rsid w:val="003603E6"/>
    <w:rsid w:val="00362591"/>
    <w:rsid w:val="00384BE1"/>
    <w:rsid w:val="003C1978"/>
    <w:rsid w:val="003C2DF8"/>
    <w:rsid w:val="003E568F"/>
    <w:rsid w:val="00423A85"/>
    <w:rsid w:val="00433D05"/>
    <w:rsid w:val="00442EAF"/>
    <w:rsid w:val="00480A09"/>
    <w:rsid w:val="004A4305"/>
    <w:rsid w:val="004D44BB"/>
    <w:rsid w:val="004E6ADB"/>
    <w:rsid w:val="0052275E"/>
    <w:rsid w:val="005555C1"/>
    <w:rsid w:val="00564ADC"/>
    <w:rsid w:val="0056650C"/>
    <w:rsid w:val="0057046B"/>
    <w:rsid w:val="00576D86"/>
    <w:rsid w:val="00605C54"/>
    <w:rsid w:val="00627CEC"/>
    <w:rsid w:val="006518ED"/>
    <w:rsid w:val="006524D0"/>
    <w:rsid w:val="0065623E"/>
    <w:rsid w:val="00674455"/>
    <w:rsid w:val="006A6879"/>
    <w:rsid w:val="006B1182"/>
    <w:rsid w:val="006B1236"/>
    <w:rsid w:val="00735370"/>
    <w:rsid w:val="00736A30"/>
    <w:rsid w:val="007431DD"/>
    <w:rsid w:val="007635EB"/>
    <w:rsid w:val="007902B4"/>
    <w:rsid w:val="007950D0"/>
    <w:rsid w:val="007E3235"/>
    <w:rsid w:val="007E73E5"/>
    <w:rsid w:val="007F4519"/>
    <w:rsid w:val="008506EB"/>
    <w:rsid w:val="00865639"/>
    <w:rsid w:val="00873EB0"/>
    <w:rsid w:val="00874866"/>
    <w:rsid w:val="00896ED7"/>
    <w:rsid w:val="009028F0"/>
    <w:rsid w:val="009077AB"/>
    <w:rsid w:val="00907F7F"/>
    <w:rsid w:val="0092125D"/>
    <w:rsid w:val="00970813"/>
    <w:rsid w:val="009772A8"/>
    <w:rsid w:val="00991A1D"/>
    <w:rsid w:val="009947F7"/>
    <w:rsid w:val="009A2939"/>
    <w:rsid w:val="009A5ACE"/>
    <w:rsid w:val="009E426F"/>
    <w:rsid w:val="00A017CA"/>
    <w:rsid w:val="00A05A5A"/>
    <w:rsid w:val="00A10126"/>
    <w:rsid w:val="00A30803"/>
    <w:rsid w:val="00A46197"/>
    <w:rsid w:val="00A6438C"/>
    <w:rsid w:val="00AB0C3E"/>
    <w:rsid w:val="00AD27C8"/>
    <w:rsid w:val="00AD4514"/>
    <w:rsid w:val="00B23354"/>
    <w:rsid w:val="00B442E5"/>
    <w:rsid w:val="00B63793"/>
    <w:rsid w:val="00B72656"/>
    <w:rsid w:val="00BA4570"/>
    <w:rsid w:val="00BB03FF"/>
    <w:rsid w:val="00BE5225"/>
    <w:rsid w:val="00C01DE8"/>
    <w:rsid w:val="00C11687"/>
    <w:rsid w:val="00C92D16"/>
    <w:rsid w:val="00CA17CE"/>
    <w:rsid w:val="00CB3C33"/>
    <w:rsid w:val="00CD04B4"/>
    <w:rsid w:val="00CD662D"/>
    <w:rsid w:val="00D13DFD"/>
    <w:rsid w:val="00D262DE"/>
    <w:rsid w:val="00D34373"/>
    <w:rsid w:val="00DA0BCF"/>
    <w:rsid w:val="00DB5AB9"/>
    <w:rsid w:val="00DC34C8"/>
    <w:rsid w:val="00E00BFB"/>
    <w:rsid w:val="00E05A7B"/>
    <w:rsid w:val="00E11A86"/>
    <w:rsid w:val="00E4658F"/>
    <w:rsid w:val="00E83482"/>
    <w:rsid w:val="00EA37BC"/>
    <w:rsid w:val="00EB052B"/>
    <w:rsid w:val="00EF46B9"/>
    <w:rsid w:val="00F3662E"/>
    <w:rsid w:val="00F41C35"/>
    <w:rsid w:val="00FD4EBB"/>
    <w:rsid w:val="0BBD73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Hyperlink"/>
    <w:basedOn w:val="6"/>
    <w:semiHidden/>
    <w:unhideWhenUsed/>
    <w:qFormat/>
    <w:uiPriority w:val="99"/>
    <w:rPr>
      <w:color w:val="0000FF"/>
      <w:u w:val="single"/>
    </w:rPr>
  </w:style>
  <w:style w:type="character" w:customStyle="1" w:styleId="8">
    <w:name w:val="页眉 字符"/>
    <w:basedOn w:val="6"/>
    <w:link w:val="3"/>
    <w:qFormat/>
    <w:uiPriority w:val="99"/>
    <w:rPr>
      <w:sz w:val="18"/>
      <w:szCs w:val="18"/>
    </w:rPr>
  </w:style>
  <w:style w:type="character" w:customStyle="1" w:styleId="9">
    <w:name w:val="页脚 字符"/>
    <w:basedOn w:val="6"/>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305</Words>
  <Characters>1744</Characters>
  <Lines>14</Lines>
  <Paragraphs>4</Paragraphs>
  <TotalTime>251</TotalTime>
  <ScaleCrop>false</ScaleCrop>
  <LinksUpToDate>false</LinksUpToDate>
  <CharactersWithSpaces>2045</CharactersWithSpaces>
  <Application>WPS Office_11.1.0.9098_F1E327BC-269C-435d-A152-05C5408002CA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2019-04-03T09:15:00Z</dcterms:created>
  <dc:creator>lanmengjie@nong.link</dc:creator>
  <cp:lastModifiedBy>果农</cp:lastModifiedBy>
  <cp:lastPrinted>2019-10-29T09:29:58Z</cp:lastPrinted>
  <dcterms:modified xsi:type="dcterms:W3CDTF">2019-10-29T09:30:09Z</dcterms:modified>
  <cp:revision>65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2052-11.1.0.9098</vt:lpwstr>
  </property>
</Properties>
</file>