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附件：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44"/>
          <w:szCs w:val="44"/>
        </w:rPr>
        <w:t>管道燃气居民用气分类使用范围</w:t>
      </w:r>
    </w:p>
    <w:bookmarkEnd w:id="0"/>
    <w:p>
      <w:pPr>
        <w:pStyle w:val="4"/>
        <w:rPr>
          <w:rFonts w:ascii="仿宋" w:hAnsi="仿宋" w:eastAsia="仿宋" w:cs="宋体"/>
          <w:color w:val="auto"/>
          <w:kern w:val="0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居民销售价格是指城乡居民住宅用气。学校教学和学生生活用气、社会福利机构生活用气、宗教场所生活用气、城乡社区居民委员会、村民委员会服务设施用气以及机关单位、部队和监狱监房的非经营服务性用气，执行公福机构用气销售价格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</w:rPr>
        <w:t>城乡居民住宅用气：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城乡居民住宅用气是指城乡居民家庭住宅，以及机关、部队、学校、企事业单位集体宿舍、商业用房按规定改建为租赁住房的生活用气。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/>
        </w:rPr>
        <w:t>二、学校教学和学生生活用气：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是指学校的教室、图书馆、实验室、体育用房、校系行政用房等教学设施，以及学生食堂、澡堂、宿舍等学生生活设施用气。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执行居民用气价格的学校，是指有关部门批准，由政府及其有关部门、社会组织和公民个人举办的公办、民办学校，包括：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普通高等学校（包括大学、独立设置的学院和高等专科学校）；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普通高中、成人高中和中等职业学校（包括普通中专、成人中专、职业高中、技工学校）；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普通初中、职业初中、成人初中；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普通小学、成人小学；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幼儿园（托儿所）；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六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特殊教育学校（对残障儿童、少年实施义务教育的机构）。不含各类经营性培训机构，如驾校、烹饪、美容美发、语言电脑培训等。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/>
        </w:rPr>
        <w:t>三、社会福利机构生活用气：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是指经县级及以上人民政府民政部门批准，由国家、社会组织和公民个人举办的，为老年人、残疾人、孤儿、弃婴等特殊群体提供集中居住、生活照料和康复教育服务的机构的生活用气。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/>
        </w:rPr>
        <w:t>四、宗教场所生活用气：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指经县级及以上人民政府宗教事务部门登记的寺院、宫观、清真寺、教堂等宗教活动场所常住人员和外来暂住人员的生活用气。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/>
        </w:rPr>
        <w:t>五、城乡社区居民委员会、村民委员会服务设施用气：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是指城乡居民社区居民委员会、村民委员会工作场所及非经营公益服务设施的用气。</w:t>
      </w:r>
    </w:p>
    <w:p>
      <w:pPr>
        <w:jc w:val="left"/>
        <w:rPr>
          <w:rFonts w:hint="eastAsia"/>
          <w:color w:val="auto"/>
          <w:kern w:val="2"/>
          <w:sz w:val="21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A6AE1"/>
    <w:rsid w:val="2AAA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博罗县人民政府办公室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2019-08-19T07:38:00Z</dcterms:created>
  <dc:creator>梁辉</dc:creator>
  <cp:lastModifiedBy>梁辉</cp:lastModifiedBy>
  <dcterms:modified xsi:type="dcterms:W3CDTF">2019-08-19T07:38:55Z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