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hint="eastAsia" w:eastAsia="黑体"/>
          <w:lang w:eastAsia="zh-CN"/>
        </w:rPr>
      </w:pPr>
      <w:bookmarkStart w:id="27" w:name="_GoBack"/>
      <w:bookmarkEnd w:id="27"/>
      <w:bookmarkStart w:id="0" w:name="_Toc28732"/>
      <w:r>
        <w:rPr>
          <w:rFonts w:hint="eastAsia"/>
          <w:lang w:eastAsia="zh-CN"/>
        </w:rPr>
        <w:t>附件</w:t>
      </w:r>
      <w:r>
        <w:rPr>
          <w:rFonts w:hint="eastAsia"/>
          <w:lang w:val="en-US" w:eastAsia="zh-CN"/>
        </w:rPr>
        <w:t>1</w:t>
      </w:r>
    </w:p>
    <w:p>
      <w:pPr>
        <w:pStyle w:val="3"/>
        <w:jc w:val="center"/>
        <w:rPr>
          <w:rFonts w:hint="eastAsia"/>
        </w:rPr>
      </w:pPr>
      <w:r>
        <w:rPr>
          <w:rFonts w:hint="eastAsia"/>
        </w:rPr>
        <w:t>一体化净水设备</w:t>
      </w:r>
      <w:r>
        <w:rPr>
          <w:rFonts w:hint="eastAsia"/>
          <w:lang w:eastAsia="zh-CN"/>
        </w:rPr>
        <w:t>询价</w:t>
      </w:r>
      <w:r>
        <w:rPr>
          <w:rFonts w:hint="eastAsia"/>
        </w:rPr>
        <w:t>技术</w:t>
      </w:r>
      <w:r>
        <w:rPr>
          <w:rFonts w:hint="eastAsia"/>
          <w:lang w:eastAsia="zh-CN"/>
        </w:rPr>
        <w:t>文件</w:t>
      </w:r>
      <w:bookmarkEnd w:id="0"/>
    </w:p>
    <w:p>
      <w:pPr>
        <w:widowControl/>
        <w:spacing w:line="360" w:lineRule="auto"/>
        <w:ind w:firstLine="480" w:firstLineChars="200"/>
        <w:jc w:val="left"/>
        <w:rPr>
          <w:rFonts w:hint="eastAsia" w:ascii="宋体" w:hAnsi="宋体" w:eastAsia="宋体" w:cs="宋体"/>
          <w:kern w:val="0"/>
          <w:sz w:val="24"/>
          <w:szCs w:val="24"/>
        </w:rPr>
      </w:pPr>
      <w:r>
        <w:rPr>
          <w:rFonts w:hint="eastAsia" w:ascii="宋体" w:hAnsi="宋体" w:eastAsia="宋体" w:cs="宋体"/>
          <w:kern w:val="0"/>
          <w:sz w:val="24"/>
          <w:szCs w:val="24"/>
        </w:rPr>
        <w:t>以地面水为水源，将絮凝、沉淀(或澄清)、过滤三个净化过程组合在一体内的饮用水净水装置称为饮用水一体化净水设备。</w:t>
      </w:r>
    </w:p>
    <w:p>
      <w:pPr>
        <w:pStyle w:val="4"/>
        <w:rPr>
          <w:rFonts w:hint="eastAsia" w:ascii="宋体" w:hAnsi="宋体" w:eastAsia="宋体" w:cs="宋体"/>
          <w:kern w:val="24"/>
          <w:sz w:val="24"/>
          <w:szCs w:val="24"/>
        </w:rPr>
      </w:pPr>
      <w:bookmarkStart w:id="1" w:name="_Toc15692"/>
      <w:bookmarkStart w:id="2" w:name="_Toc272049635"/>
      <w:r>
        <w:rPr>
          <w:rFonts w:hint="eastAsia" w:ascii="宋体" w:hAnsi="宋体" w:eastAsia="宋体" w:cs="宋体"/>
          <w:kern w:val="24"/>
          <w:sz w:val="24"/>
          <w:szCs w:val="24"/>
        </w:rPr>
        <w:t>（一）、拟建水厂（饮用水安全工程）基本情况</w:t>
      </w:r>
      <w:bookmarkEnd w:id="1"/>
      <w:bookmarkEnd w:id="2"/>
    </w:p>
    <w:p>
      <w:pPr>
        <w:ind w:firstLine="840" w:firstLineChars="350"/>
        <w:rPr>
          <w:rFonts w:hint="eastAsia" w:ascii="宋体" w:hAnsi="宋体" w:eastAsia="宋体" w:cs="宋体"/>
          <w:sz w:val="24"/>
          <w:szCs w:val="24"/>
          <w:lang w:val="zh-CN"/>
        </w:rPr>
      </w:pPr>
      <w:r>
        <w:rPr>
          <w:rFonts w:hint="eastAsia" w:ascii="宋体" w:hAnsi="宋体" w:eastAsia="宋体" w:cs="宋体"/>
          <w:sz w:val="24"/>
          <w:szCs w:val="24"/>
          <w:lang w:val="zh-CN"/>
        </w:rPr>
        <w:t>1．水源是山水溪水的自流水；</w:t>
      </w:r>
    </w:p>
    <w:p>
      <w:pPr>
        <w:ind w:firstLine="840" w:firstLineChars="350"/>
        <w:rPr>
          <w:rFonts w:hint="eastAsia" w:ascii="宋体" w:hAnsi="宋体" w:eastAsia="宋体" w:cs="宋体"/>
          <w:sz w:val="24"/>
          <w:szCs w:val="24"/>
          <w:u w:val="single"/>
          <w:lang w:val="zh-CN"/>
        </w:rPr>
      </w:pPr>
      <w:r>
        <w:rPr>
          <w:rFonts w:hint="eastAsia" w:ascii="宋体" w:hAnsi="宋体" w:eastAsia="宋体" w:cs="宋体"/>
          <w:sz w:val="24"/>
          <w:szCs w:val="24"/>
          <w:lang w:val="en-US" w:eastAsia="zh-CN"/>
        </w:rPr>
        <w:t>2</w:t>
      </w:r>
      <w:r>
        <w:rPr>
          <w:rFonts w:hint="eastAsia" w:ascii="宋体" w:hAnsi="宋体" w:eastAsia="宋体" w:cs="宋体"/>
          <w:sz w:val="24"/>
          <w:szCs w:val="24"/>
          <w:lang w:val="zh-CN"/>
        </w:rPr>
        <w:t>．设备房与水源水高程</w:t>
      </w:r>
      <w:r>
        <w:rPr>
          <w:rFonts w:hint="eastAsia" w:ascii="宋体" w:hAnsi="宋体" w:eastAsia="宋体" w:cs="宋体"/>
          <w:sz w:val="24"/>
          <w:szCs w:val="24"/>
          <w:u w:val="single"/>
          <w:lang w:val="zh-CN"/>
        </w:rPr>
        <w:t>： 约</w:t>
      </w:r>
      <w:r>
        <w:rPr>
          <w:rFonts w:hint="eastAsia" w:ascii="宋体" w:hAnsi="宋体" w:eastAsia="宋体" w:cs="宋体"/>
          <w:sz w:val="24"/>
          <w:szCs w:val="24"/>
          <w:u w:val="single"/>
          <w:lang w:val="en-US" w:eastAsia="zh-CN"/>
        </w:rPr>
        <w:t>20</w:t>
      </w:r>
      <w:r>
        <w:rPr>
          <w:rFonts w:hint="eastAsia" w:ascii="宋体" w:hAnsi="宋体" w:eastAsia="宋体" w:cs="宋体"/>
          <w:sz w:val="24"/>
          <w:szCs w:val="24"/>
          <w:u w:val="single"/>
          <w:lang w:val="zh-CN"/>
        </w:rPr>
        <w:t xml:space="preserve">  m ;</w:t>
      </w:r>
    </w:p>
    <w:p>
      <w:pPr>
        <w:ind w:firstLine="840" w:firstLineChars="350"/>
        <w:rPr>
          <w:rFonts w:hint="eastAsia" w:ascii="宋体" w:hAnsi="宋体" w:eastAsia="宋体" w:cs="宋体"/>
          <w:sz w:val="24"/>
          <w:szCs w:val="24"/>
          <w:u w:val="single"/>
          <w:lang w:val="zh-CN"/>
        </w:rPr>
      </w:pPr>
      <w:r>
        <w:rPr>
          <w:rFonts w:hint="eastAsia" w:ascii="宋体" w:hAnsi="宋体" w:eastAsia="宋体" w:cs="宋体"/>
          <w:sz w:val="24"/>
          <w:szCs w:val="24"/>
          <w:lang w:val="en-US" w:eastAsia="zh-CN"/>
        </w:rPr>
        <w:t>3</w:t>
      </w:r>
      <w:r>
        <w:rPr>
          <w:rFonts w:hint="eastAsia" w:ascii="宋体" w:hAnsi="宋体" w:eastAsia="宋体" w:cs="宋体"/>
          <w:sz w:val="24"/>
          <w:szCs w:val="24"/>
          <w:lang w:val="zh-CN"/>
        </w:rPr>
        <w:t>. 拟建水厂制水量</w:t>
      </w:r>
      <w:r>
        <w:rPr>
          <w:rFonts w:hint="eastAsia" w:ascii="宋体" w:hAnsi="宋体" w:eastAsia="宋体" w:cs="宋体"/>
          <w:sz w:val="24"/>
          <w:szCs w:val="24"/>
          <w:u w:val="single"/>
          <w:lang w:val="zh-CN"/>
        </w:rPr>
        <w:t xml:space="preserve">： </w:t>
      </w:r>
      <w:r>
        <w:rPr>
          <w:rFonts w:hint="eastAsia" w:ascii="宋体" w:hAnsi="宋体" w:eastAsia="宋体" w:cs="宋体"/>
          <w:sz w:val="24"/>
          <w:szCs w:val="24"/>
          <w:u w:val="single"/>
          <w:lang w:val="en-US" w:eastAsia="zh-CN"/>
        </w:rPr>
        <w:t>500</w:t>
      </w:r>
      <w:r>
        <w:rPr>
          <w:rFonts w:hint="eastAsia" w:ascii="宋体" w:hAnsi="宋体" w:eastAsia="宋体" w:cs="宋体"/>
          <w:sz w:val="24"/>
          <w:szCs w:val="24"/>
          <w:u w:val="single"/>
          <w:lang w:val="zh-CN"/>
        </w:rPr>
        <w:t xml:space="preserve"> m</w:t>
      </w:r>
      <w:r>
        <w:rPr>
          <w:rFonts w:hint="eastAsia" w:ascii="宋体" w:hAnsi="宋体" w:eastAsia="宋体" w:cs="宋体"/>
          <w:sz w:val="24"/>
          <w:szCs w:val="24"/>
          <w:u w:val="single"/>
          <w:vertAlign w:val="superscript"/>
          <w:lang w:val="zh-CN"/>
        </w:rPr>
        <w:t>3</w:t>
      </w:r>
      <w:r>
        <w:rPr>
          <w:rFonts w:hint="eastAsia" w:ascii="宋体" w:hAnsi="宋体" w:eastAsia="宋体" w:cs="宋体"/>
          <w:sz w:val="24"/>
          <w:szCs w:val="24"/>
          <w:u w:val="single"/>
          <w:lang w:val="zh-CN"/>
        </w:rPr>
        <w:t xml:space="preserve"> /</w:t>
      </w:r>
      <w:r>
        <w:rPr>
          <w:rFonts w:hint="eastAsia" w:ascii="宋体" w:hAnsi="宋体" w:eastAsia="宋体" w:cs="宋体"/>
          <w:sz w:val="24"/>
          <w:szCs w:val="24"/>
          <w:u w:val="single"/>
          <w:lang w:val="en-US" w:eastAsia="zh-CN"/>
        </w:rPr>
        <w:t>d</w:t>
      </w:r>
      <w:r>
        <w:rPr>
          <w:rFonts w:hint="eastAsia" w:ascii="宋体" w:hAnsi="宋体" w:eastAsia="宋体" w:cs="宋体"/>
          <w:sz w:val="24"/>
          <w:szCs w:val="24"/>
          <w:u w:val="single"/>
          <w:lang w:val="zh-CN"/>
        </w:rPr>
        <w:t xml:space="preserve"> </w:t>
      </w:r>
      <w:r>
        <w:rPr>
          <w:rFonts w:hint="eastAsia" w:ascii="宋体" w:hAnsi="宋体" w:eastAsia="宋体" w:cs="宋体"/>
          <w:sz w:val="24"/>
          <w:szCs w:val="24"/>
          <w:u w:val="single"/>
        </w:rPr>
        <w:t>,日制水量</w:t>
      </w:r>
      <w:r>
        <w:rPr>
          <w:rFonts w:hint="eastAsia" w:ascii="宋体" w:hAnsi="宋体" w:eastAsia="宋体" w:cs="宋体"/>
          <w:sz w:val="24"/>
          <w:szCs w:val="24"/>
          <w:u w:val="single"/>
          <w:lang w:val="en-US" w:eastAsia="zh-CN"/>
        </w:rPr>
        <w:t>500</w:t>
      </w:r>
      <w:r>
        <w:rPr>
          <w:rFonts w:hint="eastAsia" w:ascii="宋体" w:hAnsi="宋体" w:eastAsia="宋体" w:cs="宋体"/>
          <w:sz w:val="24"/>
          <w:szCs w:val="24"/>
          <w:u w:val="single"/>
          <w:lang w:val="zh-CN"/>
        </w:rPr>
        <w:t>m</w:t>
      </w:r>
      <w:r>
        <w:rPr>
          <w:rFonts w:hint="eastAsia" w:ascii="宋体" w:hAnsi="宋体" w:eastAsia="宋体" w:cs="宋体"/>
          <w:sz w:val="24"/>
          <w:szCs w:val="24"/>
          <w:u w:val="single"/>
          <w:vertAlign w:val="superscript"/>
          <w:lang w:val="zh-CN"/>
        </w:rPr>
        <w:t>3</w:t>
      </w:r>
      <w:r>
        <w:rPr>
          <w:rFonts w:hint="eastAsia" w:ascii="宋体" w:hAnsi="宋体" w:eastAsia="宋体" w:cs="宋体"/>
          <w:sz w:val="24"/>
          <w:szCs w:val="24"/>
          <w:u w:val="single"/>
        </w:rPr>
        <w:t>(日制水23h)</w:t>
      </w:r>
      <w:r>
        <w:rPr>
          <w:rFonts w:hint="eastAsia" w:ascii="宋体" w:hAnsi="宋体" w:eastAsia="宋体" w:cs="宋体"/>
          <w:sz w:val="24"/>
          <w:szCs w:val="24"/>
          <w:u w:val="single"/>
          <w:lang w:val="en-US" w:eastAsia="zh-CN"/>
        </w:rPr>
        <w:t>,</w:t>
      </w:r>
    </w:p>
    <w:p>
      <w:pPr>
        <w:ind w:firstLine="840" w:firstLineChars="350"/>
        <w:rPr>
          <w:rFonts w:hint="eastAsia" w:ascii="宋体" w:hAnsi="宋体" w:eastAsia="宋体" w:cs="宋体"/>
          <w:sz w:val="24"/>
          <w:szCs w:val="24"/>
          <w:u w:val="single"/>
          <w:vertAlign w:val="superscript"/>
          <w:lang w:val="zh-CN"/>
        </w:rPr>
      </w:pPr>
    </w:p>
    <w:p>
      <w:pPr>
        <w:ind w:firstLine="840" w:firstLineChars="350"/>
        <w:rPr>
          <w:rFonts w:hint="eastAsia" w:ascii="宋体" w:hAnsi="宋体" w:eastAsia="宋体" w:cs="宋体"/>
          <w:sz w:val="24"/>
          <w:szCs w:val="24"/>
          <w:lang w:val="zh-CN"/>
        </w:rPr>
      </w:pPr>
      <w:r>
        <w:rPr>
          <w:rFonts w:hint="eastAsia" w:ascii="宋体" w:hAnsi="宋体" w:eastAsia="宋体" w:cs="宋体"/>
          <w:sz w:val="24"/>
          <w:szCs w:val="24"/>
          <w:lang w:val="en-US" w:eastAsia="zh-CN"/>
        </w:rPr>
        <w:t>4</w:t>
      </w:r>
      <w:r>
        <w:rPr>
          <w:rFonts w:hint="eastAsia" w:ascii="宋体" w:hAnsi="宋体" w:eastAsia="宋体" w:cs="宋体"/>
          <w:sz w:val="24"/>
          <w:szCs w:val="24"/>
          <w:lang w:val="zh-CN"/>
        </w:rPr>
        <w:t>.水源水质情况（超标项目）：</w:t>
      </w:r>
      <w:r>
        <w:rPr>
          <w:rFonts w:hint="eastAsia" w:ascii="宋体" w:hAnsi="宋体" w:eastAsia="宋体" w:cs="宋体"/>
          <w:sz w:val="24"/>
          <w:szCs w:val="24"/>
          <w:u w:val="single"/>
          <w:lang w:val="zh-CN"/>
        </w:rPr>
        <w:t xml:space="preserve">  浊度、细菌（其它符合GB3838Ⅱ类 ）                     </w:t>
      </w:r>
    </w:p>
    <w:p>
      <w:pPr>
        <w:pStyle w:val="4"/>
        <w:rPr>
          <w:rFonts w:hint="eastAsia" w:ascii="宋体" w:hAnsi="宋体" w:eastAsia="宋体" w:cs="宋体"/>
          <w:kern w:val="24"/>
          <w:sz w:val="24"/>
          <w:szCs w:val="24"/>
          <w:lang w:val="zh-CN"/>
        </w:rPr>
      </w:pPr>
      <w:bookmarkStart w:id="3" w:name="_Toc14186"/>
      <w:r>
        <w:rPr>
          <w:rFonts w:hint="eastAsia" w:ascii="宋体" w:hAnsi="宋体" w:eastAsia="宋体" w:cs="宋体"/>
          <w:kern w:val="24"/>
          <w:sz w:val="24"/>
          <w:szCs w:val="24"/>
          <w:lang w:val="zh-CN"/>
        </w:rPr>
        <w:t>（二）、全水力</w:t>
      </w:r>
      <w:r>
        <w:rPr>
          <w:rFonts w:hint="eastAsia" w:ascii="宋体" w:hAnsi="宋体" w:eastAsia="宋体" w:cs="宋体"/>
          <w:kern w:val="24"/>
          <w:sz w:val="24"/>
          <w:szCs w:val="24"/>
        </w:rPr>
        <w:t>一体化净水设备的</w:t>
      </w:r>
      <w:r>
        <w:rPr>
          <w:rFonts w:hint="eastAsia" w:ascii="宋体" w:hAnsi="宋体" w:eastAsia="宋体" w:cs="宋体"/>
          <w:kern w:val="24"/>
          <w:sz w:val="24"/>
          <w:szCs w:val="24"/>
          <w:lang w:val="zh-CN"/>
        </w:rPr>
        <w:t>工艺流程：</w:t>
      </w:r>
      <w:bookmarkEnd w:id="3"/>
    </w:p>
    <w:p>
      <w:pPr>
        <w:autoSpaceDE w:val="0"/>
        <w:autoSpaceDN w:val="0"/>
        <w:adjustRightInd w:val="0"/>
        <w:spacing w:line="360" w:lineRule="auto"/>
        <w:rPr>
          <w:rFonts w:hint="eastAsia" w:ascii="宋体" w:hAnsi="宋体" w:eastAsia="宋体" w:cs="宋体"/>
          <w:kern w:val="24"/>
          <w:sz w:val="24"/>
          <w:szCs w:val="24"/>
          <w:lang w:val="zh-CN"/>
        </w:rPr>
      </w:pPr>
      <w:r>
        <w:rPr>
          <w:rFonts w:hint="eastAsia" w:ascii="宋体" w:hAnsi="宋体" w:eastAsia="宋体" w:cs="宋体"/>
          <w:kern w:val="24"/>
          <w:sz w:val="24"/>
          <w:szCs w:val="24"/>
          <w:lang w:val="zh-CN"/>
        </w:rPr>
        <w:t xml:space="preserve">              混凝剂                                消毒剂</w:t>
      </w:r>
    </w:p>
    <w:p>
      <w:pPr>
        <w:autoSpaceDE w:val="0"/>
        <w:autoSpaceDN w:val="0"/>
        <w:adjustRightInd w:val="0"/>
        <w:spacing w:line="360" w:lineRule="auto"/>
        <w:rPr>
          <w:rFonts w:hint="eastAsia" w:ascii="宋体" w:hAnsi="宋体" w:eastAsia="宋体" w:cs="宋体"/>
          <w:kern w:val="24"/>
          <w:sz w:val="24"/>
          <w:szCs w:val="24"/>
          <w:lang w:val="zh-CN"/>
        </w:rPr>
      </w:pPr>
      <w:r>
        <w:rPr>
          <w:rFonts w:hint="eastAsia" w:ascii="宋体" w:hAnsi="宋体" w:eastAsia="宋体" w:cs="宋体"/>
          <w:kern w:val="24"/>
          <w:sz w:val="24"/>
          <w:szCs w:val="24"/>
          <w:lang w:val="zh-CN"/>
        </w:rPr>
        <w:t xml:space="preserve">               ↓                                       ↓  </w:t>
      </w:r>
    </w:p>
    <w:p>
      <w:pPr>
        <w:autoSpaceDE w:val="0"/>
        <w:autoSpaceDN w:val="0"/>
        <w:adjustRightInd w:val="0"/>
        <w:spacing w:line="360" w:lineRule="auto"/>
        <w:ind w:firstLine="360" w:firstLineChars="150"/>
        <w:rPr>
          <w:rFonts w:hint="eastAsia" w:ascii="宋体" w:hAnsi="宋体" w:eastAsia="宋体" w:cs="宋体"/>
          <w:kern w:val="24"/>
          <w:sz w:val="24"/>
          <w:szCs w:val="24"/>
          <w:lang w:val="zh-CN"/>
        </w:rPr>
      </w:pPr>
      <w:r>
        <w:rPr>
          <w:rFonts w:hint="eastAsia" w:ascii="宋体" w:hAnsi="宋体" w:eastAsia="宋体" w:cs="宋体"/>
          <w:kern w:val="24"/>
          <w:sz w:val="24"/>
          <w:szCs w:val="24"/>
          <w:lang w:val="zh-CN"/>
        </w:rPr>
        <w:t>原水→（快速管道混合→混凝反应室→沉淀区→过滤区）→清水箱→用户</w:t>
      </w:r>
    </w:p>
    <w:p>
      <w:pPr>
        <w:pStyle w:val="4"/>
        <w:rPr>
          <w:rFonts w:hint="eastAsia" w:ascii="宋体" w:hAnsi="宋体" w:eastAsia="宋体" w:cs="宋体"/>
          <w:kern w:val="24"/>
          <w:sz w:val="24"/>
          <w:szCs w:val="24"/>
          <w:lang w:val="zh-CN"/>
        </w:rPr>
      </w:pPr>
      <w:bookmarkStart w:id="4" w:name="_Toc9811"/>
      <w:r>
        <w:rPr>
          <w:rFonts w:hint="eastAsia" w:ascii="宋体" w:hAnsi="宋体" w:eastAsia="宋体" w:cs="宋体"/>
          <w:kern w:val="24"/>
          <w:sz w:val="24"/>
          <w:szCs w:val="24"/>
          <w:lang w:val="zh-CN"/>
        </w:rPr>
        <w:t>（三）、全水力</w:t>
      </w:r>
      <w:r>
        <w:rPr>
          <w:rFonts w:hint="eastAsia" w:ascii="宋体" w:hAnsi="宋体" w:eastAsia="宋体" w:cs="宋体"/>
          <w:kern w:val="24"/>
          <w:sz w:val="24"/>
          <w:szCs w:val="24"/>
        </w:rPr>
        <w:t>一体化净水</w:t>
      </w:r>
      <w:r>
        <w:rPr>
          <w:rFonts w:hint="eastAsia" w:ascii="宋体" w:hAnsi="宋体" w:eastAsia="宋体" w:cs="宋体"/>
          <w:kern w:val="24"/>
          <w:sz w:val="24"/>
          <w:szCs w:val="24"/>
          <w:lang w:val="zh-CN"/>
        </w:rPr>
        <w:t>设备的结构</w:t>
      </w:r>
      <w:bookmarkEnd w:id="4"/>
    </w:p>
    <w:p>
      <w:pPr>
        <w:autoSpaceDE w:val="0"/>
        <w:autoSpaceDN w:val="0"/>
        <w:adjustRightInd w:val="0"/>
        <w:spacing w:line="360" w:lineRule="auto"/>
        <w:ind w:firstLine="480"/>
        <w:rPr>
          <w:rFonts w:hint="eastAsia" w:ascii="宋体" w:hAnsi="宋体" w:eastAsia="宋体" w:cs="宋体"/>
          <w:kern w:val="24"/>
          <w:sz w:val="24"/>
          <w:szCs w:val="24"/>
          <w:lang w:val="zh-CN"/>
        </w:rPr>
      </w:pPr>
      <w:r>
        <w:rPr>
          <w:rFonts w:hint="eastAsia" w:ascii="宋体" w:hAnsi="宋体" w:eastAsia="宋体" w:cs="宋体"/>
          <w:kern w:val="24"/>
          <w:sz w:val="24"/>
          <w:szCs w:val="24"/>
          <w:lang w:val="zh-CN"/>
        </w:rPr>
        <w:t>一体化净水设备将传统自来水厂的三大池，混凝（Coagulation）、沉淀（Precipitate）、过滤池（</w:t>
      </w:r>
      <w:r>
        <w:rPr>
          <w:rFonts w:hint="eastAsia" w:ascii="宋体" w:hAnsi="宋体" w:eastAsia="宋体" w:cs="宋体"/>
          <w:sz w:val="24"/>
          <w:szCs w:val="24"/>
        </w:rPr>
        <w:t>filtration</w:t>
      </w:r>
      <w:r>
        <w:rPr>
          <w:rFonts w:hint="eastAsia" w:ascii="宋体" w:hAnsi="宋体" w:eastAsia="宋体" w:cs="宋体"/>
          <w:kern w:val="24"/>
          <w:sz w:val="24"/>
          <w:szCs w:val="24"/>
          <w:lang w:val="zh-CN"/>
        </w:rPr>
        <w:t>）设计并制造在同一钢质圆柱壳体内,再辅以加药装置、管道混合器、消毒装置、外接管道(原水进水管、排水、排泥、放空、反冲洗等)，即成为一个成套的常规工艺的中、小型压力式净化处理设备，完成了生活饮用水全处理过程，出水水质达到GB5749-2006标准的要求，净水时间约25-30min。它具有净化效率高、扩容便捷、占地面积小、操作管理简便、造型美观、建设周期短、运行成本低等优点，特别适用于中小型的农村饮水安全工程。</w:t>
      </w:r>
    </w:p>
    <w:p>
      <w:pPr>
        <w:pStyle w:val="4"/>
        <w:rPr>
          <w:rFonts w:hint="eastAsia" w:ascii="宋体" w:hAnsi="宋体" w:eastAsia="宋体" w:cs="宋体"/>
          <w:kern w:val="24"/>
          <w:sz w:val="24"/>
          <w:szCs w:val="24"/>
          <w:lang w:val="zh-CN"/>
        </w:rPr>
      </w:pPr>
      <w:bookmarkStart w:id="5" w:name="_Toc32315"/>
      <w:r>
        <w:rPr>
          <w:rFonts w:hint="eastAsia" w:ascii="宋体" w:hAnsi="宋体" w:eastAsia="宋体" w:cs="宋体"/>
          <w:kern w:val="24"/>
          <w:sz w:val="24"/>
          <w:szCs w:val="24"/>
          <w:lang w:val="zh-CN"/>
        </w:rPr>
        <w:t>（四）、设计要点</w:t>
      </w:r>
      <w:bookmarkEnd w:id="5"/>
    </w:p>
    <w:p>
      <w:pPr>
        <w:autoSpaceDE w:val="0"/>
        <w:autoSpaceDN w:val="0"/>
        <w:adjustRightInd w:val="0"/>
        <w:spacing w:line="360" w:lineRule="auto"/>
        <w:ind w:firstLine="480"/>
        <w:rPr>
          <w:rFonts w:hint="eastAsia" w:ascii="宋体" w:hAnsi="宋体" w:eastAsia="宋体" w:cs="宋体"/>
          <w:kern w:val="24"/>
          <w:sz w:val="24"/>
          <w:szCs w:val="24"/>
          <w:lang w:val="zh-CN"/>
        </w:rPr>
      </w:pPr>
      <w:r>
        <w:rPr>
          <w:rFonts w:hint="eastAsia" w:ascii="宋体" w:hAnsi="宋体" w:eastAsia="宋体" w:cs="宋体"/>
          <w:kern w:val="24"/>
          <w:sz w:val="24"/>
          <w:szCs w:val="24"/>
          <w:lang w:val="zh-CN"/>
        </w:rPr>
        <w:t>水源水是</w:t>
      </w:r>
      <w:r>
        <w:rPr>
          <w:rFonts w:hint="eastAsia" w:ascii="宋体" w:hAnsi="宋体" w:eastAsia="宋体" w:cs="宋体"/>
          <w:sz w:val="24"/>
          <w:szCs w:val="24"/>
          <w:lang w:val="zh-CN"/>
        </w:rPr>
        <w:t>水溪水</w:t>
      </w:r>
      <w:r>
        <w:rPr>
          <w:rFonts w:hint="eastAsia" w:ascii="宋体" w:hAnsi="宋体" w:eastAsia="宋体" w:cs="宋体"/>
          <w:kern w:val="24"/>
          <w:sz w:val="24"/>
          <w:szCs w:val="24"/>
          <w:lang w:val="zh-CN"/>
        </w:rPr>
        <w:t>通过管道供应，要在原来的基础上，保留水压、不用电进行制水和反冲洗，消毒可用次氯酸纳投加或二氧化氯发生器，混凝剂用固体聚合氯化铝。</w:t>
      </w:r>
    </w:p>
    <w:p>
      <w:pPr>
        <w:autoSpaceDE w:val="0"/>
        <w:autoSpaceDN w:val="0"/>
        <w:adjustRightInd w:val="0"/>
        <w:spacing w:line="360" w:lineRule="auto"/>
        <w:ind w:firstLine="480"/>
        <w:rPr>
          <w:rFonts w:hint="eastAsia" w:ascii="宋体" w:hAnsi="宋体" w:eastAsia="宋体" w:cs="宋体"/>
          <w:b/>
          <w:color w:val="FF0000"/>
          <w:kern w:val="24"/>
          <w:sz w:val="24"/>
          <w:szCs w:val="24"/>
          <w:lang w:val="zh-CN"/>
        </w:rPr>
      </w:pPr>
      <w:r>
        <w:rPr>
          <w:rFonts w:hint="eastAsia" w:ascii="宋体" w:hAnsi="宋体" w:eastAsia="宋体" w:cs="宋体"/>
          <w:b/>
          <w:color w:val="FF0000"/>
          <w:kern w:val="24"/>
          <w:sz w:val="24"/>
          <w:szCs w:val="24"/>
          <w:lang w:val="zh-CN"/>
        </w:rPr>
        <w:t>本设备制水和反冲不用电</w:t>
      </w:r>
      <w:r>
        <w:rPr>
          <w:rFonts w:hint="eastAsia" w:ascii="宋体" w:hAnsi="宋体" w:eastAsia="宋体" w:cs="宋体"/>
          <w:b/>
          <w:color w:val="FF0000"/>
          <w:kern w:val="24"/>
          <w:sz w:val="24"/>
          <w:szCs w:val="24"/>
          <w:lang w:val="en-US" w:eastAsia="zh-CN"/>
        </w:rPr>
        <w:t>,不采用虹吸过滤池,</w:t>
      </w:r>
      <w:r>
        <w:rPr>
          <w:rFonts w:hint="eastAsia" w:ascii="宋体" w:hAnsi="宋体" w:eastAsia="宋体" w:cs="宋体"/>
          <w:b/>
          <w:color w:val="FF0000"/>
          <w:kern w:val="24"/>
          <w:sz w:val="24"/>
          <w:szCs w:val="24"/>
          <w:lang w:val="zh-CN"/>
        </w:rPr>
        <w:t>充分利用原来的水压（水头损失小,约1m左右）。建造成本低，建设周期短、运行成本低和操作简单、管理方便、设备耐用、保修期长、终生维护。</w:t>
      </w:r>
    </w:p>
    <w:p>
      <w:pPr>
        <w:pStyle w:val="4"/>
        <w:rPr>
          <w:rFonts w:hint="eastAsia" w:ascii="宋体" w:hAnsi="宋体" w:eastAsia="宋体" w:cs="宋体"/>
          <w:kern w:val="24"/>
          <w:sz w:val="24"/>
          <w:szCs w:val="24"/>
          <w:lang w:val="zh-CN"/>
        </w:rPr>
      </w:pPr>
      <w:bookmarkStart w:id="6" w:name="_Toc4939"/>
      <w:r>
        <w:rPr>
          <w:rFonts w:hint="eastAsia" w:ascii="宋体" w:hAnsi="宋体" w:eastAsia="宋体" w:cs="宋体"/>
          <w:kern w:val="24"/>
          <w:sz w:val="24"/>
          <w:szCs w:val="24"/>
          <w:lang w:val="zh-CN"/>
        </w:rPr>
        <w:t>（五）、技术参数</w:t>
      </w:r>
      <w:bookmarkEnd w:id="6"/>
    </w:p>
    <w:p>
      <w:pPr>
        <w:autoSpaceDE w:val="0"/>
        <w:autoSpaceDN w:val="0"/>
        <w:adjustRightInd w:val="0"/>
        <w:spacing w:line="360" w:lineRule="auto"/>
        <w:ind w:firstLine="720" w:firstLineChars="300"/>
        <w:rPr>
          <w:rFonts w:hint="eastAsia" w:ascii="宋体" w:hAnsi="宋体" w:eastAsia="宋体" w:cs="宋体"/>
          <w:kern w:val="24"/>
          <w:sz w:val="24"/>
          <w:szCs w:val="24"/>
          <w:lang w:val="zh-CN"/>
        </w:rPr>
      </w:pPr>
      <w:r>
        <w:rPr>
          <w:rFonts w:hint="eastAsia" w:ascii="宋体" w:hAnsi="宋体" w:eastAsia="宋体" w:cs="宋体"/>
          <w:kern w:val="24"/>
          <w:sz w:val="24"/>
          <w:szCs w:val="24"/>
          <w:lang w:val="zh-CN"/>
        </w:rPr>
        <w:t>（1）反冲洗强度10-15L/m</w:t>
      </w:r>
      <w:r>
        <w:rPr>
          <w:rFonts w:hint="eastAsia" w:ascii="宋体" w:hAnsi="宋体" w:eastAsia="宋体" w:cs="宋体"/>
          <w:kern w:val="24"/>
          <w:sz w:val="24"/>
          <w:szCs w:val="24"/>
          <w:vertAlign w:val="superscript"/>
          <w:lang w:val="zh-CN"/>
        </w:rPr>
        <w:t>2</w:t>
      </w:r>
      <w:r>
        <w:rPr>
          <w:rFonts w:hint="eastAsia" w:ascii="宋体" w:hAnsi="宋体" w:eastAsia="宋体" w:cs="宋体"/>
          <w:kern w:val="24"/>
          <w:sz w:val="24"/>
          <w:szCs w:val="24"/>
        </w:rPr>
        <w:t>·</w:t>
      </w:r>
      <w:r>
        <w:rPr>
          <w:rFonts w:hint="eastAsia" w:ascii="宋体" w:hAnsi="宋体" w:eastAsia="宋体" w:cs="宋体"/>
          <w:kern w:val="24"/>
          <w:sz w:val="24"/>
          <w:szCs w:val="24"/>
          <w:lang w:val="zh-CN"/>
        </w:rPr>
        <w:t>s、</w:t>
      </w:r>
    </w:p>
    <w:p>
      <w:pPr>
        <w:autoSpaceDE w:val="0"/>
        <w:autoSpaceDN w:val="0"/>
        <w:adjustRightInd w:val="0"/>
        <w:spacing w:line="360" w:lineRule="auto"/>
        <w:ind w:firstLine="720" w:firstLineChars="300"/>
        <w:rPr>
          <w:rFonts w:hint="eastAsia" w:ascii="宋体" w:hAnsi="宋体" w:eastAsia="宋体" w:cs="宋体"/>
          <w:kern w:val="24"/>
          <w:sz w:val="24"/>
          <w:szCs w:val="24"/>
          <w:lang w:val="zh-CN"/>
        </w:rPr>
      </w:pPr>
      <w:r>
        <w:rPr>
          <w:rFonts w:hint="eastAsia" w:ascii="宋体" w:hAnsi="宋体" w:eastAsia="宋体" w:cs="宋体"/>
          <w:kern w:val="24"/>
          <w:sz w:val="24"/>
          <w:szCs w:val="24"/>
          <w:lang w:val="zh-CN"/>
        </w:rPr>
        <w:t>（2）滤速6-12m/h</w:t>
      </w:r>
    </w:p>
    <w:p>
      <w:pPr>
        <w:autoSpaceDE w:val="0"/>
        <w:autoSpaceDN w:val="0"/>
        <w:adjustRightInd w:val="0"/>
        <w:spacing w:line="360" w:lineRule="auto"/>
        <w:ind w:firstLine="720" w:firstLineChars="300"/>
        <w:rPr>
          <w:rFonts w:hint="eastAsia" w:ascii="宋体" w:hAnsi="宋体" w:eastAsia="宋体" w:cs="宋体"/>
          <w:kern w:val="24"/>
          <w:sz w:val="24"/>
          <w:szCs w:val="24"/>
          <w:lang w:val="zh-CN"/>
        </w:rPr>
      </w:pPr>
      <w:r>
        <w:rPr>
          <w:rFonts w:hint="eastAsia" w:ascii="宋体" w:hAnsi="宋体" w:eastAsia="宋体" w:cs="宋体"/>
          <w:kern w:val="24"/>
          <w:sz w:val="24"/>
          <w:szCs w:val="24"/>
          <w:lang w:val="zh-CN"/>
        </w:rPr>
        <w:t>（3）工作压力：0.04-0.3MPa</w:t>
      </w:r>
    </w:p>
    <w:p>
      <w:pPr>
        <w:pStyle w:val="4"/>
        <w:rPr>
          <w:rFonts w:hint="eastAsia" w:ascii="宋体" w:hAnsi="宋体" w:eastAsia="宋体" w:cs="宋体"/>
          <w:kern w:val="24"/>
          <w:sz w:val="24"/>
          <w:szCs w:val="24"/>
          <w:lang w:val="zh-CN"/>
        </w:rPr>
      </w:pPr>
      <w:bookmarkStart w:id="7" w:name="_Toc7605"/>
      <w:r>
        <w:rPr>
          <w:rFonts w:hint="eastAsia" w:ascii="宋体" w:hAnsi="宋体" w:eastAsia="宋体" w:cs="宋体"/>
          <w:kern w:val="24"/>
          <w:sz w:val="24"/>
          <w:szCs w:val="24"/>
          <w:lang w:val="zh-CN"/>
        </w:rPr>
        <w:t>（六）、适用范围：</w:t>
      </w:r>
      <w:bookmarkEnd w:id="7"/>
    </w:p>
    <w:p>
      <w:pPr>
        <w:autoSpaceDE w:val="0"/>
        <w:autoSpaceDN w:val="0"/>
        <w:adjustRightInd w:val="0"/>
        <w:spacing w:line="360" w:lineRule="auto"/>
        <w:ind w:firstLine="600" w:firstLineChars="250"/>
        <w:rPr>
          <w:rFonts w:hint="eastAsia" w:ascii="宋体" w:hAnsi="宋体" w:eastAsia="宋体" w:cs="宋体"/>
          <w:kern w:val="24"/>
          <w:sz w:val="24"/>
          <w:szCs w:val="24"/>
          <w:lang w:val="zh-CN"/>
        </w:rPr>
      </w:pPr>
      <w:r>
        <w:rPr>
          <w:rFonts w:hint="eastAsia" w:ascii="宋体" w:hAnsi="宋体" w:eastAsia="宋体" w:cs="宋体"/>
          <w:kern w:val="24"/>
          <w:sz w:val="24"/>
          <w:szCs w:val="24"/>
          <w:lang w:val="zh-CN"/>
        </w:rPr>
        <w:t>一体化净水设备适用于水源水质浊度常年100NTU左右，瞬时不超过1500NTU，其它指标符合《地表水环境质量标准》Ⅱ类水的要求。</w:t>
      </w:r>
    </w:p>
    <w:p>
      <w:pPr>
        <w:pStyle w:val="4"/>
        <w:rPr>
          <w:rFonts w:hint="eastAsia" w:ascii="宋体" w:hAnsi="宋体" w:eastAsia="宋体" w:cs="宋体"/>
          <w:kern w:val="24"/>
          <w:sz w:val="24"/>
          <w:szCs w:val="24"/>
          <w:lang w:val="zh-CN"/>
        </w:rPr>
      </w:pPr>
      <w:bookmarkStart w:id="8" w:name="_Toc27322"/>
      <w:r>
        <w:rPr>
          <w:rFonts w:hint="eastAsia" w:ascii="宋体" w:hAnsi="宋体" w:eastAsia="宋体" w:cs="宋体"/>
          <w:kern w:val="24"/>
          <w:sz w:val="24"/>
          <w:szCs w:val="24"/>
          <w:lang w:val="zh-CN"/>
        </w:rPr>
        <w:t>（八）、设备房平面</w:t>
      </w:r>
      <w:bookmarkEnd w:id="8"/>
    </w:p>
    <w:p>
      <w:pPr>
        <w:autoSpaceDE w:val="0"/>
        <w:autoSpaceDN w:val="0"/>
        <w:adjustRightInd w:val="0"/>
        <w:spacing w:line="360" w:lineRule="auto"/>
        <w:ind w:firstLine="480"/>
        <w:rPr>
          <w:rFonts w:hint="eastAsia" w:ascii="宋体" w:hAnsi="宋体" w:eastAsia="宋体" w:cs="宋体"/>
          <w:b/>
          <w:bCs/>
          <w:kern w:val="0"/>
          <w:sz w:val="24"/>
          <w:szCs w:val="24"/>
        </w:rPr>
      </w:pPr>
      <w:r>
        <w:rPr>
          <w:rFonts w:hint="eastAsia" w:ascii="宋体" w:hAnsi="宋体" w:eastAsia="宋体" w:cs="宋体"/>
          <w:kern w:val="24"/>
          <w:sz w:val="24"/>
          <w:szCs w:val="24"/>
          <w:lang w:val="zh-CN"/>
        </w:rPr>
        <w:t>（1）设备房面积：约</w:t>
      </w:r>
      <w:r>
        <w:rPr>
          <w:rFonts w:hint="eastAsia" w:ascii="宋体" w:hAnsi="宋体" w:eastAsia="宋体" w:cs="宋体"/>
          <w:kern w:val="24"/>
          <w:sz w:val="24"/>
          <w:szCs w:val="24"/>
          <w:lang w:val="en-US" w:eastAsia="zh-CN"/>
        </w:rPr>
        <w:t>20</w:t>
      </w:r>
      <w:r>
        <w:rPr>
          <w:rFonts w:hint="eastAsia" w:ascii="宋体" w:hAnsi="宋体" w:eastAsia="宋体" w:cs="宋体"/>
          <w:kern w:val="24"/>
          <w:sz w:val="24"/>
          <w:szCs w:val="24"/>
          <w:lang w:val="zh-CN"/>
        </w:rPr>
        <w:t xml:space="preserve"> m</w:t>
      </w:r>
      <w:r>
        <w:rPr>
          <w:rFonts w:hint="eastAsia" w:ascii="宋体" w:hAnsi="宋体" w:eastAsia="宋体" w:cs="宋体"/>
          <w:kern w:val="24"/>
          <w:sz w:val="24"/>
          <w:szCs w:val="24"/>
          <w:vertAlign w:val="superscript"/>
          <w:lang w:val="zh-CN"/>
        </w:rPr>
        <w:t>2</w:t>
      </w:r>
      <w:r>
        <w:rPr>
          <w:rFonts w:hint="eastAsia" w:ascii="宋体" w:hAnsi="宋体" w:eastAsia="宋体" w:cs="宋体"/>
          <w:b/>
          <w:bCs/>
          <w:kern w:val="0"/>
          <w:sz w:val="24"/>
          <w:szCs w:val="24"/>
        </w:rPr>
        <w:t>。</w:t>
      </w:r>
    </w:p>
    <w:p>
      <w:pPr>
        <w:autoSpaceDE w:val="0"/>
        <w:autoSpaceDN w:val="0"/>
        <w:adjustRightInd w:val="0"/>
        <w:spacing w:line="360" w:lineRule="auto"/>
        <w:ind w:firstLine="480"/>
        <w:rPr>
          <w:rFonts w:hint="eastAsia" w:ascii="宋体" w:hAnsi="宋体" w:eastAsia="宋体" w:cs="宋体"/>
          <w:kern w:val="24"/>
          <w:sz w:val="24"/>
          <w:szCs w:val="24"/>
          <w:lang w:val="zh-CN"/>
        </w:rPr>
      </w:pPr>
      <w:r>
        <w:rPr>
          <w:rFonts w:hint="eastAsia" w:ascii="宋体" w:hAnsi="宋体" w:eastAsia="宋体" w:cs="宋体"/>
          <w:bCs/>
          <w:kern w:val="0"/>
          <w:sz w:val="24"/>
          <w:szCs w:val="24"/>
        </w:rPr>
        <w:t>（2）加药房面积：</w:t>
      </w:r>
      <w:r>
        <w:rPr>
          <w:rFonts w:hint="eastAsia" w:ascii="宋体" w:hAnsi="宋体" w:eastAsia="宋体" w:cs="宋体"/>
          <w:bCs/>
          <w:kern w:val="0"/>
          <w:sz w:val="24"/>
          <w:szCs w:val="24"/>
          <w:lang w:val="en-US" w:eastAsia="zh-CN"/>
        </w:rPr>
        <w:t>20</w:t>
      </w:r>
      <w:r>
        <w:rPr>
          <w:rFonts w:hint="eastAsia" w:ascii="宋体" w:hAnsi="宋体" w:eastAsia="宋体" w:cs="宋体"/>
          <w:kern w:val="24"/>
          <w:sz w:val="24"/>
          <w:szCs w:val="24"/>
          <w:lang w:val="zh-CN"/>
        </w:rPr>
        <w:t xml:space="preserve"> m</w:t>
      </w:r>
    </w:p>
    <w:p>
      <w:pPr>
        <w:pStyle w:val="4"/>
        <w:spacing w:before="0" w:after="0" w:line="360" w:lineRule="auto"/>
        <w:rPr>
          <w:rFonts w:hint="eastAsia" w:ascii="宋体" w:hAnsi="宋体" w:eastAsia="宋体" w:cs="宋体"/>
          <w:kern w:val="24"/>
          <w:sz w:val="24"/>
          <w:szCs w:val="24"/>
          <w:lang w:val="zh-CN"/>
        </w:rPr>
      </w:pPr>
      <w:bookmarkStart w:id="9" w:name="_Toc20959"/>
      <w:r>
        <w:rPr>
          <w:rFonts w:hint="eastAsia" w:ascii="宋体" w:hAnsi="宋体" w:eastAsia="宋体" w:cs="宋体"/>
          <w:kern w:val="24"/>
          <w:sz w:val="24"/>
          <w:szCs w:val="24"/>
          <w:lang w:val="zh-CN"/>
        </w:rPr>
        <w:t>（九）、一体化净水设备清单</w:t>
      </w:r>
      <w:bookmarkEnd w:id="9"/>
    </w:p>
    <w:p>
      <w:pPr>
        <w:spacing w:line="360" w:lineRule="auto"/>
        <w:rPr>
          <w:rFonts w:hint="eastAsia" w:ascii="宋体" w:hAnsi="宋体" w:eastAsia="宋体" w:cs="宋体"/>
          <w:b/>
          <w:sz w:val="24"/>
          <w:szCs w:val="24"/>
        </w:rPr>
      </w:pPr>
      <w:r>
        <w:rPr>
          <w:rFonts w:hint="eastAsia" w:ascii="宋体" w:hAnsi="宋体" w:eastAsia="宋体" w:cs="宋体"/>
          <w:b/>
          <w:sz w:val="24"/>
          <w:szCs w:val="24"/>
        </w:rPr>
        <w:t>一体化净水设备清单</w:t>
      </w:r>
    </w:p>
    <w:tbl>
      <w:tblPr>
        <w:tblStyle w:val="8"/>
        <w:tblW w:w="8285" w:type="dxa"/>
        <w:tblInd w:w="103" w:type="dxa"/>
        <w:tblLayout w:type="fixed"/>
        <w:tblCellMar>
          <w:top w:w="0" w:type="dxa"/>
          <w:left w:w="108" w:type="dxa"/>
          <w:bottom w:w="0" w:type="dxa"/>
          <w:right w:w="108" w:type="dxa"/>
        </w:tblCellMar>
      </w:tblPr>
      <w:tblGrid>
        <w:gridCol w:w="545"/>
        <w:gridCol w:w="1699"/>
        <w:gridCol w:w="3776"/>
        <w:gridCol w:w="1005"/>
        <w:gridCol w:w="776"/>
        <w:gridCol w:w="484"/>
      </w:tblGrid>
      <w:tr>
        <w:tblPrEx>
          <w:tblLayout w:type="fixed"/>
          <w:tblCellMar>
            <w:top w:w="0" w:type="dxa"/>
            <w:left w:w="108" w:type="dxa"/>
            <w:bottom w:w="0" w:type="dxa"/>
            <w:right w:w="108" w:type="dxa"/>
          </w:tblCellMar>
        </w:tblPrEx>
        <w:trPr>
          <w:trHeight w:val="750" w:hRule="atLeast"/>
        </w:trPr>
        <w:tc>
          <w:tcPr>
            <w:tcW w:w="54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hint="eastAsia" w:ascii="宋体" w:hAnsi="宋体" w:eastAsia="宋体" w:cs="宋体"/>
                <w:kern w:val="0"/>
                <w:sz w:val="24"/>
                <w:szCs w:val="24"/>
              </w:rPr>
            </w:pPr>
            <w:r>
              <w:rPr>
                <w:rFonts w:hint="eastAsia" w:ascii="宋体" w:hAnsi="宋体" w:eastAsia="宋体" w:cs="宋体"/>
                <w:kern w:val="0"/>
                <w:sz w:val="24"/>
                <w:szCs w:val="24"/>
              </w:rPr>
              <w:t>序号</w:t>
            </w:r>
          </w:p>
        </w:tc>
        <w:tc>
          <w:tcPr>
            <w:tcW w:w="1699" w:type="dxa"/>
            <w:tcBorders>
              <w:top w:val="single" w:color="auto" w:sz="4" w:space="0"/>
              <w:left w:val="nil"/>
              <w:bottom w:val="single" w:color="auto" w:sz="4" w:space="0"/>
              <w:right w:val="single" w:color="auto" w:sz="4" w:space="0"/>
            </w:tcBorders>
            <w:vAlign w:val="top"/>
          </w:tcPr>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设备名称</w:t>
            </w:r>
          </w:p>
        </w:tc>
        <w:tc>
          <w:tcPr>
            <w:tcW w:w="3776" w:type="dxa"/>
            <w:tcBorders>
              <w:top w:val="single" w:color="auto" w:sz="4" w:space="0"/>
              <w:left w:val="nil"/>
              <w:bottom w:val="single" w:color="auto" w:sz="4" w:space="0"/>
              <w:right w:val="single" w:color="auto" w:sz="4" w:space="0"/>
            </w:tcBorders>
            <w:vAlign w:val="top"/>
          </w:tcPr>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规格</w:t>
            </w:r>
          </w:p>
        </w:tc>
        <w:tc>
          <w:tcPr>
            <w:tcW w:w="1005" w:type="dxa"/>
            <w:tcBorders>
              <w:top w:val="single" w:color="auto" w:sz="4" w:space="0"/>
              <w:left w:val="nil"/>
              <w:bottom w:val="single" w:color="auto" w:sz="4" w:space="0"/>
              <w:right w:val="single" w:color="auto" w:sz="4" w:space="0"/>
            </w:tcBorders>
            <w:vAlign w:val="top"/>
          </w:tcPr>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企业或品牌</w:t>
            </w:r>
          </w:p>
        </w:tc>
        <w:tc>
          <w:tcPr>
            <w:tcW w:w="776" w:type="dxa"/>
            <w:tcBorders>
              <w:top w:val="single" w:color="auto" w:sz="4" w:space="0"/>
              <w:left w:val="nil"/>
              <w:bottom w:val="single" w:color="auto" w:sz="4" w:space="0"/>
              <w:right w:val="single" w:color="auto" w:sz="4" w:space="0"/>
            </w:tcBorders>
            <w:vAlign w:val="top"/>
          </w:tcPr>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单位</w:t>
            </w:r>
          </w:p>
        </w:tc>
        <w:tc>
          <w:tcPr>
            <w:tcW w:w="484" w:type="dxa"/>
            <w:tcBorders>
              <w:top w:val="single" w:color="auto" w:sz="4" w:space="0"/>
              <w:left w:val="nil"/>
              <w:bottom w:val="single" w:color="auto" w:sz="4" w:space="0"/>
              <w:right w:val="single" w:color="auto" w:sz="4" w:space="0"/>
            </w:tcBorders>
            <w:vAlign w:val="top"/>
          </w:tcPr>
          <w:p>
            <w:pPr>
              <w:widowControl/>
              <w:spacing w:line="360" w:lineRule="auto"/>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数量</w:t>
            </w:r>
          </w:p>
        </w:tc>
      </w:tr>
      <w:tr>
        <w:tblPrEx>
          <w:tblLayout w:type="fixed"/>
          <w:tblCellMar>
            <w:top w:w="0" w:type="dxa"/>
            <w:left w:w="108" w:type="dxa"/>
            <w:bottom w:w="0" w:type="dxa"/>
            <w:right w:w="108" w:type="dxa"/>
          </w:tblCellMar>
        </w:tblPrEx>
        <w:trPr>
          <w:trHeight w:val="1485" w:hRule="atLeast"/>
        </w:trPr>
        <w:tc>
          <w:tcPr>
            <w:tcW w:w="545" w:type="dxa"/>
            <w:tcBorders>
              <w:top w:val="nil"/>
              <w:left w:val="single" w:color="auto" w:sz="4" w:space="0"/>
              <w:bottom w:val="single" w:color="auto" w:sz="4" w:space="0"/>
              <w:right w:val="single" w:color="auto" w:sz="4" w:space="0"/>
            </w:tcBorders>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1</w:t>
            </w:r>
          </w:p>
        </w:tc>
        <w:tc>
          <w:tcPr>
            <w:tcW w:w="1699"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原水</w:t>
            </w:r>
          </w:p>
        </w:tc>
        <w:tc>
          <w:tcPr>
            <w:tcW w:w="3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原水进水量&gt;30m</w:t>
            </w:r>
            <w:r>
              <w:rPr>
                <w:rFonts w:hint="eastAsia" w:ascii="宋体" w:hAnsi="宋体" w:eastAsia="宋体" w:cs="宋体"/>
                <w:color w:val="000000"/>
                <w:kern w:val="0"/>
                <w:sz w:val="24"/>
                <w:szCs w:val="24"/>
                <w:vertAlign w:val="superscript"/>
              </w:rPr>
              <w:t>3</w:t>
            </w:r>
            <w:r>
              <w:rPr>
                <w:rFonts w:hint="eastAsia" w:ascii="宋体" w:hAnsi="宋体" w:eastAsia="宋体" w:cs="宋体"/>
                <w:color w:val="000000"/>
                <w:kern w:val="0"/>
                <w:sz w:val="24"/>
                <w:szCs w:val="24"/>
              </w:rPr>
              <w:t>/h,达到设备进水口扬程&gt;10m，DN110。</w:t>
            </w:r>
          </w:p>
        </w:tc>
        <w:tc>
          <w:tcPr>
            <w:tcW w:w="1005"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用户自备</w:t>
            </w:r>
          </w:p>
        </w:tc>
        <w:tc>
          <w:tcPr>
            <w:tcW w:w="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套</w:t>
            </w:r>
          </w:p>
        </w:tc>
        <w:tc>
          <w:tcPr>
            <w:tcW w:w="484"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Layout w:type="fixed"/>
          <w:tblCellMar>
            <w:top w:w="0" w:type="dxa"/>
            <w:left w:w="108" w:type="dxa"/>
            <w:bottom w:w="0" w:type="dxa"/>
            <w:right w:w="108" w:type="dxa"/>
          </w:tblCellMar>
        </w:tblPrEx>
        <w:trPr>
          <w:trHeight w:val="375" w:hRule="atLeast"/>
        </w:trPr>
        <w:tc>
          <w:tcPr>
            <w:tcW w:w="545" w:type="dxa"/>
            <w:tcBorders>
              <w:top w:val="nil"/>
              <w:left w:val="single" w:color="auto" w:sz="4" w:space="0"/>
              <w:bottom w:val="single" w:color="auto" w:sz="4" w:space="0"/>
              <w:right w:val="single" w:color="auto" w:sz="4" w:space="0"/>
            </w:tcBorders>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2</w:t>
            </w:r>
          </w:p>
        </w:tc>
        <w:tc>
          <w:tcPr>
            <w:tcW w:w="1699"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加药泵</w:t>
            </w:r>
          </w:p>
        </w:tc>
        <w:tc>
          <w:tcPr>
            <w:tcW w:w="3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15L/H</w:t>
            </w:r>
          </w:p>
        </w:tc>
        <w:tc>
          <w:tcPr>
            <w:tcW w:w="1005"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合资</w:t>
            </w:r>
          </w:p>
        </w:tc>
        <w:tc>
          <w:tcPr>
            <w:tcW w:w="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台</w:t>
            </w:r>
          </w:p>
        </w:tc>
        <w:tc>
          <w:tcPr>
            <w:tcW w:w="484"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Layout w:type="fixed"/>
          <w:tblCellMar>
            <w:top w:w="0" w:type="dxa"/>
            <w:left w:w="108" w:type="dxa"/>
            <w:bottom w:w="0" w:type="dxa"/>
            <w:right w:w="108" w:type="dxa"/>
          </w:tblCellMar>
        </w:tblPrEx>
        <w:trPr>
          <w:trHeight w:val="375" w:hRule="atLeast"/>
        </w:trPr>
        <w:tc>
          <w:tcPr>
            <w:tcW w:w="545" w:type="dxa"/>
            <w:tcBorders>
              <w:top w:val="nil"/>
              <w:left w:val="single" w:color="auto" w:sz="4" w:space="0"/>
              <w:bottom w:val="single" w:color="auto" w:sz="4" w:space="0"/>
              <w:right w:val="single" w:color="auto" w:sz="4" w:space="0"/>
            </w:tcBorders>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3</w:t>
            </w:r>
          </w:p>
        </w:tc>
        <w:tc>
          <w:tcPr>
            <w:tcW w:w="1699"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加药箱</w:t>
            </w:r>
          </w:p>
        </w:tc>
        <w:tc>
          <w:tcPr>
            <w:tcW w:w="3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PE 500L</w:t>
            </w:r>
          </w:p>
        </w:tc>
        <w:tc>
          <w:tcPr>
            <w:tcW w:w="1005"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国产</w:t>
            </w:r>
          </w:p>
        </w:tc>
        <w:tc>
          <w:tcPr>
            <w:tcW w:w="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个</w:t>
            </w:r>
          </w:p>
        </w:tc>
        <w:tc>
          <w:tcPr>
            <w:tcW w:w="484"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Layout w:type="fixed"/>
          <w:tblCellMar>
            <w:top w:w="0" w:type="dxa"/>
            <w:left w:w="108" w:type="dxa"/>
            <w:bottom w:w="0" w:type="dxa"/>
            <w:right w:w="108" w:type="dxa"/>
          </w:tblCellMar>
        </w:tblPrEx>
        <w:trPr>
          <w:trHeight w:val="750" w:hRule="atLeast"/>
        </w:trPr>
        <w:tc>
          <w:tcPr>
            <w:tcW w:w="545" w:type="dxa"/>
            <w:tcBorders>
              <w:top w:val="nil"/>
              <w:left w:val="single" w:color="auto" w:sz="4" w:space="0"/>
              <w:bottom w:val="single" w:color="auto" w:sz="4" w:space="0"/>
              <w:right w:val="single" w:color="auto" w:sz="4" w:space="0"/>
            </w:tcBorders>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4</w:t>
            </w:r>
          </w:p>
        </w:tc>
        <w:tc>
          <w:tcPr>
            <w:tcW w:w="1699" w:type="dxa"/>
            <w:tcBorders>
              <w:top w:val="nil"/>
              <w:left w:val="nil"/>
              <w:bottom w:val="single" w:color="auto" w:sz="4" w:space="0"/>
              <w:right w:val="single" w:color="auto" w:sz="4" w:space="0"/>
            </w:tcBorders>
            <w:vAlign w:val="top"/>
          </w:tcPr>
          <w:p>
            <w:pPr>
              <w:widowControl/>
              <w:rPr>
                <w:rFonts w:hint="eastAsia" w:ascii="宋体" w:hAnsi="宋体" w:eastAsia="宋体" w:cs="宋体"/>
                <w:kern w:val="0"/>
                <w:sz w:val="24"/>
                <w:szCs w:val="24"/>
              </w:rPr>
            </w:pPr>
            <w:r>
              <w:rPr>
                <w:rFonts w:hint="eastAsia" w:ascii="宋体" w:hAnsi="宋体" w:eastAsia="宋体" w:cs="宋体"/>
                <w:kern w:val="0"/>
                <w:sz w:val="24"/>
                <w:szCs w:val="24"/>
              </w:rPr>
              <w:t>混凝设备</w:t>
            </w:r>
          </w:p>
        </w:tc>
        <w:tc>
          <w:tcPr>
            <w:tcW w:w="3776" w:type="dxa"/>
            <w:tcBorders>
              <w:top w:val="nil"/>
              <w:left w:val="nil"/>
              <w:bottom w:val="single" w:color="auto" w:sz="4" w:space="0"/>
              <w:right w:val="single" w:color="auto" w:sz="4" w:space="0"/>
            </w:tcBorders>
            <w:vAlign w:val="top"/>
          </w:tcPr>
          <w:p>
            <w:pPr>
              <w:widowControl/>
              <w:rPr>
                <w:rFonts w:hint="eastAsia" w:ascii="宋体" w:hAnsi="宋体" w:eastAsia="宋体" w:cs="宋体"/>
                <w:kern w:val="0"/>
                <w:sz w:val="24"/>
                <w:szCs w:val="24"/>
              </w:rPr>
            </w:pPr>
            <w:r>
              <w:rPr>
                <w:rFonts w:hint="eastAsia" w:ascii="宋体" w:hAnsi="宋体" w:eastAsia="宋体" w:cs="宋体"/>
                <w:kern w:val="0"/>
                <w:sz w:val="24"/>
                <w:szCs w:val="24"/>
              </w:rPr>
              <w:t>快速混合器</w:t>
            </w:r>
          </w:p>
        </w:tc>
        <w:tc>
          <w:tcPr>
            <w:tcW w:w="1005"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国产</w:t>
            </w:r>
          </w:p>
        </w:tc>
        <w:tc>
          <w:tcPr>
            <w:tcW w:w="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个</w:t>
            </w:r>
          </w:p>
        </w:tc>
        <w:tc>
          <w:tcPr>
            <w:tcW w:w="484"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Layout w:type="fixed"/>
          <w:tblCellMar>
            <w:top w:w="0" w:type="dxa"/>
            <w:left w:w="108" w:type="dxa"/>
            <w:bottom w:w="0" w:type="dxa"/>
            <w:right w:w="108" w:type="dxa"/>
          </w:tblCellMar>
        </w:tblPrEx>
        <w:trPr>
          <w:trHeight w:val="750" w:hRule="atLeast"/>
        </w:trPr>
        <w:tc>
          <w:tcPr>
            <w:tcW w:w="545"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5</w:t>
            </w:r>
          </w:p>
        </w:tc>
        <w:tc>
          <w:tcPr>
            <w:tcW w:w="1699" w:type="dxa"/>
            <w:vMerge w:val="restart"/>
            <w:tcBorders>
              <w:top w:val="single" w:color="auto" w:sz="4" w:space="0"/>
              <w:left w:val="single" w:color="auto" w:sz="4" w:space="0"/>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一体化净水设备滤罐</w:t>
            </w:r>
          </w:p>
        </w:tc>
        <w:tc>
          <w:tcPr>
            <w:tcW w:w="3776" w:type="dxa"/>
            <w:tcBorders>
              <w:top w:val="nil"/>
              <w:left w:val="nil"/>
              <w:bottom w:val="single" w:color="auto" w:sz="4" w:space="0"/>
              <w:right w:val="single" w:color="auto" w:sz="4" w:space="0"/>
            </w:tcBorders>
            <w:vAlign w:val="top"/>
          </w:tcPr>
          <w:p>
            <w:pPr>
              <w:widowControl/>
              <w:rPr>
                <w:rFonts w:hint="eastAsia" w:ascii="宋体" w:hAnsi="宋体" w:eastAsia="宋体" w:cs="宋体"/>
                <w:kern w:val="0"/>
                <w:sz w:val="24"/>
                <w:szCs w:val="24"/>
                <w:u w:val="single"/>
              </w:rPr>
            </w:pPr>
            <w:r>
              <w:rPr>
                <w:rFonts w:hint="eastAsia" w:ascii="宋体" w:hAnsi="宋体" w:eastAsia="宋体" w:cs="宋体"/>
                <w:kern w:val="0"/>
                <w:sz w:val="24"/>
                <w:szCs w:val="24"/>
              </w:rPr>
              <w:t>规格：</w:t>
            </w:r>
            <w:r>
              <w:rPr>
                <w:rFonts w:hint="eastAsia" w:ascii="宋体" w:hAnsi="宋体" w:eastAsia="宋体" w:cs="宋体"/>
                <w:kern w:val="0"/>
                <w:sz w:val="24"/>
                <w:szCs w:val="24"/>
                <w:lang w:val="en-US" w:eastAsia="zh-CN"/>
              </w:rPr>
              <w:t>&gt;</w:t>
            </w:r>
            <w:r>
              <w:rPr>
                <w:rFonts w:hint="eastAsia" w:ascii="宋体" w:hAnsi="宋体" w:eastAsia="宋体" w:cs="宋体"/>
                <w:kern w:val="0"/>
                <w:sz w:val="24"/>
                <w:szCs w:val="24"/>
              </w:rPr>
              <w:t>ф</w:t>
            </w:r>
            <w:r>
              <w:rPr>
                <w:rFonts w:hint="eastAsia" w:ascii="宋体" w:hAnsi="宋体" w:eastAsia="宋体" w:cs="宋体"/>
                <w:kern w:val="0"/>
                <w:sz w:val="24"/>
                <w:szCs w:val="24"/>
                <w:u w:val="single"/>
              </w:rPr>
              <w:t>2000</w:t>
            </w:r>
          </w:p>
          <w:p>
            <w:pPr>
              <w:widowControl/>
              <w:ind w:firstLine="720" w:firstLineChars="300"/>
              <w:rPr>
                <w:rFonts w:hint="eastAsia" w:ascii="宋体" w:hAnsi="宋体" w:eastAsia="宋体" w:cs="宋体"/>
                <w:kern w:val="0"/>
                <w:sz w:val="24"/>
                <w:szCs w:val="24"/>
              </w:rPr>
            </w:pPr>
            <w:r>
              <w:rPr>
                <w:rFonts w:hint="eastAsia" w:ascii="宋体" w:hAnsi="宋体" w:eastAsia="宋体" w:cs="宋体"/>
                <w:kern w:val="0"/>
                <w:sz w:val="24"/>
                <w:szCs w:val="24"/>
                <w:u w:val="single"/>
                <w:lang w:val="en-US" w:eastAsia="zh-CN"/>
              </w:rPr>
              <w:t>&gt;</w:t>
            </w:r>
            <w:r>
              <w:rPr>
                <w:rFonts w:hint="eastAsia" w:ascii="宋体" w:hAnsi="宋体" w:eastAsia="宋体" w:cs="宋体"/>
                <w:kern w:val="0"/>
                <w:sz w:val="24"/>
                <w:szCs w:val="24"/>
              </w:rPr>
              <w:t>总高3900H</w:t>
            </w:r>
          </w:p>
        </w:tc>
        <w:tc>
          <w:tcPr>
            <w:tcW w:w="1005" w:type="dxa"/>
            <w:vMerge w:val="restart"/>
            <w:tcBorders>
              <w:top w:val="nil"/>
              <w:left w:val="single" w:color="auto" w:sz="4" w:space="0"/>
              <w:bottom w:val="single" w:color="auto" w:sz="4" w:space="0"/>
              <w:right w:val="single" w:color="auto" w:sz="4" w:space="0"/>
            </w:tcBorders>
            <w:vAlign w:val="top"/>
          </w:tcPr>
          <w:p>
            <w:pPr>
              <w:widowControl/>
              <w:rPr>
                <w:rFonts w:hint="eastAsia" w:ascii="宋体" w:hAnsi="宋体" w:eastAsia="宋体" w:cs="宋体"/>
                <w:color w:val="000000"/>
                <w:kern w:val="0"/>
                <w:sz w:val="24"/>
                <w:szCs w:val="24"/>
                <w:lang w:eastAsia="zh-CN"/>
              </w:rPr>
            </w:pPr>
            <w:r>
              <w:rPr>
                <w:rFonts w:hint="eastAsia" w:ascii="宋体" w:hAnsi="宋体" w:eastAsia="宋体" w:cs="宋体"/>
                <w:color w:val="000000"/>
                <w:kern w:val="0"/>
                <w:sz w:val="24"/>
                <w:szCs w:val="24"/>
                <w:lang w:eastAsia="zh-CN"/>
              </w:rPr>
              <w:t>国产</w:t>
            </w:r>
          </w:p>
        </w:tc>
        <w:tc>
          <w:tcPr>
            <w:tcW w:w="776" w:type="dxa"/>
            <w:vMerge w:val="restart"/>
            <w:tcBorders>
              <w:top w:val="nil"/>
              <w:left w:val="single" w:color="auto" w:sz="4" w:space="0"/>
              <w:bottom w:val="single" w:color="auto" w:sz="4" w:space="0"/>
              <w:right w:val="single" w:color="auto" w:sz="4" w:space="0"/>
            </w:tcBorders>
            <w:vAlign w:val="center"/>
          </w:tcPr>
          <w:p>
            <w:pPr>
              <w:widowControl/>
              <w:jc w:val="center"/>
              <w:rPr>
                <w:rFonts w:hint="eastAsia" w:ascii="宋体" w:hAnsi="宋体" w:eastAsia="宋体" w:cs="宋体"/>
                <w:kern w:val="0"/>
                <w:sz w:val="24"/>
                <w:szCs w:val="24"/>
              </w:rPr>
            </w:pPr>
            <w:r>
              <w:rPr>
                <w:rFonts w:hint="eastAsia" w:ascii="宋体" w:hAnsi="宋体" w:eastAsia="宋体" w:cs="宋体"/>
                <w:kern w:val="0"/>
                <w:sz w:val="24"/>
                <w:szCs w:val="24"/>
              </w:rPr>
              <w:t>台</w:t>
            </w:r>
          </w:p>
        </w:tc>
        <w:tc>
          <w:tcPr>
            <w:tcW w:w="484" w:type="dxa"/>
            <w:vMerge w:val="restart"/>
            <w:tcBorders>
              <w:top w:val="nil"/>
              <w:left w:val="single" w:color="auto" w:sz="4" w:space="0"/>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Layout w:type="fixed"/>
          <w:tblCellMar>
            <w:top w:w="0" w:type="dxa"/>
            <w:left w:w="108" w:type="dxa"/>
            <w:bottom w:w="0" w:type="dxa"/>
            <w:right w:w="108" w:type="dxa"/>
          </w:tblCellMar>
        </w:tblPrEx>
        <w:trPr>
          <w:trHeight w:val="750" w:hRule="atLeast"/>
        </w:trPr>
        <w:tc>
          <w:tcPr>
            <w:tcW w:w="545"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1699"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c>
          <w:tcPr>
            <w:tcW w:w="3776" w:type="dxa"/>
            <w:tcBorders>
              <w:top w:val="nil"/>
              <w:left w:val="nil"/>
              <w:bottom w:val="single" w:color="auto" w:sz="4" w:space="0"/>
              <w:right w:val="single" w:color="auto" w:sz="4" w:space="0"/>
            </w:tcBorders>
            <w:vAlign w:val="top"/>
          </w:tcPr>
          <w:p>
            <w:pPr>
              <w:widowControl/>
              <w:rPr>
                <w:rFonts w:hint="eastAsia" w:ascii="宋体" w:hAnsi="宋体" w:eastAsia="宋体" w:cs="宋体"/>
                <w:kern w:val="0"/>
                <w:sz w:val="24"/>
                <w:szCs w:val="24"/>
              </w:rPr>
            </w:pPr>
            <w:r>
              <w:rPr>
                <w:rFonts w:hint="eastAsia" w:ascii="宋体" w:hAnsi="宋体" w:eastAsia="宋体" w:cs="宋体"/>
                <w:kern w:val="0"/>
                <w:sz w:val="24"/>
                <w:szCs w:val="24"/>
              </w:rPr>
              <w:t>材质:A3碳钢,内涂环氧树脂，外涂高级防锈漆</w:t>
            </w:r>
          </w:p>
        </w:tc>
        <w:tc>
          <w:tcPr>
            <w:tcW w:w="1005"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c>
          <w:tcPr>
            <w:tcW w:w="77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48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r>
      <w:tr>
        <w:tblPrEx>
          <w:tblLayout w:type="fixed"/>
          <w:tblCellMar>
            <w:top w:w="0" w:type="dxa"/>
            <w:left w:w="108" w:type="dxa"/>
            <w:bottom w:w="0" w:type="dxa"/>
            <w:right w:w="108" w:type="dxa"/>
          </w:tblCellMar>
        </w:tblPrEx>
        <w:trPr>
          <w:trHeight w:val="375" w:hRule="atLeast"/>
        </w:trPr>
        <w:tc>
          <w:tcPr>
            <w:tcW w:w="545"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1699"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c>
          <w:tcPr>
            <w:tcW w:w="3776" w:type="dxa"/>
            <w:tcBorders>
              <w:top w:val="nil"/>
              <w:left w:val="nil"/>
              <w:bottom w:val="single" w:color="auto" w:sz="4" w:space="0"/>
              <w:right w:val="single" w:color="auto" w:sz="4" w:space="0"/>
            </w:tcBorders>
            <w:vAlign w:val="top"/>
          </w:tcPr>
          <w:p>
            <w:pPr>
              <w:widowControl/>
              <w:rPr>
                <w:rFonts w:hint="eastAsia" w:ascii="宋体" w:hAnsi="宋体" w:eastAsia="宋体" w:cs="宋体"/>
                <w:kern w:val="0"/>
                <w:sz w:val="24"/>
                <w:szCs w:val="24"/>
              </w:rPr>
            </w:pPr>
            <w:r>
              <w:rPr>
                <w:rFonts w:hint="eastAsia" w:ascii="宋体" w:hAnsi="宋体" w:eastAsia="宋体" w:cs="宋体"/>
                <w:kern w:val="0"/>
                <w:sz w:val="24"/>
                <w:szCs w:val="24"/>
              </w:rPr>
              <w:t>混合：管道混合器</w:t>
            </w:r>
          </w:p>
        </w:tc>
        <w:tc>
          <w:tcPr>
            <w:tcW w:w="1005"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c>
          <w:tcPr>
            <w:tcW w:w="77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48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r>
      <w:tr>
        <w:tblPrEx>
          <w:tblLayout w:type="fixed"/>
          <w:tblCellMar>
            <w:top w:w="0" w:type="dxa"/>
            <w:left w:w="108" w:type="dxa"/>
            <w:bottom w:w="0" w:type="dxa"/>
            <w:right w:w="108" w:type="dxa"/>
          </w:tblCellMar>
        </w:tblPrEx>
        <w:trPr>
          <w:trHeight w:val="375" w:hRule="atLeast"/>
        </w:trPr>
        <w:tc>
          <w:tcPr>
            <w:tcW w:w="545"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1699"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c>
          <w:tcPr>
            <w:tcW w:w="3776" w:type="dxa"/>
            <w:tcBorders>
              <w:top w:val="nil"/>
              <w:left w:val="nil"/>
              <w:bottom w:val="single" w:color="auto" w:sz="4" w:space="0"/>
              <w:right w:val="single" w:color="auto" w:sz="4" w:space="0"/>
            </w:tcBorders>
            <w:vAlign w:val="top"/>
          </w:tcPr>
          <w:p>
            <w:pPr>
              <w:widowControl/>
              <w:rPr>
                <w:rFonts w:hint="eastAsia" w:ascii="宋体" w:hAnsi="宋体" w:eastAsia="宋体" w:cs="宋体"/>
                <w:kern w:val="0"/>
                <w:sz w:val="24"/>
                <w:szCs w:val="24"/>
              </w:rPr>
            </w:pPr>
            <w:r>
              <w:rPr>
                <w:rFonts w:hint="eastAsia" w:ascii="宋体" w:hAnsi="宋体" w:eastAsia="宋体" w:cs="宋体"/>
                <w:kern w:val="0"/>
                <w:sz w:val="24"/>
                <w:szCs w:val="24"/>
              </w:rPr>
              <w:t>反应：折板反应</w:t>
            </w:r>
          </w:p>
        </w:tc>
        <w:tc>
          <w:tcPr>
            <w:tcW w:w="1005"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c>
          <w:tcPr>
            <w:tcW w:w="77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48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r>
      <w:tr>
        <w:tblPrEx>
          <w:tblLayout w:type="fixed"/>
          <w:tblCellMar>
            <w:top w:w="0" w:type="dxa"/>
            <w:left w:w="108" w:type="dxa"/>
            <w:bottom w:w="0" w:type="dxa"/>
            <w:right w:w="108" w:type="dxa"/>
          </w:tblCellMar>
        </w:tblPrEx>
        <w:trPr>
          <w:trHeight w:val="375" w:hRule="atLeast"/>
        </w:trPr>
        <w:tc>
          <w:tcPr>
            <w:tcW w:w="545"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1699"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c>
          <w:tcPr>
            <w:tcW w:w="3776" w:type="dxa"/>
            <w:tcBorders>
              <w:top w:val="nil"/>
              <w:left w:val="nil"/>
              <w:bottom w:val="single" w:color="auto" w:sz="4" w:space="0"/>
              <w:right w:val="single" w:color="auto" w:sz="4" w:space="0"/>
            </w:tcBorders>
            <w:vAlign w:val="top"/>
          </w:tcPr>
          <w:p>
            <w:pPr>
              <w:widowControl/>
              <w:rPr>
                <w:rFonts w:hint="eastAsia" w:ascii="宋体" w:hAnsi="宋体" w:eastAsia="宋体" w:cs="宋体"/>
                <w:kern w:val="0"/>
                <w:sz w:val="24"/>
                <w:szCs w:val="24"/>
              </w:rPr>
            </w:pPr>
            <w:r>
              <w:rPr>
                <w:rFonts w:hint="eastAsia" w:ascii="宋体" w:hAnsi="宋体" w:eastAsia="宋体" w:cs="宋体"/>
                <w:kern w:val="0"/>
                <w:sz w:val="24"/>
                <w:szCs w:val="24"/>
              </w:rPr>
              <w:t>沉淀：斜管（PE）</w:t>
            </w:r>
          </w:p>
        </w:tc>
        <w:tc>
          <w:tcPr>
            <w:tcW w:w="1005"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c>
          <w:tcPr>
            <w:tcW w:w="77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48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r>
      <w:tr>
        <w:tblPrEx>
          <w:tblLayout w:type="fixed"/>
          <w:tblCellMar>
            <w:top w:w="0" w:type="dxa"/>
            <w:left w:w="108" w:type="dxa"/>
            <w:bottom w:w="0" w:type="dxa"/>
            <w:right w:w="108" w:type="dxa"/>
          </w:tblCellMar>
        </w:tblPrEx>
        <w:trPr>
          <w:trHeight w:val="375" w:hRule="atLeast"/>
        </w:trPr>
        <w:tc>
          <w:tcPr>
            <w:tcW w:w="545"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1699"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c>
          <w:tcPr>
            <w:tcW w:w="3776" w:type="dxa"/>
            <w:tcBorders>
              <w:top w:val="nil"/>
              <w:left w:val="nil"/>
              <w:bottom w:val="single" w:color="auto" w:sz="4" w:space="0"/>
              <w:right w:val="single" w:color="auto" w:sz="4" w:space="0"/>
            </w:tcBorders>
            <w:vAlign w:val="top"/>
          </w:tcPr>
          <w:p>
            <w:pPr>
              <w:widowControl/>
              <w:rPr>
                <w:rFonts w:hint="eastAsia" w:ascii="宋体" w:hAnsi="宋体" w:eastAsia="宋体" w:cs="宋体"/>
                <w:kern w:val="0"/>
                <w:sz w:val="24"/>
                <w:szCs w:val="24"/>
              </w:rPr>
            </w:pPr>
            <w:r>
              <w:rPr>
                <w:rFonts w:hint="eastAsia" w:ascii="宋体" w:hAnsi="宋体" w:eastAsia="宋体" w:cs="宋体"/>
                <w:kern w:val="0"/>
                <w:sz w:val="24"/>
                <w:szCs w:val="24"/>
              </w:rPr>
              <w:t>滤料:石英</w:t>
            </w:r>
          </w:p>
        </w:tc>
        <w:tc>
          <w:tcPr>
            <w:tcW w:w="1005"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c>
          <w:tcPr>
            <w:tcW w:w="77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48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r>
      <w:tr>
        <w:tblPrEx>
          <w:tblLayout w:type="fixed"/>
          <w:tblCellMar>
            <w:top w:w="0" w:type="dxa"/>
            <w:left w:w="108" w:type="dxa"/>
            <w:bottom w:w="0" w:type="dxa"/>
            <w:right w:w="108" w:type="dxa"/>
          </w:tblCellMar>
        </w:tblPrEx>
        <w:trPr>
          <w:trHeight w:val="375" w:hRule="atLeast"/>
        </w:trPr>
        <w:tc>
          <w:tcPr>
            <w:tcW w:w="545"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1699"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c>
          <w:tcPr>
            <w:tcW w:w="3776" w:type="dxa"/>
            <w:tcBorders>
              <w:top w:val="nil"/>
              <w:left w:val="nil"/>
              <w:bottom w:val="single" w:color="auto" w:sz="4" w:space="0"/>
              <w:right w:val="single" w:color="auto" w:sz="4" w:space="0"/>
            </w:tcBorders>
            <w:vAlign w:val="top"/>
          </w:tcPr>
          <w:p>
            <w:pPr>
              <w:widowControl/>
              <w:rPr>
                <w:rFonts w:hint="eastAsia" w:ascii="宋体" w:hAnsi="宋体" w:eastAsia="宋体" w:cs="宋体"/>
                <w:kern w:val="0"/>
                <w:sz w:val="24"/>
                <w:szCs w:val="24"/>
              </w:rPr>
            </w:pPr>
            <w:r>
              <w:rPr>
                <w:rFonts w:hint="eastAsia" w:ascii="宋体" w:hAnsi="宋体" w:eastAsia="宋体" w:cs="宋体"/>
                <w:kern w:val="0"/>
                <w:sz w:val="24"/>
                <w:szCs w:val="24"/>
              </w:rPr>
              <w:t>滤层:总厚度&gt;900mm</w:t>
            </w:r>
          </w:p>
        </w:tc>
        <w:tc>
          <w:tcPr>
            <w:tcW w:w="1005"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c>
          <w:tcPr>
            <w:tcW w:w="77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48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r>
      <w:tr>
        <w:tblPrEx>
          <w:tblLayout w:type="fixed"/>
          <w:tblCellMar>
            <w:top w:w="0" w:type="dxa"/>
            <w:left w:w="108" w:type="dxa"/>
            <w:bottom w:w="0" w:type="dxa"/>
            <w:right w:w="108" w:type="dxa"/>
          </w:tblCellMar>
        </w:tblPrEx>
        <w:trPr>
          <w:trHeight w:val="375" w:hRule="atLeast"/>
        </w:trPr>
        <w:tc>
          <w:tcPr>
            <w:tcW w:w="545"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1699"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c>
          <w:tcPr>
            <w:tcW w:w="3776" w:type="dxa"/>
            <w:tcBorders>
              <w:top w:val="nil"/>
              <w:left w:val="nil"/>
              <w:bottom w:val="single" w:color="auto" w:sz="4" w:space="0"/>
              <w:right w:val="single" w:color="auto" w:sz="4" w:space="0"/>
            </w:tcBorders>
            <w:vAlign w:val="top"/>
          </w:tcPr>
          <w:p>
            <w:pPr>
              <w:widowControl/>
              <w:rPr>
                <w:rFonts w:hint="eastAsia" w:ascii="宋体" w:hAnsi="宋体" w:eastAsia="宋体" w:cs="宋体"/>
                <w:kern w:val="0"/>
                <w:sz w:val="24"/>
                <w:szCs w:val="24"/>
              </w:rPr>
            </w:pPr>
            <w:r>
              <w:rPr>
                <w:rFonts w:hint="eastAsia" w:ascii="宋体" w:hAnsi="宋体" w:eastAsia="宋体" w:cs="宋体"/>
                <w:kern w:val="0"/>
                <w:sz w:val="24"/>
                <w:szCs w:val="24"/>
              </w:rPr>
              <w:t>进水口：DN1</w:t>
            </w:r>
            <w:r>
              <w:rPr>
                <w:rFonts w:hint="eastAsia" w:ascii="宋体" w:hAnsi="宋体" w:eastAsia="宋体" w:cs="宋体"/>
                <w:kern w:val="0"/>
                <w:sz w:val="24"/>
                <w:szCs w:val="24"/>
                <w:lang w:val="en-US" w:eastAsia="zh-CN"/>
              </w:rPr>
              <w:t>1</w:t>
            </w:r>
            <w:r>
              <w:rPr>
                <w:rFonts w:hint="eastAsia" w:ascii="宋体" w:hAnsi="宋体" w:eastAsia="宋体" w:cs="宋体"/>
                <w:kern w:val="0"/>
                <w:sz w:val="24"/>
                <w:szCs w:val="24"/>
              </w:rPr>
              <w:t>0</w:t>
            </w:r>
          </w:p>
        </w:tc>
        <w:tc>
          <w:tcPr>
            <w:tcW w:w="1005"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c>
          <w:tcPr>
            <w:tcW w:w="776"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kern w:val="0"/>
                <w:sz w:val="24"/>
                <w:szCs w:val="24"/>
              </w:rPr>
            </w:pPr>
          </w:p>
        </w:tc>
        <w:tc>
          <w:tcPr>
            <w:tcW w:w="484" w:type="dxa"/>
            <w:vMerge w:val="continue"/>
            <w:tcBorders>
              <w:top w:val="nil"/>
              <w:left w:val="single" w:color="auto" w:sz="4" w:space="0"/>
              <w:bottom w:val="single" w:color="auto" w:sz="4" w:space="0"/>
              <w:right w:val="single" w:color="auto" w:sz="4" w:space="0"/>
            </w:tcBorders>
            <w:vAlign w:val="center"/>
          </w:tcPr>
          <w:p>
            <w:pPr>
              <w:widowControl/>
              <w:jc w:val="left"/>
              <w:rPr>
                <w:rFonts w:hint="eastAsia" w:ascii="宋体" w:hAnsi="宋体" w:eastAsia="宋体" w:cs="宋体"/>
                <w:color w:val="000000"/>
                <w:kern w:val="0"/>
                <w:sz w:val="24"/>
                <w:szCs w:val="24"/>
              </w:rPr>
            </w:pPr>
          </w:p>
        </w:tc>
      </w:tr>
      <w:tr>
        <w:tblPrEx>
          <w:tblLayout w:type="fixed"/>
          <w:tblCellMar>
            <w:top w:w="0" w:type="dxa"/>
            <w:left w:w="108" w:type="dxa"/>
            <w:bottom w:w="0" w:type="dxa"/>
            <w:right w:w="108" w:type="dxa"/>
          </w:tblCellMar>
        </w:tblPrEx>
        <w:trPr>
          <w:trHeight w:val="375" w:hRule="atLeast"/>
        </w:trPr>
        <w:tc>
          <w:tcPr>
            <w:tcW w:w="545" w:type="dxa"/>
            <w:tcBorders>
              <w:top w:val="nil"/>
              <w:left w:val="single" w:color="auto" w:sz="4" w:space="0"/>
              <w:bottom w:val="single" w:color="auto" w:sz="4" w:space="0"/>
              <w:right w:val="single" w:color="auto" w:sz="4" w:space="0"/>
            </w:tcBorders>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6</w:t>
            </w:r>
          </w:p>
        </w:tc>
        <w:tc>
          <w:tcPr>
            <w:tcW w:w="1699"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自动反冲洗</w:t>
            </w:r>
          </w:p>
        </w:tc>
        <w:tc>
          <w:tcPr>
            <w:tcW w:w="3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进水、反冲洗排污阀门</w:t>
            </w:r>
          </w:p>
        </w:tc>
        <w:tc>
          <w:tcPr>
            <w:tcW w:w="1005"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国产</w:t>
            </w:r>
          </w:p>
        </w:tc>
        <w:tc>
          <w:tcPr>
            <w:tcW w:w="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批</w:t>
            </w:r>
          </w:p>
        </w:tc>
        <w:tc>
          <w:tcPr>
            <w:tcW w:w="484"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Layout w:type="fixed"/>
          <w:tblCellMar>
            <w:top w:w="0" w:type="dxa"/>
            <w:left w:w="108" w:type="dxa"/>
            <w:bottom w:w="0" w:type="dxa"/>
            <w:right w:w="108" w:type="dxa"/>
          </w:tblCellMar>
        </w:tblPrEx>
        <w:trPr>
          <w:trHeight w:val="375" w:hRule="atLeast"/>
        </w:trPr>
        <w:tc>
          <w:tcPr>
            <w:tcW w:w="545" w:type="dxa"/>
            <w:tcBorders>
              <w:top w:val="nil"/>
              <w:left w:val="single" w:color="auto" w:sz="4" w:space="0"/>
              <w:bottom w:val="single" w:color="auto" w:sz="4" w:space="0"/>
              <w:right w:val="single" w:color="auto" w:sz="4" w:space="0"/>
            </w:tcBorders>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7</w:t>
            </w:r>
          </w:p>
        </w:tc>
        <w:tc>
          <w:tcPr>
            <w:tcW w:w="1699"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连接管</w:t>
            </w:r>
          </w:p>
        </w:tc>
        <w:tc>
          <w:tcPr>
            <w:tcW w:w="3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镀锌管</w:t>
            </w:r>
          </w:p>
        </w:tc>
        <w:tc>
          <w:tcPr>
            <w:tcW w:w="1005"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国产</w:t>
            </w:r>
          </w:p>
        </w:tc>
        <w:tc>
          <w:tcPr>
            <w:tcW w:w="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批</w:t>
            </w:r>
          </w:p>
        </w:tc>
        <w:tc>
          <w:tcPr>
            <w:tcW w:w="484"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Layout w:type="fixed"/>
          <w:tblCellMar>
            <w:top w:w="0" w:type="dxa"/>
            <w:left w:w="108" w:type="dxa"/>
            <w:bottom w:w="0" w:type="dxa"/>
            <w:right w:w="108" w:type="dxa"/>
          </w:tblCellMar>
        </w:tblPrEx>
        <w:trPr>
          <w:trHeight w:val="375" w:hRule="atLeast"/>
        </w:trPr>
        <w:tc>
          <w:tcPr>
            <w:tcW w:w="545" w:type="dxa"/>
            <w:tcBorders>
              <w:top w:val="nil"/>
              <w:left w:val="single" w:color="auto" w:sz="4" w:space="0"/>
              <w:bottom w:val="single" w:color="auto" w:sz="4" w:space="0"/>
              <w:right w:val="single" w:color="auto" w:sz="4" w:space="0"/>
            </w:tcBorders>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8</w:t>
            </w:r>
          </w:p>
        </w:tc>
        <w:tc>
          <w:tcPr>
            <w:tcW w:w="1699"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控制系统</w:t>
            </w:r>
          </w:p>
        </w:tc>
        <w:tc>
          <w:tcPr>
            <w:tcW w:w="3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05"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p>
        </w:tc>
        <w:tc>
          <w:tcPr>
            <w:tcW w:w="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套</w:t>
            </w:r>
          </w:p>
        </w:tc>
        <w:tc>
          <w:tcPr>
            <w:tcW w:w="484"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Layout w:type="fixed"/>
          <w:tblCellMar>
            <w:top w:w="0" w:type="dxa"/>
            <w:left w:w="108" w:type="dxa"/>
            <w:bottom w:w="0" w:type="dxa"/>
            <w:right w:w="108" w:type="dxa"/>
          </w:tblCellMar>
        </w:tblPrEx>
        <w:trPr>
          <w:trHeight w:val="375" w:hRule="atLeast"/>
        </w:trPr>
        <w:tc>
          <w:tcPr>
            <w:tcW w:w="545" w:type="dxa"/>
            <w:tcBorders>
              <w:top w:val="nil"/>
              <w:left w:val="single" w:color="auto" w:sz="4" w:space="0"/>
              <w:bottom w:val="single" w:color="auto" w:sz="4" w:space="0"/>
              <w:right w:val="single" w:color="auto" w:sz="4" w:space="0"/>
            </w:tcBorders>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10</w:t>
            </w:r>
          </w:p>
        </w:tc>
        <w:tc>
          <w:tcPr>
            <w:tcW w:w="1699"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消毒装置</w:t>
            </w:r>
          </w:p>
        </w:tc>
        <w:tc>
          <w:tcPr>
            <w:tcW w:w="3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投加次氯酸纳（15L/H）</w:t>
            </w:r>
          </w:p>
        </w:tc>
        <w:tc>
          <w:tcPr>
            <w:tcW w:w="1005"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p>
        </w:tc>
        <w:tc>
          <w:tcPr>
            <w:tcW w:w="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套</w:t>
            </w:r>
          </w:p>
        </w:tc>
        <w:tc>
          <w:tcPr>
            <w:tcW w:w="484"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Layout w:type="fixed"/>
          <w:tblCellMar>
            <w:top w:w="0" w:type="dxa"/>
            <w:left w:w="108" w:type="dxa"/>
            <w:bottom w:w="0" w:type="dxa"/>
            <w:right w:w="108" w:type="dxa"/>
          </w:tblCellMar>
        </w:tblPrEx>
        <w:trPr>
          <w:trHeight w:val="375" w:hRule="atLeast"/>
        </w:trPr>
        <w:tc>
          <w:tcPr>
            <w:tcW w:w="545" w:type="dxa"/>
            <w:tcBorders>
              <w:top w:val="nil"/>
              <w:left w:val="single" w:color="auto" w:sz="4" w:space="0"/>
              <w:bottom w:val="single" w:color="auto" w:sz="4" w:space="0"/>
              <w:right w:val="single" w:color="auto" w:sz="4" w:space="0"/>
            </w:tcBorders>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11</w:t>
            </w:r>
          </w:p>
        </w:tc>
        <w:tc>
          <w:tcPr>
            <w:tcW w:w="1699"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安装调试</w:t>
            </w:r>
          </w:p>
        </w:tc>
        <w:tc>
          <w:tcPr>
            <w:tcW w:w="3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05"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p>
        </w:tc>
        <w:tc>
          <w:tcPr>
            <w:tcW w:w="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次</w:t>
            </w:r>
          </w:p>
        </w:tc>
        <w:tc>
          <w:tcPr>
            <w:tcW w:w="484"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Layout w:type="fixed"/>
          <w:tblCellMar>
            <w:top w:w="0" w:type="dxa"/>
            <w:left w:w="108" w:type="dxa"/>
            <w:bottom w:w="0" w:type="dxa"/>
            <w:right w:w="108" w:type="dxa"/>
          </w:tblCellMar>
        </w:tblPrEx>
        <w:trPr>
          <w:trHeight w:val="375" w:hRule="atLeast"/>
        </w:trPr>
        <w:tc>
          <w:tcPr>
            <w:tcW w:w="545" w:type="dxa"/>
            <w:tcBorders>
              <w:top w:val="nil"/>
              <w:left w:val="single" w:color="auto" w:sz="4" w:space="0"/>
              <w:bottom w:val="single" w:color="auto" w:sz="4" w:space="0"/>
              <w:right w:val="single" w:color="auto" w:sz="4" w:space="0"/>
            </w:tcBorders>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12</w:t>
            </w:r>
          </w:p>
        </w:tc>
        <w:tc>
          <w:tcPr>
            <w:tcW w:w="1699"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运费</w:t>
            </w:r>
          </w:p>
        </w:tc>
        <w:tc>
          <w:tcPr>
            <w:tcW w:w="3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05"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p>
        </w:tc>
        <w:tc>
          <w:tcPr>
            <w:tcW w:w="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次</w:t>
            </w:r>
          </w:p>
        </w:tc>
        <w:tc>
          <w:tcPr>
            <w:tcW w:w="484"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r>
        <w:tblPrEx>
          <w:tblLayout w:type="fixed"/>
          <w:tblCellMar>
            <w:top w:w="0" w:type="dxa"/>
            <w:left w:w="108" w:type="dxa"/>
            <w:bottom w:w="0" w:type="dxa"/>
            <w:right w:w="108" w:type="dxa"/>
          </w:tblCellMar>
        </w:tblPrEx>
        <w:trPr>
          <w:trHeight w:val="375" w:hRule="atLeast"/>
        </w:trPr>
        <w:tc>
          <w:tcPr>
            <w:tcW w:w="545" w:type="dxa"/>
            <w:tcBorders>
              <w:top w:val="nil"/>
              <w:left w:val="single" w:color="auto" w:sz="4" w:space="0"/>
              <w:bottom w:val="single" w:color="auto" w:sz="4" w:space="0"/>
              <w:right w:val="single" w:color="auto" w:sz="4" w:space="0"/>
            </w:tcBorders>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rPr>
              <w:t>13</w:t>
            </w:r>
          </w:p>
        </w:tc>
        <w:tc>
          <w:tcPr>
            <w:tcW w:w="1699"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培训费</w:t>
            </w:r>
          </w:p>
        </w:tc>
        <w:tc>
          <w:tcPr>
            <w:tcW w:w="3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w:t>
            </w:r>
          </w:p>
        </w:tc>
        <w:tc>
          <w:tcPr>
            <w:tcW w:w="1005"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p>
        </w:tc>
        <w:tc>
          <w:tcPr>
            <w:tcW w:w="776"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批</w:t>
            </w:r>
          </w:p>
        </w:tc>
        <w:tc>
          <w:tcPr>
            <w:tcW w:w="484" w:type="dxa"/>
            <w:tcBorders>
              <w:top w:val="nil"/>
              <w:left w:val="nil"/>
              <w:bottom w:val="single" w:color="auto" w:sz="4" w:space="0"/>
              <w:right w:val="single" w:color="auto" w:sz="4" w:space="0"/>
            </w:tcBorders>
            <w:vAlign w:val="top"/>
          </w:tcPr>
          <w:p>
            <w:pPr>
              <w:widowControl/>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r>
    </w:tbl>
    <w:p>
      <w:pPr>
        <w:rPr>
          <w:rFonts w:hint="eastAsia" w:ascii="宋体" w:hAnsi="宋体" w:eastAsia="宋体" w:cs="宋体"/>
          <w:color w:val="000000"/>
          <w:sz w:val="24"/>
          <w:szCs w:val="24"/>
        </w:rPr>
      </w:pPr>
      <w:r>
        <w:rPr>
          <w:rFonts w:hint="eastAsia" w:ascii="宋体" w:hAnsi="宋体" w:eastAsia="宋体" w:cs="宋体"/>
          <w:color w:val="000000"/>
          <w:sz w:val="24"/>
          <w:szCs w:val="24"/>
        </w:rPr>
        <w:t>备注：</w:t>
      </w:r>
    </w:p>
    <w:p>
      <w:pPr>
        <w:numPr>
          <w:ilvl w:val="0"/>
          <w:numId w:val="1"/>
        </w:numPr>
        <w:rPr>
          <w:rFonts w:hint="eastAsia" w:ascii="宋体" w:hAnsi="宋体" w:eastAsia="宋体" w:cs="宋体"/>
          <w:sz w:val="24"/>
          <w:szCs w:val="24"/>
        </w:rPr>
      </w:pPr>
      <w:r>
        <w:rPr>
          <w:rFonts w:hint="eastAsia" w:ascii="宋体" w:hAnsi="宋体" w:eastAsia="宋体" w:cs="宋体"/>
          <w:sz w:val="24"/>
          <w:szCs w:val="24"/>
        </w:rPr>
        <w:t>备注：制水量:</w:t>
      </w:r>
      <w:r>
        <w:rPr>
          <w:rFonts w:hint="eastAsia" w:ascii="宋体" w:hAnsi="宋体" w:eastAsia="宋体" w:cs="宋体"/>
          <w:color w:val="000000"/>
          <w:sz w:val="24"/>
          <w:szCs w:val="24"/>
        </w:rPr>
        <w:t>500m</w:t>
      </w:r>
      <w:r>
        <w:rPr>
          <w:rFonts w:hint="eastAsia" w:ascii="宋体" w:hAnsi="宋体" w:eastAsia="宋体" w:cs="宋体"/>
          <w:color w:val="000000"/>
          <w:sz w:val="24"/>
          <w:szCs w:val="24"/>
          <w:vertAlign w:val="superscript"/>
        </w:rPr>
        <w:t>3</w:t>
      </w:r>
      <w:r>
        <w:rPr>
          <w:rFonts w:hint="eastAsia" w:ascii="宋体" w:hAnsi="宋体" w:eastAsia="宋体" w:cs="宋体"/>
          <w:color w:val="000000"/>
          <w:sz w:val="24"/>
          <w:szCs w:val="24"/>
        </w:rPr>
        <w:t>/d,</w:t>
      </w:r>
      <w:r>
        <w:rPr>
          <w:rFonts w:hint="eastAsia" w:ascii="宋体" w:hAnsi="宋体" w:eastAsia="宋体" w:cs="宋体"/>
          <w:sz w:val="24"/>
          <w:szCs w:val="24"/>
        </w:rPr>
        <w:t>制水量按滤速8-12m/h计，甲方（业主）的原水进水管、清水出水管和排污管、反冲洗管应安装到一体化设备接口处并对接。甲方二相电源电线应安装到一体化设备电源接口处。</w:t>
      </w:r>
    </w:p>
    <w:p>
      <w:pPr>
        <w:numPr>
          <w:ilvl w:val="0"/>
          <w:numId w:val="1"/>
        </w:numPr>
        <w:rPr>
          <w:rFonts w:hint="eastAsia" w:ascii="宋体" w:hAnsi="宋体" w:eastAsia="宋体" w:cs="宋体"/>
          <w:sz w:val="24"/>
          <w:szCs w:val="24"/>
        </w:rPr>
      </w:pPr>
      <w:r>
        <w:rPr>
          <w:rFonts w:hint="eastAsia" w:ascii="宋体" w:hAnsi="宋体" w:eastAsia="宋体" w:cs="宋体"/>
          <w:sz w:val="24"/>
          <w:szCs w:val="24"/>
        </w:rPr>
        <w:t>安装净水设备的砼基础由甲方施工。设备房面积应&gt;4×5m=&gt;20m</w:t>
      </w:r>
      <w:r>
        <w:rPr>
          <w:rFonts w:hint="eastAsia" w:ascii="宋体" w:hAnsi="宋体" w:eastAsia="宋体" w:cs="宋体"/>
          <w:sz w:val="24"/>
          <w:szCs w:val="24"/>
          <w:vertAlign w:val="superscript"/>
        </w:rPr>
        <w:t>2</w:t>
      </w:r>
      <w:r>
        <w:rPr>
          <w:rFonts w:hint="eastAsia" w:ascii="宋体" w:hAnsi="宋体" w:eastAsia="宋体" w:cs="宋体"/>
          <w:sz w:val="24"/>
          <w:szCs w:val="24"/>
        </w:rPr>
        <w:t>，配套加药房20m</w:t>
      </w:r>
      <w:r>
        <w:rPr>
          <w:rFonts w:hint="eastAsia" w:ascii="宋体" w:hAnsi="宋体" w:eastAsia="宋体" w:cs="宋体"/>
          <w:sz w:val="24"/>
          <w:szCs w:val="24"/>
          <w:vertAlign w:val="superscript"/>
        </w:rPr>
        <w:t>2</w:t>
      </w:r>
      <w:r>
        <w:rPr>
          <w:rFonts w:hint="eastAsia" w:ascii="宋体" w:hAnsi="宋体" w:eastAsia="宋体" w:cs="宋体"/>
          <w:sz w:val="24"/>
          <w:szCs w:val="24"/>
        </w:rPr>
        <w:t>。水箱基础高于设备房2m。</w:t>
      </w:r>
    </w:p>
    <w:p>
      <w:pPr>
        <w:rPr>
          <w:rFonts w:hint="eastAsia" w:ascii="宋体" w:hAnsi="宋体" w:eastAsia="宋体" w:cs="宋体"/>
          <w:sz w:val="24"/>
          <w:szCs w:val="24"/>
        </w:rPr>
      </w:pPr>
      <w:r>
        <w:rPr>
          <w:rFonts w:hint="eastAsia" w:ascii="宋体" w:hAnsi="宋体" w:eastAsia="宋体" w:cs="宋体"/>
          <w:sz w:val="24"/>
          <w:szCs w:val="24"/>
        </w:rPr>
        <w:t xml:space="preserve"> </w:t>
      </w:r>
    </w:p>
    <w:p>
      <w:pPr>
        <w:rPr>
          <w:rFonts w:hint="eastAsia" w:ascii="宋体" w:hAnsi="宋体" w:eastAsia="宋体" w:cs="宋体"/>
          <w:sz w:val="24"/>
          <w:szCs w:val="24"/>
        </w:rPr>
      </w:pPr>
    </w:p>
    <w:p>
      <w:pPr>
        <w:rPr>
          <w:rFonts w:hint="eastAsia" w:ascii="宋体" w:hAnsi="宋体" w:eastAsia="宋体" w:cs="宋体"/>
          <w:sz w:val="24"/>
          <w:szCs w:val="24"/>
        </w:rPr>
      </w:pPr>
    </w:p>
    <w:p>
      <w:pPr>
        <w:pStyle w:val="3"/>
        <w:ind w:firstLine="482" w:firstLineChars="200"/>
        <w:rPr>
          <w:rFonts w:hint="eastAsia" w:ascii="宋体" w:hAnsi="宋体" w:eastAsia="宋体" w:cs="宋体"/>
          <w:sz w:val="24"/>
          <w:szCs w:val="24"/>
        </w:rPr>
      </w:pPr>
      <w:bookmarkStart w:id="10" w:name="_Toc8213"/>
      <w:bookmarkStart w:id="11" w:name="_Toc475544037"/>
      <w:r>
        <w:rPr>
          <w:rFonts w:hint="eastAsia" w:ascii="宋体" w:hAnsi="宋体" w:eastAsia="宋体" w:cs="宋体"/>
          <w:sz w:val="24"/>
          <w:szCs w:val="24"/>
        </w:rPr>
        <w:t>(</w:t>
      </w:r>
      <w:r>
        <w:rPr>
          <w:rFonts w:hint="eastAsia" w:ascii="宋体" w:hAnsi="宋体" w:eastAsia="宋体" w:cs="宋体"/>
          <w:sz w:val="24"/>
          <w:szCs w:val="24"/>
          <w:lang w:eastAsia="zh-CN"/>
        </w:rPr>
        <w:t>十</w:t>
      </w:r>
      <w:r>
        <w:rPr>
          <w:rFonts w:hint="eastAsia" w:ascii="宋体" w:hAnsi="宋体" w:eastAsia="宋体" w:cs="宋体"/>
          <w:sz w:val="24"/>
          <w:szCs w:val="24"/>
        </w:rPr>
        <w:t>)售后服务承诺</w:t>
      </w:r>
      <w:bookmarkEnd w:id="10"/>
      <w:bookmarkEnd w:id="11"/>
    </w:p>
    <w:p>
      <w:pPr>
        <w:ind w:firstLine="435"/>
        <w:rPr>
          <w:rFonts w:hint="eastAsia" w:ascii="宋体" w:hAnsi="宋体" w:eastAsia="宋体" w:cs="宋体"/>
          <w:color w:val="000000"/>
          <w:sz w:val="24"/>
          <w:szCs w:val="24"/>
        </w:rPr>
      </w:pPr>
      <w:r>
        <w:rPr>
          <w:rFonts w:hint="eastAsia" w:ascii="宋体" w:hAnsi="宋体" w:eastAsia="宋体" w:cs="宋体"/>
          <w:sz w:val="24"/>
          <w:szCs w:val="24"/>
        </w:rPr>
        <w:t xml:space="preserve">1 </w:t>
      </w:r>
      <w:r>
        <w:rPr>
          <w:rFonts w:hint="eastAsia" w:ascii="宋体" w:hAnsi="宋体" w:eastAsia="宋体" w:cs="宋体"/>
          <w:color w:val="000000"/>
          <w:sz w:val="24"/>
          <w:szCs w:val="24"/>
        </w:rPr>
        <w:t>制造供应商在</w:t>
      </w:r>
      <w:r>
        <w:rPr>
          <w:rFonts w:hint="eastAsia" w:ascii="宋体" w:hAnsi="宋体" w:eastAsia="宋体" w:cs="宋体"/>
          <w:color w:val="000000"/>
          <w:sz w:val="24"/>
          <w:szCs w:val="24"/>
          <w:lang w:eastAsia="zh-CN"/>
        </w:rPr>
        <w:t>安装点</w:t>
      </w:r>
      <w:r>
        <w:rPr>
          <w:rFonts w:hint="eastAsia" w:ascii="宋体" w:hAnsi="宋体" w:eastAsia="宋体" w:cs="宋体"/>
          <w:color w:val="000000"/>
          <w:sz w:val="24"/>
          <w:szCs w:val="24"/>
          <w:lang w:val="en-US" w:eastAsia="zh-CN"/>
        </w:rPr>
        <w:t>150km内</w:t>
      </w:r>
      <w:r>
        <w:rPr>
          <w:rFonts w:hint="eastAsia" w:ascii="宋体" w:hAnsi="宋体" w:eastAsia="宋体" w:cs="宋体"/>
          <w:color w:val="000000"/>
          <w:sz w:val="24"/>
          <w:szCs w:val="24"/>
        </w:rPr>
        <w:t>有固定售后服务机构并配有维修工程师。</w:t>
      </w:r>
    </w:p>
    <w:p>
      <w:pPr>
        <w:ind w:firstLine="435"/>
        <w:rPr>
          <w:rFonts w:hint="eastAsia" w:ascii="宋体" w:hAnsi="宋体" w:eastAsia="宋体" w:cs="宋体"/>
          <w:color w:val="000000"/>
          <w:sz w:val="24"/>
          <w:szCs w:val="24"/>
        </w:rPr>
      </w:pPr>
      <w:r>
        <w:rPr>
          <w:rFonts w:hint="eastAsia" w:ascii="宋体" w:hAnsi="宋体" w:eastAsia="宋体" w:cs="宋体"/>
          <w:color w:val="000000"/>
          <w:sz w:val="24"/>
          <w:szCs w:val="24"/>
        </w:rPr>
        <w:t>2.在设备调试运行后将提供基本操作培训和常见故障排训。</w:t>
      </w:r>
    </w:p>
    <w:p>
      <w:pPr>
        <w:ind w:firstLine="435"/>
        <w:rPr>
          <w:rFonts w:hint="eastAsia" w:ascii="宋体" w:hAnsi="宋体" w:eastAsia="宋体" w:cs="宋体"/>
          <w:color w:val="000000"/>
          <w:sz w:val="24"/>
          <w:szCs w:val="24"/>
        </w:rPr>
      </w:pPr>
      <w:r>
        <w:rPr>
          <w:rFonts w:hint="eastAsia" w:ascii="宋体" w:hAnsi="宋体" w:eastAsia="宋体" w:cs="宋体"/>
          <w:color w:val="000000"/>
          <w:sz w:val="24"/>
          <w:szCs w:val="24"/>
        </w:rPr>
        <w:t>3.提供设备的使用说明和维护方案。</w:t>
      </w:r>
    </w:p>
    <w:p>
      <w:pPr>
        <w:ind w:firstLine="435"/>
        <w:rPr>
          <w:rFonts w:hint="eastAsia" w:ascii="宋体" w:hAnsi="宋体" w:eastAsia="宋体" w:cs="宋体"/>
          <w:color w:val="000000"/>
          <w:sz w:val="24"/>
          <w:szCs w:val="24"/>
        </w:rPr>
      </w:pPr>
      <w:r>
        <w:rPr>
          <w:rFonts w:hint="eastAsia" w:ascii="宋体" w:hAnsi="宋体" w:eastAsia="宋体" w:cs="宋体"/>
          <w:color w:val="000000"/>
          <w:sz w:val="24"/>
          <w:szCs w:val="24"/>
        </w:rPr>
        <w:t>4.提供维修服务电话。</w:t>
      </w:r>
    </w:p>
    <w:p>
      <w:pPr>
        <w:ind w:firstLine="435"/>
        <w:rPr>
          <w:rFonts w:hint="eastAsia" w:ascii="宋体" w:hAnsi="宋体" w:eastAsia="宋体" w:cs="宋体"/>
          <w:color w:val="000000"/>
          <w:sz w:val="24"/>
          <w:szCs w:val="24"/>
        </w:rPr>
      </w:pPr>
      <w:r>
        <w:rPr>
          <w:rFonts w:hint="eastAsia" w:ascii="宋体" w:hAnsi="宋体" w:eastAsia="宋体" w:cs="宋体"/>
          <w:color w:val="000000"/>
          <w:sz w:val="24"/>
          <w:szCs w:val="24"/>
        </w:rPr>
        <w:t>5.整机保修为1年。</w:t>
      </w:r>
    </w:p>
    <w:p>
      <w:pPr>
        <w:ind w:firstLine="435"/>
        <w:rPr>
          <w:rFonts w:hint="eastAsia" w:ascii="宋体" w:hAnsi="宋体" w:eastAsia="宋体" w:cs="宋体"/>
          <w:color w:val="000000"/>
          <w:sz w:val="24"/>
          <w:szCs w:val="24"/>
        </w:rPr>
      </w:pPr>
      <w:r>
        <w:rPr>
          <w:rFonts w:hint="eastAsia" w:ascii="宋体" w:hAnsi="宋体" w:eastAsia="宋体" w:cs="宋体"/>
          <w:color w:val="000000"/>
          <w:sz w:val="24"/>
          <w:szCs w:val="24"/>
        </w:rPr>
        <w:t>6.从项目最终验收投入使用之日起1年内，对设备实行三包。在保修期内，发现由于设备材料、设计或工艺不良造成的故障，应及时研究故障原因，并迅速修复或免费进行更换，使采购人满意。</w:t>
      </w:r>
    </w:p>
    <w:p>
      <w:pPr>
        <w:ind w:firstLine="435"/>
        <w:rPr>
          <w:rFonts w:hint="eastAsia" w:ascii="宋体" w:hAnsi="宋体" w:eastAsia="宋体" w:cs="宋体"/>
          <w:color w:val="000000"/>
          <w:sz w:val="24"/>
          <w:szCs w:val="24"/>
        </w:rPr>
      </w:pPr>
      <w:r>
        <w:rPr>
          <w:rFonts w:hint="eastAsia" w:ascii="宋体" w:hAnsi="宋体" w:eastAsia="宋体" w:cs="宋体"/>
          <w:color w:val="000000"/>
          <w:sz w:val="24"/>
          <w:szCs w:val="24"/>
        </w:rPr>
        <w:t>7.在保修期后，对设备实行终身维修。</w:t>
      </w:r>
    </w:p>
    <w:p>
      <w:pPr>
        <w:pStyle w:val="4"/>
        <w:numPr>
          <w:ilvl w:val="0"/>
          <w:numId w:val="0"/>
        </w:numPr>
        <w:ind w:left="315" w:leftChars="0"/>
        <w:rPr>
          <w:rFonts w:hint="eastAsia" w:ascii="宋体" w:hAnsi="宋体" w:eastAsia="宋体" w:cs="宋体"/>
          <w:sz w:val="24"/>
          <w:szCs w:val="24"/>
        </w:rPr>
      </w:pPr>
      <w:bookmarkStart w:id="12" w:name="_Toc15582"/>
      <w:bookmarkStart w:id="13" w:name="_Toc475544038"/>
      <w:r>
        <w:rPr>
          <w:rFonts w:hint="eastAsia" w:ascii="宋体" w:hAnsi="宋体" w:eastAsia="宋体" w:cs="宋体"/>
          <w:sz w:val="24"/>
          <w:szCs w:val="24"/>
          <w:lang w:val="en-US" w:eastAsia="zh-CN"/>
        </w:rPr>
        <w:t>(十一)设备物点</w:t>
      </w:r>
      <w:bookmarkEnd w:id="12"/>
      <w:bookmarkEnd w:id="13"/>
    </w:p>
    <w:p>
      <w:pPr>
        <w:pStyle w:val="4"/>
        <w:numPr>
          <w:ilvl w:val="0"/>
          <w:numId w:val="2"/>
        </w:numPr>
        <w:rPr>
          <w:rFonts w:hint="eastAsia" w:ascii="宋体" w:hAnsi="宋体" w:eastAsia="宋体" w:cs="宋体"/>
          <w:sz w:val="24"/>
          <w:szCs w:val="24"/>
        </w:rPr>
      </w:pPr>
      <w:bookmarkStart w:id="14" w:name="_Toc475544039"/>
      <w:bookmarkStart w:id="15" w:name="_Toc14891"/>
      <w:r>
        <w:rPr>
          <w:rFonts w:hint="eastAsia" w:ascii="宋体" w:hAnsi="宋体" w:eastAsia="宋体" w:cs="宋体"/>
          <w:sz w:val="24"/>
          <w:szCs w:val="24"/>
        </w:rPr>
        <w:t>. 水质稳定</w:t>
      </w:r>
      <w:bookmarkEnd w:id="14"/>
      <w:bookmarkEnd w:id="15"/>
    </w:p>
    <w:p>
      <w:pPr>
        <w:pStyle w:val="12"/>
        <w:ind w:firstLine="482" w:firstLineChars="200"/>
        <w:rPr>
          <w:rFonts w:hint="eastAsia" w:ascii="宋体" w:hAnsi="宋体" w:eastAsia="宋体" w:cs="宋体"/>
          <w:sz w:val="24"/>
          <w:szCs w:val="24"/>
        </w:rPr>
      </w:pPr>
      <w:r>
        <w:rPr>
          <w:rFonts w:hint="eastAsia" w:ascii="宋体" w:hAnsi="宋体" w:eastAsia="宋体" w:cs="宋体"/>
          <w:b/>
          <w:sz w:val="24"/>
          <w:szCs w:val="24"/>
        </w:rPr>
        <w:t>一体化净水设备采用常规水处理工艺</w:t>
      </w:r>
      <w:r>
        <w:rPr>
          <w:rFonts w:hint="eastAsia" w:ascii="宋体" w:hAnsi="宋体" w:eastAsia="宋体" w:cs="宋体"/>
          <w:sz w:val="24"/>
          <w:szCs w:val="24"/>
        </w:rPr>
        <w:t>,具有较好水质稳定性,即使在大雨滂沱的时刻，系统仍然稳定地产生达标饮用水，能达到标准要求，水质稳定，设备配备自动运行的性能。</w:t>
      </w:r>
    </w:p>
    <w:p>
      <w:pPr>
        <w:pStyle w:val="4"/>
        <w:ind w:firstLine="361" w:firstLineChars="150"/>
        <w:rPr>
          <w:rFonts w:hint="eastAsia" w:ascii="宋体" w:hAnsi="宋体" w:eastAsia="宋体" w:cs="宋体"/>
          <w:sz w:val="24"/>
          <w:szCs w:val="24"/>
        </w:rPr>
      </w:pPr>
      <w:bookmarkStart w:id="16" w:name="_Toc19768"/>
      <w:bookmarkStart w:id="17" w:name="_Toc475544040"/>
      <w:r>
        <w:rPr>
          <w:rFonts w:hint="eastAsia" w:ascii="宋体" w:hAnsi="宋体" w:eastAsia="宋体" w:cs="宋体"/>
          <w:sz w:val="24"/>
          <w:szCs w:val="24"/>
        </w:rPr>
        <w:t>2. 具有耐污染性能和自动运行</w:t>
      </w:r>
      <w:bookmarkEnd w:id="16"/>
      <w:bookmarkEnd w:id="17"/>
    </w:p>
    <w:p>
      <w:pPr>
        <w:pStyle w:val="12"/>
        <w:ind w:firstLine="360" w:firstLineChars="150"/>
        <w:rPr>
          <w:rFonts w:hint="eastAsia" w:ascii="宋体" w:hAnsi="宋体" w:eastAsia="宋体" w:cs="宋体"/>
          <w:sz w:val="24"/>
          <w:szCs w:val="24"/>
        </w:rPr>
      </w:pPr>
      <w:r>
        <w:rPr>
          <w:rFonts w:hint="eastAsia" w:ascii="宋体" w:hAnsi="宋体" w:eastAsia="宋体" w:cs="宋体"/>
          <w:sz w:val="24"/>
          <w:szCs w:val="24"/>
        </w:rPr>
        <w:t xml:space="preserve">具有耐污染性能，在高浊度或有污染的原水，利用科学设计，自动排污功能，能够长期稳定的运行，运行可以完全实现自动化，管理方便； </w:t>
      </w:r>
    </w:p>
    <w:p>
      <w:pPr>
        <w:pStyle w:val="4"/>
        <w:ind w:firstLine="361" w:firstLineChars="150"/>
        <w:rPr>
          <w:rFonts w:hint="eastAsia" w:ascii="宋体" w:hAnsi="宋体" w:eastAsia="宋体" w:cs="宋体"/>
          <w:sz w:val="24"/>
          <w:szCs w:val="24"/>
        </w:rPr>
      </w:pPr>
      <w:bookmarkStart w:id="18" w:name="_Toc8545"/>
      <w:bookmarkStart w:id="19" w:name="_Toc475544041"/>
      <w:r>
        <w:rPr>
          <w:rFonts w:hint="eastAsia" w:ascii="宋体" w:hAnsi="宋体" w:eastAsia="宋体" w:cs="宋体"/>
          <w:sz w:val="24"/>
          <w:szCs w:val="24"/>
        </w:rPr>
        <w:t>3.标准化、模块化配置</w:t>
      </w:r>
      <w:bookmarkEnd w:id="18"/>
      <w:bookmarkEnd w:id="19"/>
    </w:p>
    <w:p>
      <w:pPr>
        <w:pStyle w:val="12"/>
        <w:ind w:firstLine="360" w:firstLineChars="150"/>
        <w:rPr>
          <w:rFonts w:hint="eastAsia" w:ascii="宋体" w:hAnsi="宋体" w:eastAsia="宋体" w:cs="宋体"/>
          <w:sz w:val="24"/>
          <w:szCs w:val="24"/>
        </w:rPr>
      </w:pPr>
      <w:r>
        <w:rPr>
          <w:rFonts w:hint="eastAsia" w:ascii="宋体" w:hAnsi="宋体" w:eastAsia="宋体" w:cs="宋体"/>
          <w:sz w:val="24"/>
          <w:szCs w:val="24"/>
        </w:rPr>
        <w:t xml:space="preserve">一体化净水设备配备标准化模块化，根据供水量的大量，增加标准化模块化的超滤膜，达到集约化生产。他施工周期缩短，一般2周左右即可施工安装完毕，占地面积仅为传统工艺的1/3，可节省大量宝贵的土地资源； </w:t>
      </w:r>
    </w:p>
    <w:p>
      <w:pPr>
        <w:pStyle w:val="4"/>
        <w:ind w:firstLine="361" w:firstLineChars="150"/>
        <w:rPr>
          <w:rFonts w:hint="eastAsia" w:ascii="宋体" w:hAnsi="宋体" w:eastAsia="宋体" w:cs="宋体"/>
          <w:sz w:val="24"/>
          <w:szCs w:val="24"/>
        </w:rPr>
      </w:pPr>
      <w:bookmarkStart w:id="20" w:name="_Toc12905"/>
      <w:bookmarkStart w:id="21" w:name="_Toc475544042"/>
      <w:r>
        <w:rPr>
          <w:rFonts w:hint="eastAsia" w:ascii="宋体" w:hAnsi="宋体" w:eastAsia="宋体" w:cs="宋体"/>
          <w:sz w:val="24"/>
          <w:szCs w:val="24"/>
        </w:rPr>
        <w:t>4.投资运行成本低</w:t>
      </w:r>
      <w:bookmarkEnd w:id="20"/>
      <w:bookmarkEnd w:id="21"/>
    </w:p>
    <w:p>
      <w:pPr>
        <w:pStyle w:val="12"/>
        <w:ind w:firstLine="480" w:firstLineChars="200"/>
        <w:rPr>
          <w:rFonts w:hint="eastAsia" w:ascii="宋体" w:hAnsi="宋体" w:eastAsia="宋体" w:cs="宋体"/>
          <w:sz w:val="24"/>
          <w:szCs w:val="24"/>
        </w:rPr>
      </w:pPr>
      <w:r>
        <w:rPr>
          <w:rFonts w:hint="eastAsia" w:ascii="宋体" w:hAnsi="宋体" w:eastAsia="宋体" w:cs="宋体"/>
          <w:sz w:val="24"/>
          <w:szCs w:val="24"/>
        </w:rPr>
        <w:t>因工艺简单，处理规模灵活，净化处理系统的投资成本和运行成本都低于传统工艺，而且砂更换的成本低；</w:t>
      </w:r>
      <w:r>
        <w:rPr>
          <w:rFonts w:hint="eastAsia" w:ascii="宋体" w:hAnsi="宋体" w:eastAsia="宋体" w:cs="宋体"/>
          <w:sz w:val="24"/>
          <w:szCs w:val="24"/>
          <w:lang w:eastAsia="zh-CN"/>
        </w:rPr>
        <w:t>依靠水力进行制水和反冲洗</w:t>
      </w:r>
      <w:r>
        <w:rPr>
          <w:rFonts w:hint="eastAsia" w:ascii="宋体" w:hAnsi="宋体" w:eastAsia="宋体" w:cs="宋体"/>
          <w:sz w:val="24"/>
          <w:szCs w:val="24"/>
          <w:lang w:val="en-US" w:eastAsia="zh-CN"/>
        </w:rPr>
        <w:t>,节约运行成本,非常适合农村地区.</w:t>
      </w:r>
      <w:r>
        <w:rPr>
          <w:rFonts w:hint="eastAsia" w:ascii="宋体" w:hAnsi="宋体" w:eastAsia="宋体" w:cs="宋体"/>
          <w:sz w:val="24"/>
          <w:szCs w:val="24"/>
        </w:rPr>
        <w:t xml:space="preserve"> </w:t>
      </w:r>
    </w:p>
    <w:p>
      <w:pPr>
        <w:pStyle w:val="3"/>
        <w:spacing w:before="0" w:after="0" w:line="240" w:lineRule="auto"/>
        <w:ind w:firstLine="361" w:firstLineChars="150"/>
        <w:rPr>
          <w:rFonts w:hint="eastAsia" w:ascii="宋体" w:hAnsi="宋体" w:eastAsia="宋体" w:cs="宋体"/>
          <w:sz w:val="24"/>
          <w:szCs w:val="24"/>
        </w:rPr>
      </w:pPr>
      <w:bookmarkStart w:id="22" w:name="_Toc419838163"/>
      <w:bookmarkStart w:id="23" w:name="_Toc475544043"/>
      <w:bookmarkStart w:id="24" w:name="_Toc30324"/>
      <w:r>
        <w:rPr>
          <w:rFonts w:hint="eastAsia" w:ascii="宋体" w:hAnsi="宋体" w:eastAsia="宋体" w:cs="宋体"/>
          <w:sz w:val="24"/>
          <w:szCs w:val="24"/>
        </w:rPr>
        <w:t>5</w:t>
      </w:r>
      <w:bookmarkEnd w:id="22"/>
      <w:r>
        <w:rPr>
          <w:rFonts w:hint="eastAsia" w:ascii="宋体" w:hAnsi="宋体" w:eastAsia="宋体" w:cs="宋体"/>
          <w:sz w:val="24"/>
          <w:szCs w:val="24"/>
        </w:rPr>
        <w:t>. 设备安全可靠</w:t>
      </w:r>
      <w:bookmarkEnd w:id="23"/>
      <w:bookmarkEnd w:id="24"/>
      <w:r>
        <w:rPr>
          <w:rFonts w:hint="eastAsia" w:ascii="宋体" w:hAnsi="宋体" w:eastAsia="宋体" w:cs="宋体"/>
          <w:sz w:val="24"/>
          <w:szCs w:val="24"/>
        </w:rPr>
        <w:t xml:space="preserve"> </w:t>
      </w:r>
    </w:p>
    <w:p>
      <w:pPr>
        <w:pStyle w:val="12"/>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设计科学、合理，出水水质符合客户要求或满足生活饮用水卫生标准。所选用立昇设备质量可靠，易于进行故障检查，具备自动报警、自动关机功能。 </w:t>
      </w:r>
    </w:p>
    <w:p>
      <w:pPr>
        <w:pStyle w:val="12"/>
        <w:ind w:firstLine="120" w:firstLineChars="50"/>
        <w:rPr>
          <w:rFonts w:hint="eastAsia" w:ascii="宋体" w:hAnsi="宋体" w:eastAsia="宋体" w:cs="宋体"/>
          <w:sz w:val="24"/>
          <w:szCs w:val="24"/>
        </w:rPr>
      </w:pPr>
      <w:r>
        <w:rPr>
          <w:rFonts w:hint="eastAsia" w:ascii="宋体" w:hAnsi="宋体" w:eastAsia="宋体" w:cs="宋体"/>
          <w:sz w:val="24"/>
          <w:szCs w:val="24"/>
        </w:rPr>
        <w:t xml:space="preserve">    所选用的立昇产品均质量可靠，性能优秀，设备可24h连续运行。经过长期的实际应用，产品在国内享有良好的信誉。 </w:t>
      </w:r>
    </w:p>
    <w:p>
      <w:pPr>
        <w:pStyle w:val="4"/>
        <w:ind w:firstLine="482" w:firstLineChars="200"/>
        <w:rPr>
          <w:rFonts w:hint="eastAsia" w:ascii="宋体" w:hAnsi="宋体" w:eastAsia="宋体" w:cs="宋体"/>
          <w:sz w:val="24"/>
          <w:szCs w:val="24"/>
        </w:rPr>
      </w:pPr>
      <w:bookmarkStart w:id="25" w:name="_Toc475544044"/>
      <w:bookmarkStart w:id="26" w:name="_Toc9689"/>
      <w:r>
        <w:rPr>
          <w:rFonts w:hint="eastAsia" w:ascii="宋体" w:hAnsi="宋体" w:eastAsia="宋体" w:cs="宋体"/>
          <w:sz w:val="24"/>
          <w:szCs w:val="24"/>
        </w:rPr>
        <w:t>6. 设备先</w:t>
      </w:r>
      <w:r>
        <w:rPr>
          <w:rFonts w:hint="eastAsia" w:ascii="宋体" w:hAnsi="宋体" w:eastAsia="宋体" w:cs="宋体"/>
          <w:sz w:val="24"/>
          <w:szCs w:val="24"/>
          <w:lang w:eastAsia="zh-CN"/>
        </w:rPr>
        <w:t>进</w:t>
      </w:r>
      <w:r>
        <w:rPr>
          <w:rFonts w:hint="eastAsia" w:ascii="宋体" w:hAnsi="宋体" w:eastAsia="宋体" w:cs="宋体"/>
          <w:sz w:val="24"/>
          <w:szCs w:val="24"/>
        </w:rPr>
        <w:t>并且经济</w:t>
      </w:r>
      <w:bookmarkEnd w:id="25"/>
      <w:bookmarkEnd w:id="26"/>
      <w:r>
        <w:rPr>
          <w:rFonts w:hint="eastAsia" w:ascii="宋体" w:hAnsi="宋体" w:eastAsia="宋体" w:cs="宋体"/>
          <w:sz w:val="24"/>
          <w:szCs w:val="24"/>
        </w:rPr>
        <w:t xml:space="preserve"> </w:t>
      </w:r>
    </w:p>
    <w:p>
      <w:pPr>
        <w:pStyle w:val="12"/>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在保证设备质量安全，供水水质可靠的前提下，降低系统造价和产水成本，达到性价比的最优化，充分发挥建设项目的社会效益、环境效益和经济效益。 </w:t>
      </w:r>
    </w:p>
    <w:p>
      <w:pPr>
        <w:pStyle w:val="12"/>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  在确保功能可靠、运行稳定、灵活性强、操作管理方便的前提下，尽量采用简便易行的处理工艺，降低工程投资和运行费用，同时取得较好的处理效果。 </w:t>
      </w:r>
    </w:p>
    <w:p>
      <w:pPr>
        <w:widowControl/>
        <w:shd w:val="clear" w:color="auto" w:fill="FFFFFF"/>
        <w:spacing w:line="560" w:lineRule="atLeast"/>
        <w:ind w:firstLine="588"/>
        <w:jc w:val="left"/>
        <w:rPr>
          <w:rFonts w:hint="eastAsia" w:ascii="宋体" w:hAnsi="宋体" w:eastAsia="宋体" w:cs="宋体"/>
          <w:color w:val="000000"/>
          <w:kern w:val="0"/>
          <w:sz w:val="24"/>
          <w:szCs w:val="24"/>
        </w:rPr>
      </w:pPr>
    </w:p>
    <w:p>
      <w:pPr>
        <w:widowControl/>
        <w:shd w:val="clear" w:color="auto" w:fill="FFFFFF"/>
        <w:spacing w:line="560" w:lineRule="atLeast"/>
        <w:ind w:firstLine="588"/>
        <w:jc w:val="left"/>
        <w:rPr>
          <w:rFonts w:hint="eastAsia" w:ascii="宋体" w:hAnsi="宋体" w:eastAsia="宋体" w:cs="宋体"/>
          <w:color w:val="000000"/>
          <w:kern w:val="0"/>
          <w:sz w:val="24"/>
          <w:szCs w:val="24"/>
        </w:rPr>
      </w:pPr>
    </w:p>
    <w:p>
      <w:pPr>
        <w:widowControl/>
        <w:shd w:val="clear" w:color="auto" w:fill="FFFFFF"/>
        <w:spacing w:line="560" w:lineRule="atLeast"/>
        <w:ind w:firstLine="588"/>
        <w:jc w:val="left"/>
        <w:rPr>
          <w:rFonts w:hint="eastAsia" w:ascii="宋体" w:hAnsi="宋体" w:eastAsia="宋体" w:cs="宋体"/>
          <w:color w:val="000000"/>
          <w:kern w:val="0"/>
          <w:sz w:val="24"/>
          <w:szCs w:val="24"/>
        </w:rPr>
      </w:pPr>
    </w:p>
    <w:p>
      <w:pPr>
        <w:widowControl/>
        <w:shd w:val="clear" w:color="auto" w:fill="FFFFFF"/>
        <w:spacing w:line="560" w:lineRule="atLeast"/>
        <w:ind w:firstLine="588"/>
        <w:jc w:val="left"/>
        <w:rPr>
          <w:rFonts w:hint="eastAsia" w:ascii="宋体" w:hAnsi="宋体" w:eastAsia="宋体" w:cs="宋体"/>
          <w:color w:val="000000"/>
          <w:kern w:val="0"/>
          <w:sz w:val="24"/>
          <w:szCs w:val="24"/>
        </w:rPr>
      </w:pPr>
    </w:p>
    <w:p>
      <w:pPr>
        <w:widowControl/>
        <w:shd w:val="clear" w:color="auto" w:fill="FFFFFF"/>
        <w:spacing w:line="560" w:lineRule="atLeast"/>
        <w:ind w:firstLine="588"/>
        <w:jc w:val="left"/>
        <w:rPr>
          <w:rFonts w:hint="eastAsia" w:ascii="宋体" w:hAnsi="宋体" w:eastAsia="宋体" w:cs="宋体"/>
          <w:color w:val="000000"/>
          <w:kern w:val="0"/>
          <w:sz w:val="24"/>
          <w:szCs w:val="24"/>
        </w:rPr>
      </w:pPr>
    </w:p>
    <w:sectPr>
      <w:pgSz w:w="11906" w:h="16838"/>
      <w:pgMar w:top="1440" w:right="1416" w:bottom="993"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FangSong_GB2312">
    <w:altName w:val="仿宋"/>
    <w:panose1 w:val="02010609060101010101"/>
    <w:charset w:val="86"/>
    <w:family w:val="modern"/>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Arial Unicode MS">
    <w:altName w:val="宋体"/>
    <w:panose1 w:val="020B0604020202020204"/>
    <w:charset w:val="86"/>
    <w:family w:val="swiss"/>
    <w:pitch w:val="default"/>
    <w:sig w:usb0="00000000" w:usb1="00000000" w:usb2="0000003F" w:usb3="00000000" w:csb0="603F01FF" w:csb1="FFFF0000"/>
  </w:font>
  <w:font w:name="隶书">
    <w:altName w:val="微软雅黑"/>
    <w:panose1 w:val="02010509060101010101"/>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MS Mincho">
    <w:panose1 w:val="02020609040205080304"/>
    <w:charset w:val="80"/>
    <w:family w:val="modern"/>
    <w:pitch w:val="default"/>
    <w:sig w:usb0="E00002FF" w:usb1="6AC7FDFB" w:usb2="00000012" w:usb3="00000000" w:csb0="4002009F" w:csb1="DFD7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auto"/>
    <w:pitch w:val="default"/>
    <w:sig w:usb0="800002BF" w:usb1="38CF7CFA" w:usb2="00000016" w:usb3="00000000" w:csb0="00040001" w:csb1="00000000"/>
  </w:font>
  <w:font w:name="榛戜綋">
    <w:altName w:val="宋体"/>
    <w:panose1 w:val="00000000000000000000"/>
    <w:charset w:val="86"/>
    <w:family w:val="roman"/>
    <w:pitch w:val="default"/>
    <w:sig w:usb0="00000000" w:usb1="00000000" w:usb2="00000010" w:usb3="00000000" w:csb0="00040000" w:csb1="00000000"/>
  </w:font>
  <w:font w:name="Adobe 仿宋 Std R">
    <w:altName w:val="仿宋"/>
    <w:panose1 w:val="00000000000000000000"/>
    <w:charset w:val="86"/>
    <w:family w:val="roman"/>
    <w:pitch w:val="default"/>
    <w:sig w:usb0="00000000" w:usb1="00000000" w:usb2="00000010" w:usb3="00000000" w:csb0="00060007" w:csb1="00000000"/>
  </w:font>
  <w:font w:name="仿宋_GB2312">
    <w:altName w:val="仿宋"/>
    <w:panose1 w:val="00000000000000000000"/>
    <w:charset w:val="00"/>
    <w:family w:val="auto"/>
    <w:pitch w:val="default"/>
    <w:sig w:usb0="00000000" w:usb1="00000000" w:usb2="00000000" w:usb3="00000000" w:csb0="00040001" w:csb1="00000000"/>
  </w:font>
  <w:font w:name="Calibri Light">
    <w:panose1 w:val="020F0302020204030204"/>
    <w:charset w:val="00"/>
    <w:family w:val="auto"/>
    <w:pitch w:val="default"/>
    <w:sig w:usb0="A00002EF" w:usb1="4000207B" w:usb2="00000000" w:usb3="00000000" w:csb0="2000019F" w:csb1="00000000"/>
  </w:font>
  <w:font w:name="叶根友毛笔行书2.0版">
    <w:panose1 w:val="02010601030101010101"/>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方正兰亭超细黑简体">
    <w:panose1 w:val="02000000000000000000"/>
    <w:charset w:val="86"/>
    <w:family w:val="auto"/>
    <w:pitch w:val="default"/>
    <w:sig w:usb0="00000001" w:usb1="08000000" w:usb2="00000000" w:usb3="00000000" w:csb0="00040000" w:csb1="00000000"/>
  </w:font>
  <w:font w:name="方正仿宋_GBK">
    <w:altName w:val="微软雅黑"/>
    <w:panose1 w:val="00000000000000000000"/>
    <w:charset w:val="00"/>
    <w:family w:val="auto"/>
    <w:pitch w:val="default"/>
    <w:sig w:usb0="00000000" w:usb1="00000000" w:usb2="00000000" w:usb3="00000000" w:csb0="00000000" w:csb1="00000000"/>
  </w:font>
  <w:font w:name="华文仿宋">
    <w:altName w:val="仿宋"/>
    <w:panose1 w:val="00000000000000000000"/>
    <w:charset w:val="86"/>
    <w:family w:val="auto"/>
    <w:pitch w:val="default"/>
    <w:sig w:usb0="00000000" w:usb1="00000000" w:usb2="00000010" w:usb3="00000000" w:csb0="0004009F" w:csb1="00000000"/>
  </w:font>
  <w:font w:name="方正小标宋简体">
    <w:altName w:val="黑体"/>
    <w:panose1 w:val="00000000000000000000"/>
    <w:charset w:val="86"/>
    <w:family w:val="script"/>
    <w:pitch w:val="default"/>
    <w:sig w:usb0="00000000" w:usb1="00000000" w:usb2="00000010" w:usb3="00000000" w:csb0="00040000" w:csb1="00000000"/>
  </w:font>
  <w:font w:name="hakuyoxingshu7000">
    <w:panose1 w:val="02000600000000000000"/>
    <w:charset w:val="86"/>
    <w:family w:val="auto"/>
    <w:pitch w:val="default"/>
    <w:sig w:usb0="FFFFFFFF" w:usb1="E9FFFFFF" w:usb2="0000003F" w:usb3="00000000" w:csb0="603F00FF" w:csb1="FFFF0000"/>
  </w:font>
  <w:font w:name="华文中宋">
    <w:altName w:val="宋体"/>
    <w:panose1 w:val="02010600040101010101"/>
    <w:charset w:val="86"/>
    <w:family w:val="auto"/>
    <w:pitch w:val="default"/>
    <w:sig w:usb0="00000000" w:usb1="00000000" w:usb2="00000010" w:usb3="00000000" w:csb0="0004009F" w:csb1="00000000"/>
  </w:font>
  <w:font w:name="华文细黑">
    <w:altName w:val="微软雅黑"/>
    <w:panose1 w:val="02010600040101010101"/>
    <w:charset w:val="86"/>
    <w:family w:val="auto"/>
    <w:pitch w:val="default"/>
    <w:sig w:usb0="00000000" w:usb1="00000000" w:usb2="00000010" w:usb3="00000000" w:csb0="0004009F" w:csb1="00000000"/>
  </w:font>
  <w:font w:name="2">
    <w:altName w:val="Times New Roman"/>
    <w:panose1 w:val="00000000000000000000"/>
    <w:charset w:val="00"/>
    <w:family w:val="roman"/>
    <w:pitch w:val="default"/>
    <w:sig w:usb0="00000000" w:usb1="00000000" w:usb2="00000804" w:usb3="00000000" w:csb0="00000000" w:csb1="0062EF54"/>
  </w:font>
  <w:font w:name="Calisto MT">
    <w:altName w:val="Segoe Print"/>
    <w:panose1 w:val="02040603050505030304"/>
    <w:charset w:val="00"/>
    <w:family w:val="roman"/>
    <w:pitch w:val="default"/>
    <w:sig w:usb0="00000000"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E05404"/>
    <w:multiLevelType w:val="multilevel"/>
    <w:tmpl w:val="49E05404"/>
    <w:lvl w:ilvl="0" w:tentative="0">
      <w:start w:val="1"/>
      <w:numFmt w:val="decimal"/>
      <w:lvlText w:val="（%1）"/>
      <w:lvlJc w:val="left"/>
      <w:pPr>
        <w:tabs>
          <w:tab w:val="left" w:pos="720"/>
        </w:tabs>
        <w:ind w:left="720" w:hanging="720"/>
      </w:pPr>
      <w:rPr>
        <w:rFonts w:hint="eastAsia" w:ascii="宋体" w:hAnsi="宋体" w:eastAsia="宋体"/>
      </w:rPr>
    </w:lvl>
    <w:lvl w:ilvl="1" w:tentative="0">
      <w:start w:val="1"/>
      <w:numFmt w:val="lowerLetter"/>
      <w:lvlText w:val="%2)"/>
      <w:lvlJc w:val="left"/>
      <w:pPr>
        <w:tabs>
          <w:tab w:val="left" w:pos="840"/>
        </w:tabs>
        <w:ind w:left="840" w:hanging="420"/>
      </w:pPr>
      <w:rPr>
        <w:rFonts w:hint="default" w:ascii="Times New Roman" w:hAnsi="Times New Roman" w:cs="Times New Roman"/>
      </w:rPr>
    </w:lvl>
    <w:lvl w:ilvl="2" w:tentative="0">
      <w:start w:val="1"/>
      <w:numFmt w:val="lowerRoman"/>
      <w:lvlText w:val="%3."/>
      <w:lvlJc w:val="right"/>
      <w:pPr>
        <w:tabs>
          <w:tab w:val="left" w:pos="1260"/>
        </w:tabs>
        <w:ind w:left="1260" w:hanging="420"/>
      </w:pPr>
      <w:rPr>
        <w:rFonts w:hint="default" w:ascii="Times New Roman" w:hAnsi="Times New Roman" w:cs="Times New Roman"/>
      </w:rPr>
    </w:lvl>
    <w:lvl w:ilvl="3" w:tentative="0">
      <w:start w:val="1"/>
      <w:numFmt w:val="decimal"/>
      <w:lvlText w:val="%4."/>
      <w:lvlJc w:val="left"/>
      <w:pPr>
        <w:tabs>
          <w:tab w:val="left" w:pos="1680"/>
        </w:tabs>
        <w:ind w:left="1680" w:hanging="420"/>
      </w:pPr>
      <w:rPr>
        <w:rFonts w:hint="default" w:ascii="Times New Roman" w:hAnsi="Times New Roman" w:cs="Times New Roman"/>
      </w:rPr>
    </w:lvl>
    <w:lvl w:ilvl="4" w:tentative="0">
      <w:start w:val="1"/>
      <w:numFmt w:val="lowerLetter"/>
      <w:lvlText w:val="%5)"/>
      <w:lvlJc w:val="left"/>
      <w:pPr>
        <w:tabs>
          <w:tab w:val="left" w:pos="2100"/>
        </w:tabs>
        <w:ind w:left="2100" w:hanging="420"/>
      </w:pPr>
      <w:rPr>
        <w:rFonts w:hint="default" w:ascii="Times New Roman" w:hAnsi="Times New Roman" w:cs="Times New Roman"/>
      </w:rPr>
    </w:lvl>
    <w:lvl w:ilvl="5" w:tentative="0">
      <w:start w:val="1"/>
      <w:numFmt w:val="lowerRoman"/>
      <w:lvlText w:val="%6."/>
      <w:lvlJc w:val="right"/>
      <w:pPr>
        <w:tabs>
          <w:tab w:val="left" w:pos="2520"/>
        </w:tabs>
        <w:ind w:left="2520" w:hanging="420"/>
      </w:pPr>
      <w:rPr>
        <w:rFonts w:hint="default" w:ascii="Times New Roman" w:hAnsi="Times New Roman" w:cs="Times New Roman"/>
      </w:rPr>
    </w:lvl>
    <w:lvl w:ilvl="6" w:tentative="0">
      <w:start w:val="1"/>
      <w:numFmt w:val="decimal"/>
      <w:lvlText w:val="%7."/>
      <w:lvlJc w:val="left"/>
      <w:pPr>
        <w:tabs>
          <w:tab w:val="left" w:pos="2940"/>
        </w:tabs>
        <w:ind w:left="2940" w:hanging="420"/>
      </w:pPr>
      <w:rPr>
        <w:rFonts w:hint="default" w:ascii="Times New Roman" w:hAnsi="Times New Roman" w:cs="Times New Roman"/>
      </w:rPr>
    </w:lvl>
    <w:lvl w:ilvl="7" w:tentative="0">
      <w:start w:val="1"/>
      <w:numFmt w:val="lowerLetter"/>
      <w:lvlText w:val="%8)"/>
      <w:lvlJc w:val="left"/>
      <w:pPr>
        <w:tabs>
          <w:tab w:val="left" w:pos="3360"/>
        </w:tabs>
        <w:ind w:left="3360" w:hanging="420"/>
      </w:pPr>
      <w:rPr>
        <w:rFonts w:hint="default" w:ascii="Times New Roman" w:hAnsi="Times New Roman" w:cs="Times New Roman"/>
      </w:rPr>
    </w:lvl>
    <w:lvl w:ilvl="8" w:tentative="0">
      <w:start w:val="1"/>
      <w:numFmt w:val="lowerRoman"/>
      <w:lvlText w:val="%9."/>
      <w:lvlJc w:val="right"/>
      <w:pPr>
        <w:tabs>
          <w:tab w:val="left" w:pos="3780"/>
        </w:tabs>
        <w:ind w:left="3780" w:hanging="420"/>
      </w:pPr>
      <w:rPr>
        <w:rFonts w:hint="default" w:ascii="Times New Roman" w:hAnsi="Times New Roman" w:cs="Times New Roman"/>
      </w:rPr>
    </w:lvl>
  </w:abstractNum>
  <w:abstractNum w:abstractNumId="1">
    <w:nsid w:val="61A71194"/>
    <w:multiLevelType w:val="multilevel"/>
    <w:tmpl w:val="61A71194"/>
    <w:lvl w:ilvl="0" w:tentative="0">
      <w:start w:val="1"/>
      <w:numFmt w:val="decimal"/>
      <w:lvlText w:val="%1"/>
      <w:lvlJc w:val="left"/>
      <w:pPr>
        <w:ind w:left="842" w:hanging="36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4A1E"/>
    <w:rsid w:val="001B265D"/>
    <w:rsid w:val="003D4A1E"/>
    <w:rsid w:val="00404271"/>
    <w:rsid w:val="004418B4"/>
    <w:rsid w:val="00D72658"/>
    <w:rsid w:val="20C11C73"/>
    <w:rsid w:val="422C7EC1"/>
    <w:rsid w:val="430C023B"/>
    <w:rsid w:val="496869A5"/>
    <w:rsid w:val="53654E06"/>
    <w:rsid w:val="715A257F"/>
    <w:rsid w:val="7B7C37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unhideWhenUsed/>
    <w:qFormat/>
    <w:uiPriority w:val="9"/>
    <w:pPr>
      <w:keepNext/>
      <w:keepLines/>
      <w:spacing w:before="260" w:after="260" w:line="416" w:lineRule="auto"/>
      <w:outlineLvl w:val="2"/>
    </w:pPr>
    <w:rPr>
      <w:b/>
      <w:bCs/>
      <w:sz w:val="32"/>
      <w:szCs w:val="32"/>
    </w:rPr>
  </w:style>
  <w:style w:type="character" w:default="1" w:styleId="6">
    <w:name w:val="Default Paragraph Font"/>
    <w:unhideWhenUsed/>
    <w:qFormat/>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5">
    <w:name w:val="Body Text"/>
    <w:basedOn w:val="1"/>
    <w:unhideWhenUsed/>
    <w:qFormat/>
    <w:uiPriority w:val="99"/>
    <w:rPr>
      <w:sz w:val="24"/>
    </w:rPr>
  </w:style>
  <w:style w:type="character" w:styleId="7">
    <w:name w:val="Hyperlink"/>
    <w:basedOn w:val="6"/>
    <w:unhideWhenUsed/>
    <w:qFormat/>
    <w:uiPriority w:val="99"/>
    <w:rPr>
      <w:color w:val="0000FF"/>
      <w:u w:val="single"/>
    </w:rPr>
  </w:style>
  <w:style w:type="character" w:customStyle="1" w:styleId="9">
    <w:name w:val="apple-converted-space"/>
    <w:basedOn w:val="6"/>
    <w:qFormat/>
    <w:uiPriority w:val="0"/>
  </w:style>
  <w:style w:type="paragraph" w:customStyle="1" w:styleId="10">
    <w:name w:val="p"/>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1">
    <w:name w:val="16"/>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2">
    <w:name w:val="Default"/>
    <w:qFormat/>
    <w:uiPriority w:val="0"/>
    <w:pPr>
      <w:widowControl w:val="0"/>
      <w:autoSpaceDE w:val="0"/>
      <w:autoSpaceDN w:val="0"/>
      <w:adjustRightInd w:val="0"/>
    </w:pPr>
    <w:rPr>
      <w:rFonts w:ascii="宋体" w:cs="宋体" w:hAnsiTheme="minorHAnsi" w:eastAsiaTheme="minorEastAsia"/>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232</Words>
  <Characters>1329</Characters>
  <Lines>11</Lines>
  <Paragraphs>3</Paragraphs>
  <ScaleCrop>false</ScaleCrop>
  <LinksUpToDate>false</LinksUpToDate>
  <CharactersWithSpaces>1558</CharactersWithSpaces>
  <Application>WPS Office_10.1.0.6874_F1E327BC-269C-435d-A152-05C5408002CA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2017-10-10T02:09:00Z</dcterms:created>
  <dc:creator>Administrator</dc:creator>
  <cp:lastModifiedBy>Administrator</cp:lastModifiedBy>
  <dcterms:modified xsi:type="dcterms:W3CDTF">2017-10-18T01:43:39Z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2052-10.1.0.6874</vt:lpwstr>
  </property>
</Properties>
</file>