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adjustRightInd w:val="0"/>
        <w:snapToGrid w:val="0"/>
        <w:jc w:val="center"/>
        <w:rPr>
          <w:rFonts w:hint="eastAsia" w:ascii="宋体" w:hAnsi="宋体" w:eastAsia="宋体" w:cs="宋体"/>
          <w:b/>
          <w:color w:val="auto"/>
          <w:szCs w:val="24"/>
        </w:rPr>
      </w:pPr>
      <w:r>
        <w:rPr>
          <w:rFonts w:hint="eastAsia" w:ascii="宋体" w:hAnsi="宋体" w:eastAsia="宋体" w:cs="宋体"/>
          <w:b/>
          <w:color w:val="auto"/>
          <w:kern w:val="0"/>
          <w:sz w:val="32"/>
          <w:szCs w:val="32"/>
        </w:rPr>
        <w:t>采购项目内容</w:t>
      </w:r>
    </w:p>
    <w:p>
      <w:pPr>
        <w:pStyle w:val="3"/>
        <w:adjustRightInd w:val="0"/>
        <w:snapToGrid w:val="0"/>
        <w:rPr>
          <w:rFonts w:hint="eastAsia" w:ascii="宋体" w:hAnsi="宋体" w:eastAsia="宋体" w:cs="宋体"/>
          <w:b/>
          <w:color w:val="auto"/>
          <w:szCs w:val="24"/>
        </w:rPr>
      </w:pPr>
      <w:r>
        <w:rPr>
          <w:rFonts w:hint="eastAsia" w:ascii="宋体" w:hAnsi="宋体" w:eastAsia="宋体" w:cs="宋体"/>
          <w:b/>
          <w:color w:val="auto"/>
          <w:szCs w:val="24"/>
        </w:rPr>
        <w:t>一、项目概况</w:t>
      </w:r>
    </w:p>
    <w:p>
      <w:pPr>
        <w:pStyle w:val="4"/>
        <w:spacing w:before="0" w:beforeAutospacing="0" w:after="0" w:afterAutospacing="0" w:line="360" w:lineRule="auto"/>
        <w:rPr>
          <w:rFonts w:hint="eastAsia" w:ascii="宋体" w:hAnsi="宋体" w:eastAsia="宋体" w:cs="宋体"/>
          <w:color w:val="auto"/>
          <w:kern w:val="2"/>
          <w:lang w:val="zh-CN"/>
        </w:rPr>
      </w:pPr>
      <w:r>
        <w:rPr>
          <w:rFonts w:hint="eastAsia" w:ascii="宋体" w:hAnsi="宋体" w:eastAsia="宋体" w:cs="宋体"/>
          <w:b/>
          <w:color w:val="auto"/>
          <w:sz w:val="28"/>
          <w:szCs w:val="28"/>
          <w:lang w:bidi="ar"/>
        </w:rPr>
        <w:t xml:space="preserve">  </w:t>
      </w:r>
      <w:r>
        <w:rPr>
          <w:rFonts w:hint="eastAsia" w:ascii="宋体" w:hAnsi="宋体" w:eastAsia="宋体" w:cs="宋体"/>
          <w:color w:val="auto"/>
          <w:kern w:val="2"/>
          <w:lang w:bidi="ar"/>
        </w:rPr>
        <w:t xml:space="preserve"> </w:t>
      </w:r>
      <w:r>
        <w:rPr>
          <w:rFonts w:hint="eastAsia" w:ascii="宋体" w:hAnsi="宋体" w:eastAsia="宋体" w:cs="宋体"/>
          <w:color w:val="auto"/>
          <w:kern w:val="2"/>
          <w:lang w:val="zh-CN" w:bidi="ar"/>
        </w:rPr>
        <w:t>博罗县龙溪街道地处</w:t>
      </w:r>
      <w:r>
        <w:rPr>
          <w:rFonts w:hint="eastAsia" w:ascii="宋体" w:hAnsi="宋体" w:eastAsia="宋体" w:cs="宋体"/>
          <w:color w:val="auto"/>
          <w:kern w:val="2"/>
          <w:lang w:val="zh-CN" w:bidi="ar"/>
        </w:rPr>
        <w:fldChar w:fldCharType="begin"/>
      </w:r>
      <w:r>
        <w:rPr>
          <w:rFonts w:hint="eastAsia" w:ascii="宋体" w:hAnsi="宋体" w:eastAsia="宋体" w:cs="宋体"/>
          <w:color w:val="auto"/>
          <w:kern w:val="2"/>
          <w:lang w:val="zh-CN" w:bidi="ar"/>
        </w:rPr>
        <w:instrText xml:space="preserve"> HYPERLINK "https://baike.sogou.com/lemma/ShowInnerLink.htm?lemmaId=16511&amp;ss_c=ssc.citiao.link" \t "https://baike.sogou.com/_blank" </w:instrText>
      </w:r>
      <w:r>
        <w:rPr>
          <w:rFonts w:hint="eastAsia" w:ascii="宋体" w:hAnsi="宋体" w:eastAsia="宋体" w:cs="宋体"/>
          <w:color w:val="auto"/>
          <w:kern w:val="2"/>
          <w:lang w:val="zh-CN" w:bidi="ar"/>
        </w:rPr>
        <w:fldChar w:fldCharType="separate"/>
      </w:r>
      <w:r>
        <w:rPr>
          <w:rStyle w:val="8"/>
          <w:rFonts w:hint="eastAsia" w:ascii="宋体" w:hAnsi="宋体" w:eastAsia="宋体" w:cs="宋体"/>
          <w:color w:val="auto"/>
          <w:kern w:val="2"/>
          <w:lang w:val="zh-CN"/>
        </w:rPr>
        <w:t>珠江三角洲</w:t>
      </w:r>
      <w:r>
        <w:rPr>
          <w:rFonts w:hint="eastAsia" w:ascii="宋体" w:hAnsi="宋体" w:eastAsia="宋体" w:cs="宋体"/>
          <w:color w:val="auto"/>
          <w:kern w:val="2"/>
          <w:lang w:val="zh-CN" w:bidi="ar"/>
        </w:rPr>
        <w:fldChar w:fldCharType="end"/>
      </w:r>
      <w:r>
        <w:rPr>
          <w:rFonts w:hint="eastAsia" w:ascii="宋体" w:hAnsi="宋体" w:eastAsia="宋体" w:cs="宋体"/>
          <w:color w:val="auto"/>
          <w:kern w:val="2"/>
          <w:lang w:val="zh-CN" w:bidi="ar"/>
        </w:rPr>
        <w:t>东端，东江中下游，南与东莞</w:t>
      </w:r>
      <w:r>
        <w:rPr>
          <w:rFonts w:hint="eastAsia" w:ascii="宋体" w:hAnsi="宋体" w:eastAsia="宋体" w:cs="宋体"/>
          <w:color w:val="auto"/>
          <w:kern w:val="2"/>
          <w:lang w:val="zh-CN" w:bidi="ar"/>
        </w:rPr>
        <w:fldChar w:fldCharType="begin"/>
      </w:r>
      <w:r>
        <w:rPr>
          <w:rFonts w:hint="eastAsia" w:ascii="宋体" w:hAnsi="宋体" w:eastAsia="宋体" w:cs="宋体"/>
          <w:color w:val="auto"/>
          <w:kern w:val="2"/>
          <w:lang w:val="zh-CN" w:bidi="ar"/>
        </w:rPr>
        <w:instrText xml:space="preserve"> HYPERLINK "https://baike.sogou.com/lemma/ShowInnerLink.htm?lemmaId=64528684&amp;ss_c=ssc.citiao.link" \t "https://baike.sogou.com/_blank" </w:instrText>
      </w:r>
      <w:r>
        <w:rPr>
          <w:rFonts w:hint="eastAsia" w:ascii="宋体" w:hAnsi="宋体" w:eastAsia="宋体" w:cs="宋体"/>
          <w:color w:val="auto"/>
          <w:kern w:val="2"/>
          <w:lang w:val="zh-CN" w:bidi="ar"/>
        </w:rPr>
        <w:fldChar w:fldCharType="separate"/>
      </w:r>
      <w:r>
        <w:rPr>
          <w:rStyle w:val="8"/>
          <w:rFonts w:hint="eastAsia" w:ascii="宋体" w:hAnsi="宋体" w:eastAsia="宋体" w:cs="宋体"/>
          <w:color w:val="auto"/>
          <w:kern w:val="2"/>
          <w:lang w:val="zh-CN"/>
        </w:rPr>
        <w:t>桥头镇</w:t>
      </w:r>
      <w:r>
        <w:rPr>
          <w:rFonts w:hint="eastAsia" w:ascii="宋体" w:hAnsi="宋体" w:eastAsia="宋体" w:cs="宋体"/>
          <w:color w:val="auto"/>
          <w:kern w:val="2"/>
          <w:lang w:val="zh-CN" w:bidi="ar"/>
        </w:rPr>
        <w:fldChar w:fldCharType="end"/>
      </w:r>
      <w:r>
        <w:rPr>
          <w:rFonts w:hint="eastAsia" w:ascii="宋体" w:hAnsi="宋体" w:eastAsia="宋体" w:cs="宋体"/>
          <w:color w:val="auto"/>
          <w:kern w:val="2"/>
          <w:lang w:val="zh-CN" w:bidi="ar"/>
        </w:rPr>
        <w:t>、惠阳潼湖隔江相望，北靠</w:t>
      </w:r>
      <w:r>
        <w:rPr>
          <w:rFonts w:hint="eastAsia" w:ascii="宋体" w:hAnsi="宋体" w:eastAsia="宋体" w:cs="宋体"/>
          <w:color w:val="auto"/>
          <w:kern w:val="2"/>
          <w:lang w:val="zh-CN" w:bidi="ar"/>
        </w:rPr>
        <w:fldChar w:fldCharType="begin"/>
      </w:r>
      <w:r>
        <w:rPr>
          <w:rFonts w:hint="eastAsia" w:ascii="宋体" w:hAnsi="宋体" w:eastAsia="宋体" w:cs="宋体"/>
          <w:color w:val="auto"/>
          <w:kern w:val="2"/>
          <w:lang w:val="zh-CN" w:bidi="ar"/>
        </w:rPr>
        <w:instrText xml:space="preserve"> HYPERLINK "https://baike.sogou.com/lemma/ShowInnerLink.htm?lemmaId=64427989&amp;ss_c=ssc.citiao.link" \t "https://baike.sogou.com/_blank" </w:instrText>
      </w:r>
      <w:r>
        <w:rPr>
          <w:rFonts w:hint="eastAsia" w:ascii="宋体" w:hAnsi="宋体" w:eastAsia="宋体" w:cs="宋体"/>
          <w:color w:val="auto"/>
          <w:kern w:val="2"/>
          <w:lang w:val="zh-CN" w:bidi="ar"/>
        </w:rPr>
        <w:fldChar w:fldCharType="separate"/>
      </w:r>
      <w:r>
        <w:rPr>
          <w:rStyle w:val="8"/>
          <w:rFonts w:hint="eastAsia" w:ascii="宋体" w:hAnsi="宋体" w:eastAsia="宋体" w:cs="宋体"/>
          <w:color w:val="auto"/>
          <w:kern w:val="2"/>
          <w:lang w:val="zh-CN"/>
        </w:rPr>
        <w:t>太平山</w:t>
      </w:r>
      <w:r>
        <w:rPr>
          <w:rFonts w:hint="eastAsia" w:ascii="宋体" w:hAnsi="宋体" w:eastAsia="宋体" w:cs="宋体"/>
          <w:color w:val="auto"/>
          <w:kern w:val="2"/>
          <w:lang w:val="zh-CN" w:bidi="ar"/>
        </w:rPr>
        <w:fldChar w:fldCharType="end"/>
      </w:r>
      <w:r>
        <w:rPr>
          <w:rFonts w:hint="eastAsia" w:ascii="宋体" w:hAnsi="宋体" w:eastAsia="宋体" w:cs="宋体"/>
          <w:color w:val="auto"/>
          <w:kern w:val="2"/>
          <w:lang w:val="zh-CN" w:bidi="ar"/>
        </w:rPr>
        <w:t>，溪从大山出，形似龙舞，是一块藏龙纳福的宝地。总面积119平方公里，绝大部分是平原。</w:t>
      </w:r>
    </w:p>
    <w:p>
      <w:pPr>
        <w:pStyle w:val="4"/>
        <w:spacing w:before="0" w:beforeAutospacing="0" w:after="0" w:afterAutospacing="0" w:line="360" w:lineRule="auto"/>
        <w:rPr>
          <w:rFonts w:hint="eastAsia" w:ascii="宋体" w:hAnsi="宋体" w:eastAsia="宋体" w:cs="宋体"/>
          <w:color w:val="auto"/>
          <w:kern w:val="2"/>
          <w:lang w:val="zh-CN"/>
        </w:rPr>
      </w:pPr>
      <w:r>
        <w:rPr>
          <w:rFonts w:hint="eastAsia" w:ascii="宋体" w:hAnsi="宋体" w:eastAsia="宋体" w:cs="宋体"/>
          <w:color w:val="auto"/>
          <w:lang w:bidi="ar"/>
        </w:rPr>
        <w:t xml:space="preserve">  </w:t>
      </w:r>
      <w:r>
        <w:rPr>
          <w:rFonts w:hint="eastAsia" w:ascii="宋体" w:hAnsi="宋体" w:eastAsia="宋体" w:cs="宋体"/>
          <w:color w:val="auto"/>
          <w:kern w:val="2"/>
          <w:lang w:bidi="ar"/>
        </w:rPr>
        <w:t xml:space="preserve"> 本项目为确保沙河、东江河和公庄河水质达标，</w:t>
      </w:r>
      <w:r>
        <w:rPr>
          <w:rFonts w:hint="eastAsia" w:ascii="宋体" w:hAnsi="宋体" w:eastAsia="宋体" w:cs="宋体"/>
          <w:color w:val="auto"/>
          <w:kern w:val="2"/>
          <w:lang w:eastAsia="zh-CN" w:bidi="ar"/>
        </w:rPr>
        <w:t>龙溪街道办</w:t>
      </w:r>
      <w:r>
        <w:rPr>
          <w:rFonts w:hint="eastAsia" w:ascii="宋体" w:hAnsi="宋体" w:eastAsia="宋体" w:cs="宋体"/>
          <w:color w:val="auto"/>
          <w:kern w:val="2"/>
          <w:lang w:bidi="ar"/>
        </w:rPr>
        <w:t>把畜禽养殖遗留粪污塘整治列入一项重点工作，要充分认识开展清理整治工作的重要性和紧迫性，切实履行主体责任，加强领导，明确工作职责，结合整治方案，制定和落实工作措施，以实现</w:t>
      </w:r>
      <w:r>
        <w:rPr>
          <w:rFonts w:hint="eastAsia" w:ascii="宋体" w:hAnsi="宋体" w:eastAsia="宋体" w:cs="宋体"/>
          <w:color w:val="auto"/>
          <w:kern w:val="2"/>
          <w:lang w:val="zh-CN" w:bidi="ar"/>
        </w:rPr>
        <w:t>博罗县龙溪街道环境质量达到明显改善的目标需求。</w:t>
      </w:r>
    </w:p>
    <w:p>
      <w:pPr>
        <w:pStyle w:val="4"/>
        <w:spacing w:before="0" w:beforeAutospacing="0" w:after="0" w:afterAutospacing="0" w:line="360" w:lineRule="auto"/>
        <w:rPr>
          <w:rFonts w:hint="eastAsia" w:ascii="宋体" w:hAnsi="宋体" w:eastAsia="宋体" w:cs="宋体"/>
          <w:color w:val="auto"/>
          <w:kern w:val="2"/>
        </w:rPr>
      </w:pPr>
      <w:r>
        <w:rPr>
          <w:rFonts w:hint="eastAsia" w:ascii="宋体" w:hAnsi="宋体" w:eastAsia="宋体" w:cs="宋体"/>
          <w:color w:val="auto"/>
          <w:lang w:bidi="ar"/>
        </w:rPr>
        <w:t xml:space="preserve"> </w:t>
      </w:r>
      <w:r>
        <w:rPr>
          <w:rFonts w:hint="eastAsia" w:ascii="宋体" w:hAnsi="宋体" w:eastAsia="宋体" w:cs="宋体"/>
          <w:color w:val="auto"/>
          <w:kern w:val="2"/>
          <w:lang w:bidi="ar"/>
        </w:rPr>
        <w:t xml:space="preserve">  本项目针对一些污染较重、粪便较厚的粪污塘进行整治，对造成环境和水体污染需高度重视。</w:t>
      </w:r>
    </w:p>
    <w:p>
      <w:pPr>
        <w:pStyle w:val="3"/>
        <w:adjustRightInd w:val="0"/>
        <w:snapToGrid w:val="0"/>
        <w:rPr>
          <w:rFonts w:hint="eastAsia" w:ascii="宋体" w:hAnsi="宋体" w:eastAsia="宋体" w:cs="宋体"/>
          <w:b/>
          <w:color w:val="auto"/>
          <w:szCs w:val="24"/>
          <w:lang w:val="zh-CN"/>
        </w:rPr>
      </w:pPr>
      <w:r>
        <w:rPr>
          <w:rFonts w:hint="eastAsia" w:ascii="宋体" w:hAnsi="宋体" w:eastAsia="宋体" w:cs="宋体"/>
          <w:b/>
          <w:color w:val="auto"/>
          <w:szCs w:val="24"/>
          <w:lang w:val="zh-CN"/>
        </w:rPr>
        <w:t>二、投标总体要求</w:t>
      </w:r>
    </w:p>
    <w:p>
      <w:pPr>
        <w:spacing w:line="360" w:lineRule="auto"/>
        <w:ind w:left="1" w:firstLine="480" w:firstLineChars="20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</w:rPr>
        <w:t>投标人响应采购需求（“采购项目技术规格、参数及要求”和“采购项目商务要求”）时应具体、明确，含糊不清、不确切或伪造、变造证明材料的，按照不完全响应或者完全不响应处理。</w:t>
      </w:r>
    </w:p>
    <w:p>
      <w:pPr>
        <w:pStyle w:val="3"/>
        <w:numPr>
          <w:ilvl w:val="0"/>
          <w:numId w:val="1"/>
        </w:numPr>
        <w:adjustRightInd w:val="0"/>
        <w:snapToGrid w:val="0"/>
        <w:rPr>
          <w:rFonts w:hint="eastAsia" w:ascii="宋体" w:hAnsi="宋体" w:eastAsia="宋体" w:cs="宋体"/>
          <w:b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color w:val="auto"/>
          <w:szCs w:val="24"/>
        </w:rPr>
        <w:t>采购项目技术规格、参数及要求：</w:t>
      </w:r>
    </w:p>
    <w:p>
      <w:pPr>
        <w:numPr>
          <w:ilvl w:val="0"/>
          <w:numId w:val="2"/>
        </w:numPr>
        <w:spacing w:line="360" w:lineRule="auto"/>
        <w:ind w:firstLine="240" w:firstLineChars="10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本项目采购预算暂定为人民币</w:t>
      </w:r>
      <w:r>
        <w:rPr>
          <w:rFonts w:hint="eastAsia" w:ascii="宋体" w:hAnsi="宋体" w:eastAsia="宋体" w:cs="宋体"/>
          <w:color w:val="auto"/>
          <w:lang w:val="en-US" w:eastAsia="zh-CN"/>
        </w:rPr>
        <w:t>735609</w:t>
      </w:r>
      <w:r>
        <w:rPr>
          <w:rFonts w:hint="eastAsia" w:ascii="宋体" w:hAnsi="宋体" w:eastAsia="宋体" w:cs="宋体"/>
          <w:color w:val="auto"/>
        </w:rPr>
        <w:t>元。</w:t>
      </w:r>
    </w:p>
    <w:p>
      <w:pPr>
        <w:numPr>
          <w:ilvl w:val="0"/>
          <w:numId w:val="2"/>
        </w:numPr>
        <w:spacing w:line="360" w:lineRule="auto"/>
        <w:ind w:firstLine="240" w:firstLineChars="10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项目主要建设规模及主要内容:</w:t>
      </w:r>
    </w:p>
    <w:p>
      <w:pPr>
        <w:pStyle w:val="9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</w:rPr>
        <w:t>本项目对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val="zh-CN"/>
        </w:rPr>
        <w:t>博罗县龙溪街道粪污塘进行污染治理服务，包括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</w:rPr>
        <w:t>11个点。分别位于博罗县龙溪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eastAsia="zh-CN"/>
        </w:rPr>
        <w:t>街道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</w:rPr>
        <w:t>的钟屋、横巷、长湖、埔心、湖头、苏村、白莲湖、绿水湖、深湖、小蓬岗、银岗等村部。需进行污染治理服务养猪粪便塘面积共478亩。</w:t>
      </w:r>
    </w:p>
    <w:p>
      <w:pPr>
        <w:pStyle w:val="9"/>
        <w:spacing w:line="360" w:lineRule="auto"/>
        <w:ind w:firstLine="221" w:firstLineChars="100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</w:rPr>
        <w:t>★（三）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项目要求：</w:t>
      </w:r>
    </w:p>
    <w:p>
      <w:pPr>
        <w:pStyle w:val="9"/>
        <w:spacing w:line="360" w:lineRule="auto"/>
        <w:ind w:firstLine="480" w:firstLineChars="200"/>
        <w:rPr>
          <w:rFonts w:hint="eastAsia" w:ascii="宋体" w:hAnsi="宋体" w:eastAsia="宋体" w:cs="宋体"/>
          <w:color w:val="auto"/>
          <w:kern w:val="2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2"/>
          <w:sz w:val="24"/>
          <w:szCs w:val="24"/>
        </w:rPr>
        <w:t>投标人应根据相关法律法规的要求及采购人提供的有关资料，提供博罗县龙溪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  <w:lang w:eastAsia="zh-CN"/>
        </w:rPr>
        <w:t>街道</w:t>
      </w:r>
      <w:r>
        <w:rPr>
          <w:rFonts w:hint="eastAsia" w:ascii="宋体" w:hAnsi="宋体" w:eastAsia="宋体" w:cs="宋体"/>
          <w:color w:val="auto"/>
          <w:kern w:val="2"/>
          <w:sz w:val="24"/>
          <w:szCs w:val="24"/>
        </w:rPr>
        <w:t>轻污染粪污塘污染治理服务采购项目全过程服务，包括勘察、水质检测、方案设计、污染处置、验收等工作，及其实施过程所需的技术、人力、设备、设施、工具、仪器、水、电、材料等资源，承担服务过程中的生产、消防、安全、保险、劳资纠纷处理以及由此产生的一切费用及责任。</w:t>
      </w:r>
    </w:p>
    <w:p>
      <w:pPr>
        <w:spacing w:line="360" w:lineRule="auto"/>
        <w:ind w:left="240" w:leftChars="10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（四）项目详细技术参数：</w:t>
      </w:r>
    </w:p>
    <w:p>
      <w:pPr>
        <w:pStyle w:val="9"/>
        <w:numPr>
          <w:ilvl w:val="0"/>
          <w:numId w:val="3"/>
        </w:numP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工作量汇总：</w:t>
      </w:r>
    </w:p>
    <w:p>
      <w:pPr>
        <w:pStyle w:val="9"/>
        <w:rPr>
          <w:rFonts w:hint="eastAsia" w:ascii="宋体" w:hAnsi="宋体" w:eastAsia="宋体" w:cs="宋体"/>
          <w:color w:val="auto"/>
          <w:sz w:val="24"/>
          <w:szCs w:val="24"/>
        </w:rPr>
      </w:pPr>
    </w:p>
    <w:tbl>
      <w:tblPr>
        <w:tblStyle w:val="5"/>
        <w:tblW w:w="8157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5"/>
        <w:gridCol w:w="3634"/>
        <w:gridCol w:w="1147"/>
        <w:gridCol w:w="2221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15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120" w:beforeLines="50" w:after="120" w:afterLines="50"/>
              <w:ind w:firstLine="240" w:firstLineChars="100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序号</w:t>
            </w:r>
          </w:p>
        </w:tc>
        <w:tc>
          <w:tcPr>
            <w:tcW w:w="363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120" w:beforeLines="50" w:after="120" w:afterLines="50"/>
              <w:ind w:firstLine="477" w:firstLineChars="199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名称</w:t>
            </w:r>
          </w:p>
        </w:tc>
        <w:tc>
          <w:tcPr>
            <w:tcW w:w="114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120" w:beforeLines="50" w:after="120" w:afterLines="50"/>
              <w:ind w:firstLine="477" w:firstLineChars="199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单位</w:t>
            </w:r>
          </w:p>
        </w:tc>
        <w:tc>
          <w:tcPr>
            <w:tcW w:w="2221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120" w:beforeLines="50" w:after="120" w:afterLines="50"/>
              <w:ind w:firstLine="477" w:firstLineChars="199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1</w:t>
            </w:r>
          </w:p>
        </w:tc>
        <w:tc>
          <w:tcPr>
            <w:tcW w:w="3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水体修复剂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kg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23733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2</w:t>
            </w:r>
          </w:p>
        </w:tc>
        <w:tc>
          <w:tcPr>
            <w:tcW w:w="3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底泥修复剂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kg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8310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3</w:t>
            </w:r>
          </w:p>
        </w:tc>
        <w:tc>
          <w:tcPr>
            <w:tcW w:w="3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增氧剂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kg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260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4</w:t>
            </w:r>
          </w:p>
        </w:tc>
        <w:tc>
          <w:tcPr>
            <w:tcW w:w="3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人工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个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478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5</w:t>
            </w:r>
          </w:p>
        </w:tc>
        <w:tc>
          <w:tcPr>
            <w:tcW w:w="3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检测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次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70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8" w:hRule="atLeast"/>
        </w:trPr>
        <w:tc>
          <w:tcPr>
            <w:tcW w:w="115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6</w:t>
            </w:r>
          </w:p>
        </w:tc>
        <w:tc>
          <w:tcPr>
            <w:tcW w:w="36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勘察</w:t>
            </w:r>
          </w:p>
        </w:tc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both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次</w:t>
            </w:r>
          </w:p>
        </w:tc>
        <w:tc>
          <w:tcPr>
            <w:tcW w:w="2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9"/>
              <w:spacing w:before="48" w:beforeLines="20" w:after="48" w:afterLines="20"/>
              <w:ind w:firstLine="477" w:firstLineChars="199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bidi="ar-SA"/>
              </w:rPr>
              <w:t>35</w:t>
            </w:r>
          </w:p>
        </w:tc>
      </w:tr>
    </w:tbl>
    <w:p>
      <w:pPr>
        <w:pStyle w:val="9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pStyle w:val="9"/>
        <w:numPr>
          <w:ilvl w:val="0"/>
          <w:numId w:val="3"/>
        </w:numP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详细技术参数：</w:t>
      </w:r>
    </w:p>
    <w:p>
      <w:pPr>
        <w:pStyle w:val="9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tbl>
      <w:tblPr>
        <w:tblStyle w:val="5"/>
        <w:tblW w:w="9644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8"/>
        <w:gridCol w:w="696"/>
        <w:gridCol w:w="933"/>
        <w:gridCol w:w="1128"/>
        <w:gridCol w:w="704"/>
        <w:gridCol w:w="1125"/>
        <w:gridCol w:w="550"/>
        <w:gridCol w:w="1129"/>
        <w:gridCol w:w="1125"/>
        <w:gridCol w:w="550"/>
        <w:gridCol w:w="112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78" w:type="dxa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696" w:type="dxa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lang w:bidi="ar"/>
              </w:rPr>
              <w:t>所属村</w:t>
            </w:r>
          </w:p>
        </w:tc>
        <w:tc>
          <w:tcPr>
            <w:tcW w:w="933" w:type="dxa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lang w:bidi="ar"/>
              </w:rPr>
              <w:t>所属小组</w:t>
            </w:r>
          </w:p>
        </w:tc>
        <w:tc>
          <w:tcPr>
            <w:tcW w:w="1128" w:type="dxa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lang w:bidi="ar"/>
              </w:rPr>
              <w:t>所在位置</w:t>
            </w:r>
          </w:p>
        </w:tc>
        <w:tc>
          <w:tcPr>
            <w:tcW w:w="704" w:type="dxa"/>
            <w:tcBorders>
              <w:top w:val="single" w:color="000000" w:sz="12" w:space="0"/>
              <w:lef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lang w:bidi="ar"/>
              </w:rPr>
              <w:t>面积（亩）</w:t>
            </w:r>
          </w:p>
        </w:tc>
        <w:tc>
          <w:tcPr>
            <w:tcW w:w="2804" w:type="dxa"/>
            <w:gridSpan w:val="3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lang w:bidi="ar"/>
              </w:rPr>
              <w:t>池塘治理基本数量</w:t>
            </w:r>
          </w:p>
        </w:tc>
        <w:tc>
          <w:tcPr>
            <w:tcW w:w="2801" w:type="dxa"/>
            <w:gridSpan w:val="3"/>
            <w:tcBorders>
              <w:top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  <w:lang w:bidi="ar"/>
              </w:rPr>
              <w:t>池塘治理其他内容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3335" w:type="dxa"/>
            <w:gridSpan w:val="4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钟屋</w:t>
            </w:r>
          </w:p>
        </w:tc>
        <w:tc>
          <w:tcPr>
            <w:tcW w:w="704" w:type="dxa"/>
            <w:tcBorders>
              <w:top w:val="single" w:color="000000" w:sz="12" w:space="0"/>
              <w:lef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2804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2801" w:type="dxa"/>
            <w:gridSpan w:val="3"/>
            <w:tcBorders>
              <w:top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96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钟屋</w:t>
            </w:r>
          </w:p>
        </w:tc>
        <w:tc>
          <w:tcPr>
            <w:tcW w:w="933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集体</w:t>
            </w:r>
          </w:p>
        </w:tc>
        <w:tc>
          <w:tcPr>
            <w:tcW w:w="1128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蛇山</w:t>
            </w:r>
          </w:p>
        </w:tc>
        <w:tc>
          <w:tcPr>
            <w:tcW w:w="704" w:type="dxa"/>
            <w:vMerge w:val="restart"/>
            <w:tcBorders>
              <w:top w:val="single" w:color="000000" w:sz="12" w:space="0"/>
              <w:lef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96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钟屋</w:t>
            </w:r>
          </w:p>
        </w:tc>
        <w:tc>
          <w:tcPr>
            <w:tcW w:w="933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集体</w:t>
            </w:r>
          </w:p>
        </w:tc>
        <w:tc>
          <w:tcPr>
            <w:tcW w:w="1128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清家塘</w:t>
            </w:r>
          </w:p>
        </w:tc>
        <w:tc>
          <w:tcPr>
            <w:tcW w:w="704" w:type="dxa"/>
            <w:vMerge w:val="restart"/>
            <w:tcBorders>
              <w:top w:val="single" w:color="000000" w:sz="12" w:space="0"/>
              <w:lef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3335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横巷</w:t>
            </w:r>
          </w:p>
        </w:tc>
        <w:tc>
          <w:tcPr>
            <w:tcW w:w="70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2804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2801" w:type="dxa"/>
            <w:gridSpan w:val="3"/>
            <w:tcBorders>
              <w:top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96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横巷</w:t>
            </w:r>
          </w:p>
        </w:tc>
        <w:tc>
          <w:tcPr>
            <w:tcW w:w="93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128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利是岗</w:t>
            </w:r>
          </w:p>
        </w:tc>
        <w:tc>
          <w:tcPr>
            <w:tcW w:w="704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增氧剂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3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横巷</w:t>
            </w:r>
          </w:p>
        </w:tc>
        <w:tc>
          <w:tcPr>
            <w:tcW w:w="93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12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利是岗2</w:t>
            </w:r>
          </w:p>
        </w:tc>
        <w:tc>
          <w:tcPr>
            <w:tcW w:w="704" w:type="dxa"/>
            <w:vMerge w:val="restart"/>
            <w:tcBorders>
              <w:top w:val="single" w:color="auto" w:sz="4" w:space="0"/>
              <w:lef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增氧剂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restart"/>
            <w:tcBorders>
              <w:top w:val="single" w:color="auto" w:sz="4" w:space="0"/>
              <w:left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横巷</w:t>
            </w:r>
          </w:p>
        </w:tc>
        <w:tc>
          <w:tcPr>
            <w:tcW w:w="933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村委</w:t>
            </w:r>
          </w:p>
        </w:tc>
        <w:tc>
          <w:tcPr>
            <w:tcW w:w="1128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洪口</w:t>
            </w:r>
          </w:p>
        </w:tc>
        <w:tc>
          <w:tcPr>
            <w:tcW w:w="704" w:type="dxa"/>
            <w:vMerge w:val="restart"/>
            <w:tcBorders>
              <w:top w:val="single" w:color="auto" w:sz="4" w:space="0"/>
              <w:lef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2" w:hRule="atLeast"/>
        </w:trPr>
        <w:tc>
          <w:tcPr>
            <w:tcW w:w="3335" w:type="dxa"/>
            <w:gridSpan w:val="4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  <w:t>长湖</w:t>
            </w:r>
          </w:p>
        </w:tc>
        <w:tc>
          <w:tcPr>
            <w:tcW w:w="704" w:type="dxa"/>
            <w:tcBorders>
              <w:top w:val="single" w:color="000000" w:sz="12" w:space="0"/>
              <w:lef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2804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2801" w:type="dxa"/>
            <w:gridSpan w:val="3"/>
            <w:tcBorders>
              <w:top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96" w:type="dxa"/>
            <w:vMerge w:val="restart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长湖</w:t>
            </w:r>
          </w:p>
        </w:tc>
        <w:tc>
          <w:tcPr>
            <w:tcW w:w="933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天岗岭</w:t>
            </w:r>
          </w:p>
        </w:tc>
        <w:tc>
          <w:tcPr>
            <w:tcW w:w="1128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restart"/>
            <w:tcBorders>
              <w:top w:val="single" w:color="000000" w:sz="12" w:space="0"/>
              <w:lef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12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3335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埔心</w:t>
            </w:r>
          </w:p>
        </w:tc>
        <w:tc>
          <w:tcPr>
            <w:tcW w:w="70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2804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2801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96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埔心</w:t>
            </w:r>
          </w:p>
        </w:tc>
        <w:tc>
          <w:tcPr>
            <w:tcW w:w="93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上沥</w:t>
            </w:r>
          </w:p>
        </w:tc>
        <w:tc>
          <w:tcPr>
            <w:tcW w:w="1128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96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埔心</w:t>
            </w:r>
          </w:p>
        </w:tc>
        <w:tc>
          <w:tcPr>
            <w:tcW w:w="93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薛屋</w:t>
            </w:r>
          </w:p>
        </w:tc>
        <w:tc>
          <w:tcPr>
            <w:tcW w:w="1128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庙子湖</w:t>
            </w:r>
          </w:p>
        </w:tc>
        <w:tc>
          <w:tcPr>
            <w:tcW w:w="704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restart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96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埔心</w:t>
            </w:r>
          </w:p>
        </w:tc>
        <w:tc>
          <w:tcPr>
            <w:tcW w:w="933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薛屋</w:t>
            </w:r>
          </w:p>
        </w:tc>
        <w:tc>
          <w:tcPr>
            <w:tcW w:w="1128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横张</w:t>
            </w:r>
          </w:p>
        </w:tc>
        <w:tc>
          <w:tcPr>
            <w:tcW w:w="704" w:type="dxa"/>
            <w:vMerge w:val="restart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25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96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埔心</w:t>
            </w:r>
          </w:p>
        </w:tc>
        <w:tc>
          <w:tcPr>
            <w:tcW w:w="93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薛屋</w:t>
            </w:r>
          </w:p>
        </w:tc>
        <w:tc>
          <w:tcPr>
            <w:tcW w:w="1128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围下</w:t>
            </w:r>
          </w:p>
        </w:tc>
        <w:tc>
          <w:tcPr>
            <w:tcW w:w="704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696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埔心</w:t>
            </w:r>
          </w:p>
        </w:tc>
        <w:tc>
          <w:tcPr>
            <w:tcW w:w="93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岗下</w:t>
            </w:r>
          </w:p>
        </w:tc>
        <w:tc>
          <w:tcPr>
            <w:tcW w:w="1128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牛栏布</w:t>
            </w:r>
          </w:p>
        </w:tc>
        <w:tc>
          <w:tcPr>
            <w:tcW w:w="704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6" w:hRule="atLeast"/>
        </w:trPr>
        <w:tc>
          <w:tcPr>
            <w:tcW w:w="3335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湖头</w:t>
            </w:r>
          </w:p>
        </w:tc>
        <w:tc>
          <w:tcPr>
            <w:tcW w:w="70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135</w:t>
            </w:r>
          </w:p>
        </w:tc>
        <w:tc>
          <w:tcPr>
            <w:tcW w:w="2804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2801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96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湖头</w:t>
            </w:r>
          </w:p>
        </w:tc>
        <w:tc>
          <w:tcPr>
            <w:tcW w:w="93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128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上边珍贝左</w:t>
            </w:r>
          </w:p>
        </w:tc>
        <w:tc>
          <w:tcPr>
            <w:tcW w:w="704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湖头</w:t>
            </w:r>
          </w:p>
        </w:tc>
        <w:tc>
          <w:tcPr>
            <w:tcW w:w="93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12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上坑</w:t>
            </w:r>
          </w:p>
        </w:tc>
        <w:tc>
          <w:tcPr>
            <w:tcW w:w="70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57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96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湖头</w:t>
            </w:r>
          </w:p>
        </w:tc>
        <w:tc>
          <w:tcPr>
            <w:tcW w:w="93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128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上边山湖</w:t>
            </w:r>
          </w:p>
        </w:tc>
        <w:tc>
          <w:tcPr>
            <w:tcW w:w="704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96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湖头</w:t>
            </w:r>
          </w:p>
        </w:tc>
        <w:tc>
          <w:tcPr>
            <w:tcW w:w="93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128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上边沙井台</w:t>
            </w:r>
          </w:p>
        </w:tc>
        <w:tc>
          <w:tcPr>
            <w:tcW w:w="704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restart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696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湖头</w:t>
            </w:r>
          </w:p>
        </w:tc>
        <w:tc>
          <w:tcPr>
            <w:tcW w:w="933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128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上边沙前庙</w:t>
            </w:r>
          </w:p>
        </w:tc>
        <w:tc>
          <w:tcPr>
            <w:tcW w:w="704" w:type="dxa"/>
            <w:vMerge w:val="restart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125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696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湖头</w:t>
            </w:r>
          </w:p>
        </w:tc>
        <w:tc>
          <w:tcPr>
            <w:tcW w:w="93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128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平田</w:t>
            </w:r>
          </w:p>
        </w:tc>
        <w:tc>
          <w:tcPr>
            <w:tcW w:w="704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restart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696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湖头</w:t>
            </w:r>
          </w:p>
        </w:tc>
        <w:tc>
          <w:tcPr>
            <w:tcW w:w="933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128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水沥</w:t>
            </w:r>
          </w:p>
        </w:tc>
        <w:tc>
          <w:tcPr>
            <w:tcW w:w="704" w:type="dxa"/>
            <w:vMerge w:val="restart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125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696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湖头</w:t>
            </w:r>
          </w:p>
        </w:tc>
        <w:tc>
          <w:tcPr>
            <w:tcW w:w="93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128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鸡乸湖</w:t>
            </w:r>
          </w:p>
        </w:tc>
        <w:tc>
          <w:tcPr>
            <w:tcW w:w="704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696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湖头</w:t>
            </w:r>
          </w:p>
        </w:tc>
        <w:tc>
          <w:tcPr>
            <w:tcW w:w="93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128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高顶</w:t>
            </w:r>
          </w:p>
        </w:tc>
        <w:tc>
          <w:tcPr>
            <w:tcW w:w="704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3335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苏村</w:t>
            </w:r>
          </w:p>
        </w:tc>
        <w:tc>
          <w:tcPr>
            <w:tcW w:w="70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2804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2801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96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苏村</w:t>
            </w:r>
          </w:p>
        </w:tc>
        <w:tc>
          <w:tcPr>
            <w:tcW w:w="93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叶来屋</w:t>
            </w:r>
          </w:p>
        </w:tc>
        <w:tc>
          <w:tcPr>
            <w:tcW w:w="1128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亚鸽贝湖</w:t>
            </w:r>
          </w:p>
        </w:tc>
        <w:tc>
          <w:tcPr>
            <w:tcW w:w="704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restart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96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苏村</w:t>
            </w:r>
          </w:p>
        </w:tc>
        <w:tc>
          <w:tcPr>
            <w:tcW w:w="933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合竹洲</w:t>
            </w:r>
          </w:p>
        </w:tc>
        <w:tc>
          <w:tcPr>
            <w:tcW w:w="1128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公庭湖</w:t>
            </w:r>
          </w:p>
        </w:tc>
        <w:tc>
          <w:tcPr>
            <w:tcW w:w="704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12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96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苏村</w:t>
            </w:r>
          </w:p>
        </w:tc>
        <w:tc>
          <w:tcPr>
            <w:tcW w:w="93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合竹洲</w:t>
            </w:r>
          </w:p>
        </w:tc>
        <w:tc>
          <w:tcPr>
            <w:tcW w:w="1128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后湖</w:t>
            </w:r>
          </w:p>
        </w:tc>
        <w:tc>
          <w:tcPr>
            <w:tcW w:w="704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restart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696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苏村</w:t>
            </w:r>
          </w:p>
        </w:tc>
        <w:tc>
          <w:tcPr>
            <w:tcW w:w="933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沙河埔</w:t>
            </w:r>
          </w:p>
        </w:tc>
        <w:tc>
          <w:tcPr>
            <w:tcW w:w="1128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龙屋湖</w:t>
            </w:r>
          </w:p>
        </w:tc>
        <w:tc>
          <w:tcPr>
            <w:tcW w:w="704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6" w:hRule="atLeast"/>
        </w:trPr>
        <w:tc>
          <w:tcPr>
            <w:tcW w:w="3335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白莲湖</w:t>
            </w:r>
          </w:p>
        </w:tc>
        <w:tc>
          <w:tcPr>
            <w:tcW w:w="70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2804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2801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96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白莲湖</w:t>
            </w:r>
          </w:p>
        </w:tc>
        <w:tc>
          <w:tcPr>
            <w:tcW w:w="93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边湖鱼塘</w:t>
            </w:r>
          </w:p>
        </w:tc>
        <w:tc>
          <w:tcPr>
            <w:tcW w:w="704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</w:trPr>
        <w:tc>
          <w:tcPr>
            <w:tcW w:w="3335" w:type="dxa"/>
            <w:gridSpan w:val="4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绿水湖</w:t>
            </w:r>
          </w:p>
        </w:tc>
        <w:tc>
          <w:tcPr>
            <w:tcW w:w="70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2804" w:type="dxa"/>
            <w:gridSpan w:val="3"/>
            <w:tcBorders>
              <w:top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2801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96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绿水湖</w:t>
            </w:r>
          </w:p>
        </w:tc>
        <w:tc>
          <w:tcPr>
            <w:tcW w:w="93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下门小组</w:t>
            </w:r>
          </w:p>
        </w:tc>
        <w:tc>
          <w:tcPr>
            <w:tcW w:w="1128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沙梨园</w:t>
            </w:r>
          </w:p>
        </w:tc>
        <w:tc>
          <w:tcPr>
            <w:tcW w:w="704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125" w:type="dxa"/>
            <w:tcBorders>
              <w:top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增氧剂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12" w:space="0"/>
              <w:left w:val="single" w:color="000000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绿水湖</w:t>
            </w:r>
          </w:p>
        </w:tc>
        <w:tc>
          <w:tcPr>
            <w:tcW w:w="9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孙屋小组</w:t>
            </w:r>
          </w:p>
        </w:tc>
        <w:tc>
          <w:tcPr>
            <w:tcW w:w="11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秧肚（土名）</w:t>
            </w:r>
          </w:p>
        </w:tc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</w:trPr>
        <w:tc>
          <w:tcPr>
            <w:tcW w:w="33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深湖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28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28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深湖</w:t>
            </w:r>
          </w:p>
        </w:tc>
        <w:tc>
          <w:tcPr>
            <w:tcW w:w="9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太平头</w:t>
            </w:r>
          </w:p>
        </w:tc>
        <w:tc>
          <w:tcPr>
            <w:tcW w:w="11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沙梨园</w:t>
            </w:r>
          </w:p>
        </w:tc>
        <w:tc>
          <w:tcPr>
            <w:tcW w:w="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auto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78" w:type="dxa"/>
            <w:vMerge w:val="restart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深湖</w:t>
            </w:r>
          </w:p>
        </w:tc>
        <w:tc>
          <w:tcPr>
            <w:tcW w:w="93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桥子头</w:t>
            </w:r>
          </w:p>
        </w:tc>
        <w:tc>
          <w:tcPr>
            <w:tcW w:w="112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湖山塘</w:t>
            </w:r>
          </w:p>
        </w:tc>
        <w:tc>
          <w:tcPr>
            <w:tcW w:w="70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125" w:type="dxa"/>
            <w:tcBorders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8" w:hRule="atLeast"/>
        </w:trPr>
        <w:tc>
          <w:tcPr>
            <w:tcW w:w="3335" w:type="dxa"/>
            <w:gridSpan w:val="4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小蓬岗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157</w:t>
            </w:r>
          </w:p>
        </w:tc>
        <w:tc>
          <w:tcPr>
            <w:tcW w:w="2804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2801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restart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小蓬岗</w:t>
            </w:r>
          </w:p>
        </w:tc>
        <w:tc>
          <w:tcPr>
            <w:tcW w:w="93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老围</w:t>
            </w:r>
          </w:p>
        </w:tc>
        <w:tc>
          <w:tcPr>
            <w:tcW w:w="112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老围</w:t>
            </w:r>
          </w:p>
        </w:tc>
        <w:tc>
          <w:tcPr>
            <w:tcW w:w="70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120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restart"/>
            <w:tcBorders>
              <w:top w:val="single" w:color="auto" w:sz="4" w:space="0"/>
              <w:left w:val="single" w:color="000000" w:sz="12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小蓬岗</w:t>
            </w:r>
          </w:p>
        </w:tc>
        <w:tc>
          <w:tcPr>
            <w:tcW w:w="93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陈屋村</w:t>
            </w:r>
          </w:p>
        </w:tc>
        <w:tc>
          <w:tcPr>
            <w:tcW w:w="112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集体大塘</w:t>
            </w:r>
          </w:p>
        </w:tc>
        <w:tc>
          <w:tcPr>
            <w:tcW w:w="70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125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restart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小蓬岗</w:t>
            </w:r>
          </w:p>
        </w:tc>
        <w:tc>
          <w:tcPr>
            <w:tcW w:w="93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新围</w:t>
            </w:r>
          </w:p>
        </w:tc>
        <w:tc>
          <w:tcPr>
            <w:tcW w:w="112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新围</w:t>
            </w:r>
          </w:p>
        </w:tc>
        <w:tc>
          <w:tcPr>
            <w:tcW w:w="70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125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3335" w:type="dxa"/>
            <w:gridSpan w:val="4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银岗</w:t>
            </w:r>
          </w:p>
        </w:tc>
        <w:tc>
          <w:tcPr>
            <w:tcW w:w="70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2804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  <w:tc>
          <w:tcPr>
            <w:tcW w:w="2801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/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restart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银岗</w:t>
            </w:r>
          </w:p>
        </w:tc>
        <w:tc>
          <w:tcPr>
            <w:tcW w:w="93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中围</w:t>
            </w:r>
          </w:p>
        </w:tc>
        <w:tc>
          <w:tcPr>
            <w:tcW w:w="112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大田涵</w:t>
            </w:r>
          </w:p>
        </w:tc>
        <w:tc>
          <w:tcPr>
            <w:tcW w:w="70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restart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银岗</w:t>
            </w:r>
          </w:p>
        </w:tc>
        <w:tc>
          <w:tcPr>
            <w:tcW w:w="93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联队</w:t>
            </w:r>
          </w:p>
        </w:tc>
        <w:tc>
          <w:tcPr>
            <w:tcW w:w="112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利是岗水渠</w:t>
            </w:r>
          </w:p>
        </w:tc>
        <w:tc>
          <w:tcPr>
            <w:tcW w:w="70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125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restart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银岗</w:t>
            </w:r>
          </w:p>
        </w:tc>
        <w:tc>
          <w:tcPr>
            <w:tcW w:w="933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水枯塘</w:t>
            </w:r>
          </w:p>
        </w:tc>
        <w:tc>
          <w:tcPr>
            <w:tcW w:w="704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9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1125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550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单位</w:t>
            </w:r>
          </w:p>
        </w:tc>
        <w:tc>
          <w:tcPr>
            <w:tcW w:w="1126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数量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水体修复剂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勘察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底泥修复剂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kg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17.5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水质检测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次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</w:trPr>
        <w:tc>
          <w:tcPr>
            <w:tcW w:w="578" w:type="dxa"/>
            <w:vMerge w:val="continue"/>
            <w:tcBorders>
              <w:top w:val="single" w:color="auto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933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8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704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人工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方案设计费</w:t>
            </w:r>
          </w:p>
        </w:tc>
        <w:tc>
          <w:tcPr>
            <w:tcW w:w="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bidi="ar"/>
              </w:rPr>
              <w:t>个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color w:val="auto"/>
                <w:sz w:val="20"/>
                <w:szCs w:val="20"/>
              </w:rPr>
            </w:pPr>
          </w:p>
        </w:tc>
      </w:tr>
    </w:tbl>
    <w:p>
      <w:pPr>
        <w:numPr>
          <w:ilvl w:val="0"/>
          <w:numId w:val="3"/>
        </w:numPr>
        <w:spacing w:line="360" w:lineRule="auto"/>
        <w:rPr>
          <w:rFonts w:hint="eastAsia" w:ascii="宋体" w:hAnsi="宋体" w:eastAsia="宋体" w:cs="宋体"/>
          <w:b w:val="0"/>
          <w:bCs w:val="0"/>
          <w:color w:val="auto"/>
          <w:kern w:val="0"/>
          <w:lang w:bidi="ar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lang w:bidi="ar"/>
        </w:rPr>
        <w:t>服务要求：</w:t>
      </w:r>
    </w:p>
    <w:p>
      <w:pPr>
        <w:pStyle w:val="9"/>
        <w:spacing w:line="360" w:lineRule="auto"/>
        <w:ind w:firstLine="240" w:firstLineChars="100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bidi="ar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bidi="ar"/>
        </w:rPr>
        <w:t>3.1 、前期准备要求：</w:t>
      </w:r>
    </w:p>
    <w:p>
      <w:pPr>
        <w:spacing w:line="360" w:lineRule="auto"/>
        <w:ind w:firstLine="240" w:firstLineChars="100"/>
        <w:rPr>
          <w:rFonts w:hint="eastAsia" w:ascii="宋体" w:hAnsi="宋体" w:eastAsia="宋体" w:cs="宋体"/>
          <w:b w:val="0"/>
          <w:bCs w:val="0"/>
          <w:color w:val="auto"/>
          <w:kern w:val="0"/>
          <w:lang w:bidi="ar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lang w:bidi="ar"/>
        </w:rPr>
        <w:t>（1）成立项目工作组，拟订工作计划、分配工作、工作目标。</w:t>
      </w:r>
    </w:p>
    <w:p>
      <w:pPr>
        <w:spacing w:line="360" w:lineRule="auto"/>
        <w:ind w:firstLine="240" w:firstLineChars="100"/>
        <w:rPr>
          <w:rFonts w:hint="eastAsia" w:ascii="宋体" w:hAnsi="宋体" w:eastAsia="宋体" w:cs="宋体"/>
          <w:b w:val="0"/>
          <w:bCs w:val="0"/>
          <w:color w:val="auto"/>
          <w:kern w:val="0"/>
          <w:lang w:bidi="ar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lang w:bidi="ar"/>
        </w:rPr>
        <w:t>（2）材料、工具、车辆、设备等物质准备。</w:t>
      </w:r>
    </w:p>
    <w:p>
      <w:pPr>
        <w:spacing w:line="360" w:lineRule="auto"/>
        <w:ind w:firstLine="240" w:firstLineChars="100"/>
        <w:rPr>
          <w:rFonts w:hint="eastAsia" w:ascii="宋体" w:hAnsi="宋体" w:eastAsia="宋体" w:cs="宋体"/>
          <w:b w:val="0"/>
          <w:bCs w:val="0"/>
          <w:color w:val="auto"/>
          <w:kern w:val="0"/>
          <w:lang w:bidi="ar"/>
        </w:rPr>
      </w:pPr>
      <w:r>
        <w:rPr>
          <w:rFonts w:hint="eastAsia" w:ascii="宋体" w:hAnsi="宋体" w:eastAsia="宋体" w:cs="宋体"/>
          <w:b w:val="0"/>
          <w:bCs w:val="0"/>
          <w:color w:val="auto"/>
          <w:kern w:val="0"/>
          <w:lang w:bidi="ar"/>
        </w:rPr>
        <w:t>（3）场地“三通一平”。</w:t>
      </w:r>
    </w:p>
    <w:p>
      <w:pPr>
        <w:spacing w:line="360" w:lineRule="auto"/>
        <w:ind w:firstLine="240" w:firstLineChars="100"/>
        <w:rPr>
          <w:rFonts w:hint="eastAsia" w:ascii="宋体" w:hAnsi="宋体" w:eastAsia="宋体" w:cs="宋体"/>
          <w:b w:val="0"/>
          <w:bCs w:val="0"/>
          <w:color w:val="auto"/>
          <w:kern w:val="0"/>
          <w:lang w:bidi="ar"/>
        </w:rPr>
      </w:pPr>
      <w:r>
        <w:rPr>
          <w:rFonts w:hint="eastAsia" w:ascii="宋体" w:hAnsi="宋体" w:eastAsia="宋体" w:cs="宋体"/>
          <w:b w:val="0"/>
          <w:bCs w:val="0"/>
          <w:color w:val="auto"/>
        </w:rPr>
        <w:t>★4、</w:t>
      </w:r>
      <w:r>
        <w:rPr>
          <w:rFonts w:hint="eastAsia" w:ascii="宋体" w:hAnsi="宋体" w:eastAsia="宋体" w:cs="宋体"/>
          <w:b w:val="0"/>
          <w:bCs w:val="0"/>
          <w:color w:val="auto"/>
          <w:kern w:val="0"/>
          <w:lang w:bidi="ar"/>
        </w:rPr>
        <w:t>达标标准</w:t>
      </w:r>
    </w:p>
    <w:p>
      <w:pPr>
        <w:pStyle w:val="9"/>
        <w:spacing w:line="360" w:lineRule="auto"/>
        <w:rPr>
          <w:rFonts w:hint="eastAsia" w:ascii="宋体" w:hAnsi="宋体" w:eastAsia="宋体" w:cs="宋体"/>
          <w:color w:val="auto"/>
          <w:sz w:val="24"/>
          <w:szCs w:val="24"/>
          <w:lang w:bidi="ar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lang w:bidi="ar"/>
        </w:rPr>
        <w:t xml:space="preserve">  </w:t>
      </w:r>
      <w:r>
        <w:rPr>
          <w:rFonts w:hint="eastAsia" w:ascii="宋体" w:hAnsi="宋体" w:eastAsia="宋体" w:cs="宋体"/>
          <w:color w:val="auto"/>
          <w:sz w:val="24"/>
          <w:szCs w:val="24"/>
          <w:lang w:bidi="ar"/>
        </w:rPr>
        <w:t>粪污塘水体修复后，应要求，其水体水质应达广东省地方标准DB44/63-2009中珠三角标准。珠三角标准值如下（单位：mg/L）：</w:t>
      </w:r>
    </w:p>
    <w:tbl>
      <w:tblPr>
        <w:tblStyle w:val="6"/>
        <w:tblW w:w="93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2"/>
        <w:gridCol w:w="4247"/>
        <w:gridCol w:w="3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2" w:type="dxa"/>
            <w:noWrap w:val="0"/>
            <w:vAlign w:val="center"/>
          </w:tcPr>
          <w:p>
            <w:pPr>
              <w:pStyle w:val="9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4247" w:type="dxa"/>
            <w:noWrap w:val="0"/>
            <w:vAlign w:val="center"/>
          </w:tcPr>
          <w:p>
            <w:pPr>
              <w:pStyle w:val="9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基本控制项目</w:t>
            </w:r>
          </w:p>
        </w:tc>
        <w:tc>
          <w:tcPr>
            <w:tcW w:w="3579" w:type="dxa"/>
            <w:noWrap w:val="0"/>
            <w:vAlign w:val="center"/>
          </w:tcPr>
          <w:p>
            <w:pPr>
              <w:pStyle w:val="9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DB44/63-2009中珠三角标准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2" w:type="dxa"/>
            <w:noWrap w:val="0"/>
            <w:vAlign w:val="center"/>
          </w:tcPr>
          <w:p>
            <w:pPr>
              <w:pStyle w:val="9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</w:t>
            </w:r>
          </w:p>
        </w:tc>
        <w:tc>
          <w:tcPr>
            <w:tcW w:w="4247" w:type="dxa"/>
            <w:noWrap w:val="0"/>
            <w:vAlign w:val="center"/>
          </w:tcPr>
          <w:p>
            <w:pPr>
              <w:pStyle w:val="9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化学需氧量（COD）</w:t>
            </w:r>
          </w:p>
        </w:tc>
        <w:tc>
          <w:tcPr>
            <w:tcW w:w="3579" w:type="dxa"/>
            <w:noWrap w:val="0"/>
            <w:vAlign w:val="center"/>
          </w:tcPr>
          <w:p>
            <w:pPr>
              <w:pStyle w:val="9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2" w:type="dxa"/>
            <w:noWrap w:val="0"/>
            <w:vAlign w:val="center"/>
          </w:tcPr>
          <w:p>
            <w:pPr>
              <w:pStyle w:val="9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2</w:t>
            </w:r>
          </w:p>
        </w:tc>
        <w:tc>
          <w:tcPr>
            <w:tcW w:w="4247" w:type="dxa"/>
            <w:noWrap w:val="0"/>
            <w:vAlign w:val="center"/>
          </w:tcPr>
          <w:p>
            <w:pPr>
              <w:pStyle w:val="9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生化需氧量（BOD5）</w:t>
            </w:r>
          </w:p>
        </w:tc>
        <w:tc>
          <w:tcPr>
            <w:tcW w:w="3579" w:type="dxa"/>
            <w:noWrap w:val="0"/>
            <w:vAlign w:val="center"/>
          </w:tcPr>
          <w:p>
            <w:pPr>
              <w:pStyle w:val="9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82" w:type="dxa"/>
            <w:noWrap w:val="0"/>
            <w:vAlign w:val="center"/>
          </w:tcPr>
          <w:p>
            <w:pPr>
              <w:pStyle w:val="9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3</w:t>
            </w:r>
          </w:p>
        </w:tc>
        <w:tc>
          <w:tcPr>
            <w:tcW w:w="4247" w:type="dxa"/>
            <w:noWrap w:val="0"/>
            <w:vAlign w:val="center"/>
          </w:tcPr>
          <w:p>
            <w:pPr>
              <w:pStyle w:val="9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总磷（TP）</w:t>
            </w:r>
          </w:p>
        </w:tc>
        <w:tc>
          <w:tcPr>
            <w:tcW w:w="3579" w:type="dxa"/>
            <w:noWrap w:val="0"/>
            <w:vAlign w:val="center"/>
          </w:tcPr>
          <w:p>
            <w:pPr>
              <w:pStyle w:val="9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7.0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2" w:type="dxa"/>
            <w:noWrap w:val="0"/>
            <w:vAlign w:val="center"/>
          </w:tcPr>
          <w:p>
            <w:pPr>
              <w:pStyle w:val="9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4</w:t>
            </w:r>
          </w:p>
        </w:tc>
        <w:tc>
          <w:tcPr>
            <w:tcW w:w="4247" w:type="dxa"/>
            <w:noWrap w:val="0"/>
            <w:vAlign w:val="center"/>
          </w:tcPr>
          <w:p>
            <w:pPr>
              <w:pStyle w:val="9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氨氮（NH3-N）</w:t>
            </w:r>
          </w:p>
        </w:tc>
        <w:tc>
          <w:tcPr>
            <w:tcW w:w="3579" w:type="dxa"/>
            <w:noWrap w:val="0"/>
            <w:vAlign w:val="center"/>
          </w:tcPr>
          <w:p>
            <w:pPr>
              <w:pStyle w:val="9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2" w:type="dxa"/>
            <w:noWrap w:val="0"/>
            <w:vAlign w:val="center"/>
          </w:tcPr>
          <w:p>
            <w:pPr>
              <w:pStyle w:val="9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5</w:t>
            </w:r>
          </w:p>
        </w:tc>
        <w:tc>
          <w:tcPr>
            <w:tcW w:w="4247" w:type="dxa"/>
            <w:noWrap w:val="0"/>
            <w:vAlign w:val="center"/>
          </w:tcPr>
          <w:p>
            <w:pPr>
              <w:pStyle w:val="9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悬浮物（SS）</w:t>
            </w:r>
          </w:p>
        </w:tc>
        <w:tc>
          <w:tcPr>
            <w:tcW w:w="3579" w:type="dxa"/>
            <w:noWrap w:val="0"/>
            <w:vAlign w:val="center"/>
          </w:tcPr>
          <w:p>
            <w:pPr>
              <w:pStyle w:val="9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2" w:type="dxa"/>
            <w:noWrap w:val="0"/>
            <w:vAlign w:val="center"/>
          </w:tcPr>
          <w:p>
            <w:pPr>
              <w:pStyle w:val="9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6</w:t>
            </w:r>
          </w:p>
        </w:tc>
        <w:tc>
          <w:tcPr>
            <w:tcW w:w="4247" w:type="dxa"/>
            <w:noWrap w:val="0"/>
            <w:vAlign w:val="center"/>
          </w:tcPr>
          <w:p>
            <w:pPr>
              <w:pStyle w:val="9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PH</w:t>
            </w:r>
          </w:p>
        </w:tc>
        <w:tc>
          <w:tcPr>
            <w:tcW w:w="3579" w:type="dxa"/>
            <w:noWrap w:val="0"/>
            <w:vAlign w:val="center"/>
          </w:tcPr>
          <w:p>
            <w:pPr>
              <w:pStyle w:val="9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6-9</w:t>
            </w:r>
          </w:p>
        </w:tc>
      </w:tr>
    </w:tbl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</w:rPr>
      </w:pPr>
      <w:r>
        <w:rPr>
          <w:rFonts w:hint="eastAsia" w:ascii="宋体" w:hAnsi="宋体" w:eastAsia="宋体" w:cs="宋体"/>
          <w:b w:val="0"/>
          <w:bCs/>
          <w:color w:val="auto"/>
        </w:rPr>
        <w:t>四、采购项目商务要求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b w:val="0"/>
          <w:bCs/>
          <w:color w:val="auto"/>
        </w:rPr>
      </w:pPr>
      <w:r>
        <w:rPr>
          <w:rFonts w:hint="eastAsia" w:ascii="宋体" w:hAnsi="宋体" w:eastAsia="宋体" w:cs="宋体"/>
          <w:b w:val="0"/>
          <w:bCs/>
          <w:color w:val="auto"/>
        </w:rPr>
        <w:t xml:space="preserve">★ 1、工期要求：  </w:t>
      </w:r>
    </w:p>
    <w:p>
      <w:pPr>
        <w:spacing w:line="460" w:lineRule="exact"/>
        <w:ind w:firstLine="960" w:firstLineChars="400"/>
        <w:rPr>
          <w:rFonts w:hint="eastAsia" w:ascii="宋体" w:hAnsi="宋体" w:eastAsia="宋体" w:cs="宋体"/>
          <w:b w:val="0"/>
          <w:bCs/>
          <w:color w:val="auto"/>
        </w:rPr>
      </w:pPr>
      <w:r>
        <w:rPr>
          <w:rFonts w:hint="eastAsia" w:ascii="宋体" w:hAnsi="宋体" w:eastAsia="宋体" w:cs="宋体"/>
          <w:b w:val="0"/>
          <w:bCs/>
          <w:color w:val="auto"/>
        </w:rPr>
        <w:t>本工程工期为</w:t>
      </w:r>
      <w:r>
        <w:rPr>
          <w:rFonts w:hint="eastAsia" w:ascii="宋体" w:hAnsi="宋体" w:eastAsia="宋体" w:cs="宋体"/>
          <w:b w:val="0"/>
          <w:bCs/>
          <w:color w:val="auto"/>
          <w:u w:val="single"/>
        </w:rPr>
        <w:t xml:space="preserve"> 30</w:t>
      </w:r>
      <w:r>
        <w:rPr>
          <w:rFonts w:hint="eastAsia" w:ascii="宋体" w:hAnsi="宋体" w:eastAsia="宋体" w:cs="宋体"/>
          <w:b w:val="0"/>
          <w:bCs/>
          <w:color w:val="auto"/>
        </w:rPr>
        <w:t>日历天。（具体开工、竣工日期以合同签订为准。）遇不可抗力因素影响，工期可以顺延，要求本工程全部按期完成，按期完成不奖不罚。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b w:val="0"/>
          <w:bCs/>
          <w:color w:val="auto"/>
        </w:rPr>
      </w:pPr>
      <w:r>
        <w:rPr>
          <w:rFonts w:hint="eastAsia" w:ascii="宋体" w:hAnsi="宋体" w:eastAsia="宋体" w:cs="宋体"/>
          <w:b w:val="0"/>
          <w:bCs/>
          <w:color w:val="auto"/>
        </w:rPr>
        <w:t>若因招标人的原因造成工期延误的，工期可相应顺延；若因中标人的原因造成工期延误的，从延期的第三天起，按中标价每天罚款0.2‰。在这期间，由于中标人原因造成工期延误，当工程实际进度比计划进度慢时，招标人对中标人提出书面警告，并要求中标人在规定的时间内将工期赶回，赶工产生的费用由中标人自行承担。若中标人在此期间不能将工期赶回，并被招标人认定不能按要求工期完工，则招标人有权单方终止合同。原中标人工期延误给招标人造成的损失及赶工产生的费用，由原中标人承担。并由有关主管部门根据相关法律、法规对违约的中标人给予相应的行政和经济处罚。</w:t>
      </w:r>
    </w:p>
    <w:p>
      <w:pPr>
        <w:pStyle w:val="9"/>
        <w:rPr>
          <w:rFonts w:hint="eastAsia" w:ascii="宋体" w:hAnsi="宋体" w:eastAsia="宋体" w:cs="宋体"/>
          <w:b w:val="0"/>
          <w:bCs/>
          <w:color w:val="auto"/>
        </w:rPr>
      </w:pPr>
    </w:p>
    <w:p>
      <w:pPr>
        <w:numPr>
          <w:ilvl w:val="0"/>
          <w:numId w:val="4"/>
        </w:numPr>
        <w:spacing w:line="360" w:lineRule="auto"/>
        <w:ind w:firstLine="480" w:firstLineChars="200"/>
        <w:rPr>
          <w:rFonts w:hint="eastAsia" w:ascii="宋体" w:hAnsi="宋体" w:eastAsia="宋体" w:cs="宋体"/>
          <w:b w:val="0"/>
          <w:bCs/>
          <w:color w:val="auto"/>
        </w:rPr>
      </w:pPr>
      <w:r>
        <w:rPr>
          <w:rFonts w:hint="eastAsia" w:ascii="宋体" w:hAnsi="宋体" w:eastAsia="宋体" w:cs="宋体"/>
          <w:b w:val="0"/>
          <w:bCs/>
          <w:color w:val="auto"/>
        </w:rPr>
        <w:t>项目地点：博罗县龙溪</w:t>
      </w:r>
      <w:r>
        <w:rPr>
          <w:rFonts w:hint="eastAsia" w:ascii="宋体" w:hAnsi="宋体" w:eastAsia="宋体" w:cs="宋体"/>
          <w:b w:val="0"/>
          <w:bCs/>
          <w:color w:val="auto"/>
          <w:lang w:eastAsia="zh-CN"/>
        </w:rPr>
        <w:t>街道办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bCs/>
          <w:color w:val="auto"/>
        </w:rPr>
      </w:pPr>
      <w:r>
        <w:rPr>
          <w:rFonts w:hint="eastAsia" w:ascii="宋体" w:hAnsi="宋体" w:eastAsia="宋体" w:cs="宋体"/>
          <w:b w:val="0"/>
          <w:bCs/>
          <w:color w:val="auto"/>
        </w:rPr>
        <w:t>3、验收标准：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轻污染粪污塘整治验收标准暂定如下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（1）施工过程中：粪污塘处理前、中、后期图片。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（2）水质净化：水质净化后检测数据达到《畜禽养殖业污染物排放标准》（广东省地方标准DB44/613-2009）珠三角标准值。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粪污塘需造册登记，实行一塘一册，整治相片标明粪污塘户主和地点。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b w:val="0"/>
          <w:bCs w:val="0"/>
          <w:color w:val="auto"/>
        </w:rPr>
      </w:pPr>
      <w:r>
        <w:rPr>
          <w:rFonts w:hint="eastAsia" w:ascii="宋体" w:hAnsi="宋体" w:eastAsia="宋体" w:cs="宋体"/>
          <w:b w:val="0"/>
          <w:bCs w:val="0"/>
          <w:color w:val="auto"/>
        </w:rPr>
        <w:t>4、报价要求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</w:rPr>
      </w:pPr>
      <w:r>
        <w:rPr>
          <w:rFonts w:hint="eastAsia" w:ascii="宋体" w:hAnsi="宋体" w:eastAsia="宋体" w:cs="宋体"/>
          <w:color w:val="auto"/>
        </w:rPr>
        <w:t>投标人报价中必须包括项目全部内容的费用，费用不管是否在投标人报价书中单列，均视为投标总价中已包括该费用。</w:t>
      </w:r>
    </w:p>
    <w:p>
      <w:pPr>
        <w:pStyle w:val="9"/>
        <w:rPr>
          <w:rFonts w:hint="eastAsia" w:ascii="宋体" w:hAnsi="宋体" w:eastAsia="宋体" w:cs="宋体"/>
          <w:color w:val="auto"/>
        </w:rPr>
      </w:pPr>
    </w:p>
    <w:p>
      <w:pPr>
        <w:pStyle w:val="9"/>
        <w:rPr>
          <w:rFonts w:hint="eastAsia" w:ascii="宋体" w:hAnsi="宋体" w:eastAsia="宋体" w:cs="宋体"/>
          <w:color w:val="auto"/>
        </w:rPr>
      </w:pPr>
    </w:p>
    <w:p>
      <w:pPr>
        <w:pStyle w:val="9"/>
        <w:rPr>
          <w:rFonts w:hint="eastAsia" w:ascii="宋体" w:hAnsi="宋体" w:eastAsia="宋体" w:cs="宋体"/>
          <w:color w:val="auto"/>
        </w:rPr>
      </w:pPr>
    </w:p>
    <w:p>
      <w:pPr>
        <w:pStyle w:val="9"/>
        <w:rPr>
          <w:rFonts w:hint="eastAsia" w:ascii="宋体" w:hAnsi="宋体" w:eastAsia="宋体" w:cs="宋体"/>
          <w:color w:val="auto"/>
        </w:rPr>
      </w:pPr>
    </w:p>
    <w:p>
      <w:pPr>
        <w:spacing w:line="360" w:lineRule="auto"/>
        <w:rPr>
          <w:rFonts w:hint="eastAsia" w:ascii="宋体" w:hAnsi="宋体" w:eastAsia="宋体" w:cs="宋体"/>
          <w:b/>
          <w:color w:val="auto"/>
        </w:rPr>
      </w:pPr>
    </w:p>
    <w:p>
      <w:pPr>
        <w:spacing w:line="360" w:lineRule="auto"/>
        <w:rPr>
          <w:rFonts w:hint="eastAsia" w:ascii="宋体" w:hAnsi="宋体" w:eastAsia="宋体" w:cs="宋体"/>
          <w:b/>
          <w:color w:val="auto"/>
        </w:rPr>
      </w:pPr>
    </w:p>
    <w:p>
      <w:pPr>
        <w:spacing w:line="360" w:lineRule="auto"/>
        <w:rPr>
          <w:rFonts w:hint="eastAsia" w:ascii="宋体" w:hAnsi="宋体" w:eastAsia="宋体" w:cs="宋体"/>
          <w:b/>
          <w:color w:val="auto"/>
        </w:rPr>
      </w:pPr>
    </w:p>
    <w:p>
      <w:pPr>
        <w:spacing w:line="360" w:lineRule="auto"/>
        <w:rPr>
          <w:rFonts w:hint="eastAsia" w:ascii="宋体" w:hAnsi="宋体" w:eastAsia="宋体" w:cs="宋体"/>
          <w:b/>
          <w:color w:val="auto"/>
        </w:rPr>
      </w:pPr>
    </w:p>
    <w:p>
      <w:pPr>
        <w:rPr>
          <w:rFonts w:hint="eastAsia" w:ascii="宋体" w:hAnsi="宋体" w:eastAsia="宋体" w:cs="宋体"/>
          <w:color w:val="FF0000"/>
          <w:lang w:val="zh-CN"/>
        </w:rPr>
      </w:pPr>
    </w:p>
    <w:p>
      <w:pPr>
        <w:autoSpaceDE w:val="0"/>
        <w:autoSpaceDN w:val="0"/>
        <w:adjustRightInd w:val="0"/>
        <w:spacing w:beforeLines="50" w:after="100" w:afterAutospacing="1"/>
        <w:jc w:val="center"/>
        <w:rPr>
          <w:rFonts w:hint="eastAsia" w:ascii="宋体" w:hAnsi="宋体" w:eastAsia="宋体" w:cs="宋体"/>
          <w:b/>
          <w:szCs w:val="20"/>
        </w:rPr>
      </w:pPr>
      <w:r>
        <w:rPr>
          <w:rFonts w:hint="eastAsia" w:ascii="宋体" w:hAnsi="宋体" w:eastAsia="宋体" w:cs="宋体"/>
          <w:b/>
          <w:sz w:val="28"/>
          <w:szCs w:val="28"/>
        </w:rPr>
        <w:t xml:space="preserve"> 现场踏勘登记表</w:t>
      </w:r>
    </w:p>
    <w:p>
      <w:pPr>
        <w:pStyle w:val="4"/>
        <w:widowControl w:val="0"/>
        <w:adjustRightInd w:val="0"/>
        <w:spacing w:before="0" w:beforeAutospacing="0" w:after="0" w:afterAutospacing="0" w:line="360" w:lineRule="auto"/>
        <w:rPr>
          <w:rFonts w:hint="eastAsia" w:ascii="宋体" w:hAnsi="宋体" w:eastAsia="宋体" w:cs="宋体"/>
          <w:b/>
          <w:szCs w:val="20"/>
        </w:rPr>
      </w:pPr>
      <w:r>
        <w:rPr>
          <w:rFonts w:hint="eastAsia" w:ascii="宋体" w:hAnsi="宋体" w:eastAsia="宋体" w:cs="宋体"/>
          <w:b/>
          <w:szCs w:val="20"/>
        </w:rPr>
        <w:t>项目名称：</w:t>
      </w:r>
    </w:p>
    <w:p>
      <w:pPr>
        <w:pStyle w:val="4"/>
        <w:widowControl w:val="0"/>
        <w:adjustRightInd w:val="0"/>
        <w:spacing w:before="0" w:beforeAutospacing="0" w:after="0" w:afterAutospacing="0" w:line="360" w:lineRule="auto"/>
        <w:rPr>
          <w:rFonts w:hint="eastAsia" w:ascii="宋体" w:hAnsi="宋体" w:eastAsia="宋体" w:cs="宋体"/>
          <w:b/>
          <w:szCs w:val="20"/>
        </w:rPr>
      </w:pPr>
      <w:r>
        <w:rPr>
          <w:rFonts w:hint="eastAsia" w:ascii="宋体" w:hAnsi="宋体" w:eastAsia="宋体" w:cs="宋体"/>
          <w:b/>
          <w:szCs w:val="20"/>
        </w:rPr>
        <w:t xml:space="preserve">项目编号： </w:t>
      </w:r>
    </w:p>
    <w:tbl>
      <w:tblPr>
        <w:tblStyle w:val="5"/>
        <w:tblW w:w="890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5"/>
        <w:gridCol w:w="1735"/>
        <w:gridCol w:w="6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0"/>
              </w:rPr>
              <w:t>序号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0"/>
              </w:rPr>
              <w:t>内  容</w:t>
            </w:r>
          </w:p>
        </w:tc>
        <w:tc>
          <w:tcPr>
            <w:tcW w:w="6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0"/>
              </w:rPr>
              <w:t>详细描述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9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0"/>
              </w:rPr>
              <w:t>1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0"/>
              </w:rPr>
              <w:t>踏勘时间</w:t>
            </w:r>
          </w:p>
        </w:tc>
        <w:tc>
          <w:tcPr>
            <w:tcW w:w="6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8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  <w:szCs w:val="20"/>
              </w:rPr>
            </w:pPr>
            <w:r>
              <w:rPr>
                <w:rFonts w:hint="eastAsia" w:ascii="宋体" w:hAnsi="宋体" w:eastAsia="宋体" w:cs="宋体"/>
                <w:szCs w:val="20"/>
              </w:rPr>
              <w:t>2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  <w:szCs w:val="20"/>
              </w:rPr>
            </w:pPr>
            <w:r>
              <w:rPr>
                <w:rFonts w:hint="eastAsia" w:ascii="宋体" w:hAnsi="宋体" w:eastAsia="宋体" w:cs="宋体"/>
                <w:szCs w:val="20"/>
              </w:rPr>
              <w:t>踏勘地点</w:t>
            </w:r>
          </w:p>
        </w:tc>
        <w:tc>
          <w:tcPr>
            <w:tcW w:w="6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7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0"/>
              </w:rPr>
              <w:t>3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0"/>
              </w:rPr>
              <w:t>踏勘所属责任人</w:t>
            </w:r>
          </w:p>
        </w:tc>
        <w:tc>
          <w:tcPr>
            <w:tcW w:w="6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2" w:hRule="atLeast"/>
          <w:jc w:val="center"/>
        </w:trPr>
        <w:tc>
          <w:tcPr>
            <w:tcW w:w="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0"/>
              </w:rPr>
              <w:t>4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rPr>
                <w:rFonts w:hint="eastAsia" w:ascii="宋体" w:hAnsi="宋体" w:eastAsia="宋体" w:cs="宋体"/>
                <w:szCs w:val="20"/>
              </w:rPr>
            </w:pPr>
            <w:r>
              <w:rPr>
                <w:rFonts w:hint="eastAsia" w:ascii="宋体" w:hAnsi="宋体" w:eastAsia="宋体" w:cs="宋体"/>
                <w:szCs w:val="20"/>
              </w:rPr>
              <w:t>现场踏勘情况</w:t>
            </w:r>
          </w:p>
          <w:p>
            <w:pPr>
              <w:adjustRightInd w:val="0"/>
              <w:spacing w:line="360" w:lineRule="atLeast"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zCs w:val="20"/>
              </w:rPr>
              <w:t>(附现场踏勘图片)</w:t>
            </w:r>
          </w:p>
        </w:tc>
        <w:tc>
          <w:tcPr>
            <w:tcW w:w="6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360" w:lineRule="atLeast"/>
              <w:jc w:val="left"/>
              <w:rPr>
                <w:rFonts w:hint="eastAsia" w:ascii="宋体" w:hAnsi="宋体" w:eastAsia="宋体" w:cs="宋体"/>
              </w:rPr>
            </w:pPr>
          </w:p>
        </w:tc>
      </w:tr>
    </w:tbl>
    <w:p>
      <w:pPr>
        <w:spacing w:line="500" w:lineRule="exact"/>
        <w:rPr>
          <w:rFonts w:hint="eastAsia" w:ascii="宋体" w:hAnsi="宋体" w:eastAsia="宋体" w:cs="宋体"/>
        </w:rPr>
      </w:pPr>
    </w:p>
    <w:p>
      <w:pPr>
        <w:spacing w:line="500" w:lineRule="exact"/>
        <w:rPr>
          <w:rFonts w:hint="eastAsia" w:ascii="宋体" w:hAnsi="宋体" w:eastAsia="宋体" w:cs="宋体"/>
          <w:u w:val="single"/>
        </w:rPr>
      </w:pPr>
      <w:r>
        <w:rPr>
          <w:rFonts w:hint="eastAsia" w:ascii="宋体" w:hAnsi="宋体" w:eastAsia="宋体" w:cs="宋体"/>
        </w:rPr>
        <w:t>响应供应商法定代表人（或法定代表人授权代表）签字或签章：</w:t>
      </w:r>
      <w:r>
        <w:rPr>
          <w:rFonts w:hint="eastAsia" w:ascii="宋体" w:hAnsi="宋体" w:eastAsia="宋体" w:cs="宋体"/>
          <w:u w:val="single"/>
        </w:rPr>
        <w:t xml:space="preserve">                  </w:t>
      </w:r>
    </w:p>
    <w:p>
      <w:pPr>
        <w:spacing w:line="500" w:lineRule="exact"/>
        <w:rPr>
          <w:rFonts w:hint="eastAsia" w:ascii="宋体" w:hAnsi="宋体" w:eastAsia="宋体" w:cs="宋体"/>
          <w:u w:val="single"/>
        </w:rPr>
      </w:pPr>
      <w:r>
        <w:rPr>
          <w:rFonts w:hint="eastAsia" w:ascii="宋体" w:hAnsi="宋体" w:eastAsia="宋体" w:cs="宋体"/>
        </w:rPr>
        <w:t>响应供应商名称（盖章）：</w:t>
      </w:r>
      <w:r>
        <w:rPr>
          <w:rFonts w:hint="eastAsia" w:ascii="宋体" w:hAnsi="宋体" w:eastAsia="宋体" w:cs="宋体"/>
          <w:u w:val="single"/>
        </w:rPr>
        <w:t xml:space="preserve">                      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日期：</w:t>
      </w:r>
    </w:p>
    <w:p>
      <w:pPr>
        <w:rPr>
          <w:rFonts w:hint="eastAsia" w:ascii="宋体" w:hAnsi="宋体" w:eastAsia="宋体" w:cs="宋体"/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A56944A"/>
    <w:multiLevelType w:val="singleLevel"/>
    <w:tmpl w:val="BA56944A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E0698250"/>
    <w:multiLevelType w:val="singleLevel"/>
    <w:tmpl w:val="E069825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A9A9CE3"/>
    <w:multiLevelType w:val="singleLevel"/>
    <w:tmpl w:val="FA9A9CE3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24194DC"/>
    <w:multiLevelType w:val="singleLevel"/>
    <w:tmpl w:val="124194DC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222297"/>
    <w:rsid w:val="2C342103"/>
    <w:rsid w:val="355867D7"/>
    <w:rsid w:val="3D206156"/>
    <w:rsid w:val="6460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ahoma" w:hAnsi="Tahoma" w:eastAsia="宋体" w:cs="Times New Roman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hint="eastAsia" w:ascii="宋体" w:hAnsi="宋体"/>
      <w:kern w:val="0"/>
    </w:rPr>
  </w:style>
  <w:style w:type="paragraph" w:styleId="3">
    <w:name w:val="Plain Text"/>
    <w:basedOn w:val="1"/>
    <w:qFormat/>
    <w:uiPriority w:val="0"/>
    <w:pPr>
      <w:spacing w:line="360" w:lineRule="auto"/>
    </w:pPr>
    <w:rPr>
      <w:rFonts w:ascii="宋体" w:hAnsi="Courier New"/>
      <w:szCs w:val="21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Arial Unicode MS" w:hAnsi="Arial Unicode MS" w:eastAsia="Arial Unicode MS" w:cs="Arial Unicode MS"/>
      <w:kern w:val="0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Hyperlink"/>
    <w:qFormat/>
    <w:uiPriority w:val="0"/>
    <w:rPr>
      <w:color w:val="0088CC"/>
      <w:u w:val="none"/>
    </w:rPr>
  </w:style>
  <w:style w:type="paragraph" w:customStyle="1" w:styleId="9">
    <w:name w:val="无间隔1"/>
    <w:basedOn w:val="1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0"/>
      <w:sz w:val="22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2019-07-10T04:22:38Z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